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Parameter recovery: classic_qval, p50 environment, sanity_n20</w:t>
      </w:r>
    </w:p>
    <w:p>
      <w:pPr>
        <w:pStyle w:val="Titre2"/>
      </w:pPr>
      <w:r>
        <w:t xml:space="preserve">Design</w:t>
      </w:r>
    </w:p>
    <w:p>
      <w:pPr>
        <w:pStyle w:val="Normal"/>
      </w:pPr>
      <w:r>
        <w:t xml:space="preserve">We simulated 20 agents performing 150 trials of a 3-armed bandit (all arms offered every trial; p(win) = 0.5 for every arm on every trial). Agent-level parameters were drawn from alpha = inv_logit(N(0.00, 0.85)) and beta = exp(N(-0.25, 0.75)); alpha was logistically transformed onto the unit interval and beta exponentiated to stay positive. The hierarchical classic_qval model was fitted with 4 chains of 500 warmup and 500 sampling iterations (35.8 min).</w:t>
      </w:r>
    </w:p>
    <w:p>
      <w:pPr>
        <w:pStyle w:val="Titre2"/>
      </w:pPr>
      <w:r>
        <w:t xml:space="preserve">Convergence</w:t>
      </w:r>
    </w:p>
    <w:p>
      <w:pPr>
        <w:pStyle w:val="Normal"/>
      </w:pPr>
      <w:r>
        <w:t xml:space="preserve">Divergent transitions: 0. Group-level max Rhat = 1.009, min bulk ESS = 257. Subject-level max Rhat = 1.008, min bulk ESS = 466.</w:t>
      </w:r>
    </w:p>
    <w:p>
      <w:pPr>
        <w:pStyle w:val="Titre2"/>
      </w:pPr>
      <w:r>
        <w:t xml:space="preserve">Agent-level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4"/>
        <w:gridCol w:w="1401"/>
        <w:gridCol w:w="912"/>
        <w:gridCol w:w="1340"/>
        <w:gridCol w:w="1683"/>
        <w:gridCol w:w="2025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ols_slope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coverage_90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median_post_sd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spread_ratio_sd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</w:tr>
    </w:tbl>
    <w:p>
      <w:pPr>
        <w:pStyle w:val="Normal"/>
      </w:pPr>
      <w:r>
        <w:t xml:space="preserve">Correlation of alpha and beta recovery errors across agents: r = -0.51. Mean within-agent posterior correlation of alpha and beta: -0.50.</w:t>
      </w:r>
    </w:p>
    <w:p>
      <w:pPr>
        <w:pStyle w:val="Titre2"/>
      </w:pPr>
      <w:r>
        <w:t xml:space="preserve">Population-level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438"/>
        <w:gridCol w:w="1670"/>
        <w:gridCol w:w="912"/>
        <w:gridCol w:w="839"/>
        <w:gridCol w:w="15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post_median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covered_90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mu_alpha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mu_beta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sigma_alpha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sigma_beta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943600" cy="2971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Figure 1. </w:t>
      </w:r>
      <w:r>
        <w:t xml:space="preserve">True agent-level alpha and beta drawn from the generating population (dots), with the generating density overlaid (blue line).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Figure 2. </w:t>
      </w:r>
      <w:r>
        <w:t xml:space="preserve">Posterior densities of the population location (mu) and scale (sigma) parameters on the unconstrained scale, with median and 90% credible interval; the dotted blue line marks the true generating value.</w:t>
      </w:r>
    </w:p>
    <w:p>
      <w:pPr>
        <w:pStyle w:val="Normal"/>
      </w:pPr>
      <w:r>
        <w:rPr/>
        <w:drawing>
          <wp:inline distT="0" distB="0" distL="0" distR="0">
            <wp:extent cx="5943600" cy="2971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Figure 3. </w:t>
      </w:r>
      <w:r>
        <w:t xml:space="preserve">True versus recovered (posterior median) agent-level parameters. The red line is the OLS fit, the dashed grey line is the identity line, and r is Pearson's correlation.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8414defd6425a9030f8d419db03e47a939f065c.png"/>
<Relationship Id="rId8" Type="http://schemas.openxmlformats.org/officeDocument/2006/relationships/image" Target="media/69709dba042b0ceb5ef116fa3c03d4855e1c3b7a.png"/>
<Relationship Id="rId9" Type="http://schemas.openxmlformats.org/officeDocument/2006/relationships/image" Target="media/88a5a3ffd7d51e78e2b6b9a08dcee96691338d4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2026-10-29T14:04:58Z</dcterms:modified>
  <cp:category/>
</cp:coreProperties>
</file>