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129A" w14:textId="77777777" w:rsidR="00596814" w:rsidRPr="006F4ABA" w:rsidRDefault="00596814" w:rsidP="00596814">
      <w:pPr>
        <w:pStyle w:val="Heading1"/>
        <w:spacing w:before="240" w:after="120" w:line="360" w:lineRule="auto"/>
        <w:rPr>
          <w:rFonts w:ascii="Calibri" w:hAnsi="Calibri" w:cs="Calibri"/>
          <w:sz w:val="24"/>
        </w:rPr>
      </w:pPr>
      <w:r w:rsidRPr="006F4ABA">
        <w:rPr>
          <w:rFonts w:ascii="Calibri" w:hAnsi="Calibri" w:cs="Calibri"/>
          <w:sz w:val="24"/>
        </w:rPr>
        <w:t>Discussion</w:t>
      </w:r>
    </w:p>
    <w:p w14:paraId="097187BF" w14:textId="77777777" w:rsidR="00596814" w:rsidRDefault="00596814" w:rsidP="00596814">
      <w:pPr>
        <w:pStyle w:val="Heading2"/>
        <w:spacing w:before="200" w:line="360" w:lineRule="auto"/>
        <w:rPr>
          <w:rFonts w:ascii="Calibri" w:hAnsi="Calibri" w:cs="Calibri"/>
          <w:sz w:val="22"/>
        </w:rPr>
      </w:pPr>
      <w:r w:rsidRPr="006F4ABA">
        <w:rPr>
          <w:rFonts w:ascii="Calibri" w:hAnsi="Calibri" w:cs="Calibri"/>
          <w:sz w:val="22"/>
        </w:rPr>
        <w:t>Ecological differentiation of grain composition</w:t>
      </w:r>
    </w:p>
    <w:p w14:paraId="63717025" w14:textId="77777777" w:rsidR="00596814" w:rsidRPr="006F4ABA" w:rsidRDefault="00596814" w:rsidP="00596814">
      <w:pPr>
        <w:spacing w:after="120" w:line="360" w:lineRule="auto"/>
        <w:rPr>
          <w:rFonts w:ascii="Calibri" w:hAnsi="Calibri" w:cs="Calibri"/>
          <w:sz w:val="22"/>
        </w:rPr>
      </w:pPr>
      <w:r w:rsidRPr="006F4ABA">
        <w:rPr>
          <w:rFonts w:ascii="Calibri" w:hAnsi="Calibri" w:cs="Calibri"/>
          <w:sz w:val="22"/>
        </w:rPr>
        <w:t>Previous studies of Israeli wild barley showed that population structure, flowering time, and growth traits are organized along gradients of temperature and precipitation (Hübner et al., 2009, 2013). The present study extends this ecological differentiation to grain nutritional traits. Because the comparisons were based on genotype BLUPs from common-garden experiments, the regional patterns reflect heritable differences among source populations rather than immediate plastic responses to the environments in which the accessions were collected. Northern genotypes tended to produce starch-rich grains, whereas desert genotypes produced less starch and more fiber and β-glucan (Figure 2). Starch and fiber showed opposing associations with sand, clay, and precipitation, while β-glucan generally followed the fiber pattern, linking the carbohydrate axis to environmental variation among the source sites (Figure 2D).</w:t>
      </w:r>
    </w:p>
    <w:p w14:paraId="11E81968" w14:textId="77777777" w:rsidR="00596814" w:rsidRPr="006F4ABA" w:rsidRDefault="00596814" w:rsidP="00596814">
      <w:pPr>
        <w:spacing w:after="120" w:line="360" w:lineRule="auto"/>
        <w:rPr>
          <w:rFonts w:ascii="Calibri" w:hAnsi="Calibri" w:cs="Calibri"/>
          <w:sz w:val="22"/>
        </w:rPr>
      </w:pPr>
      <w:r w:rsidRPr="006F4ABA">
        <w:rPr>
          <w:rFonts w:ascii="Calibri" w:hAnsi="Calibri" w:cs="Calibri"/>
          <w:sz w:val="22"/>
        </w:rPr>
        <w:t>Physiological studies provide a plausible explanation for the direction of this pattern. Heat and drought during grain filling shorten the filling period, reduce the activity of starch-synthetic enzymes, and decrease starch deposition and final grain weight (Savin &amp; Nicolas, 1996). In barley, soluble starch synthase is sensitive to high temperature, and post-anthesis heat or drought alters starch accumulation and endosperm development (Savin &amp; Nicolas, 1996). Moreover, desert genotypes had higher β-glucan, but with strong G×E interaction. Previous studies in barley have shown that temperature can affect β-glucan content, solubility, viscosity, and molecular weight, with the direction and magnitude depending on genotype, stress intensity, and timing (Anker-Nilssen et al., 2008). Higher growth temperatures can increase soluble β-glucan in some genotype–environment combinations, whereas severe short-term heat stress reduced β-glucan and promoted its degradation (Anker-Nilssen et al., 2008). Thus our results on the large G×E corroborate with previous studies. Taken</w:t>
      </w:r>
      <w:r w:rsidRPr="006F4ABA">
        <w:rPr>
          <w:rFonts w:ascii="Calibri" w:hAnsi="Calibri" w:cs="Calibri" w:hint="cs"/>
          <w:sz w:val="22"/>
          <w:rtl/>
        </w:rPr>
        <w:t xml:space="preserve"> </w:t>
      </w:r>
      <w:r w:rsidRPr="006F4ABA">
        <w:rPr>
          <w:rFonts w:ascii="Calibri" w:hAnsi="Calibri" w:cs="Calibri"/>
          <w:sz w:val="22"/>
        </w:rPr>
        <w:t>together, the nutritional traits were not distributed randomly across the genotype collection but were tightly associated with environmental conditions.</w:t>
      </w:r>
    </w:p>
    <w:p w14:paraId="102355B8" w14:textId="77777777" w:rsidR="00596814" w:rsidRPr="006F4ABA" w:rsidRDefault="00596814" w:rsidP="00596814">
      <w:pPr>
        <w:pStyle w:val="Heading2"/>
        <w:spacing w:before="200" w:line="360" w:lineRule="auto"/>
        <w:rPr>
          <w:rFonts w:ascii="Calibri" w:hAnsi="Calibri" w:cs="Calibri"/>
          <w:sz w:val="22"/>
        </w:rPr>
      </w:pPr>
      <w:r w:rsidRPr="006F4ABA">
        <w:rPr>
          <w:rFonts w:ascii="Calibri" w:hAnsi="Calibri" w:cs="Calibri"/>
          <w:sz w:val="22"/>
        </w:rPr>
        <w:t>A shared carbon-allocation axis for starch, fiber, and β-glucan</w:t>
      </w:r>
    </w:p>
    <w:p w14:paraId="369C2A64" w14:textId="77777777" w:rsidR="00596814" w:rsidRPr="006F4ABA" w:rsidRDefault="00596814" w:rsidP="00596814">
      <w:pPr>
        <w:spacing w:after="120" w:line="360" w:lineRule="auto"/>
        <w:rPr>
          <w:rFonts w:ascii="Calibri" w:hAnsi="Calibri" w:cs="Calibri"/>
          <w:sz w:val="22"/>
        </w:rPr>
      </w:pPr>
      <w:r w:rsidRPr="006F4ABA">
        <w:rPr>
          <w:rFonts w:ascii="Calibri" w:hAnsi="Calibri" w:cs="Calibri"/>
          <w:sz w:val="22"/>
        </w:rPr>
        <w:t xml:space="preserve">Wild barley grain composition reveals two partly distinct biological dimensions: an independent protein axis, consistent with previous evidence that grain protein concentration reflects the balance between carbon deposition and nitrogen acquisition, and a coordinated carbohydrate axis defining an inverse relationship between storage starch and </w:t>
      </w:r>
      <w:r w:rsidRPr="006F4ABA">
        <w:rPr>
          <w:rFonts w:ascii="Calibri" w:hAnsi="Calibri" w:cs="Calibri"/>
          <w:sz w:val="22"/>
        </w:rPr>
        <w:lastRenderedPageBreak/>
        <w:t xml:space="preserve">cell-wall polysaccharides (fiber and β-glucan) (Corke et al., 1989). This trade-off is consistently observed across genotypes, a geographic north to desert gradient (Figure 2), and a shared 7H locus, indicating that grain composition reflects the competitive allocation of a common sucrose supply within the developing endosperm. This mechanism is supported by functional evidence showing that endosperm specific overexpression of HvCslF6 increases β-glucan accumulation while reducing starch content (Lim et al., 2020), demonstrating that these nutritional components are governed by interconnected physiological and genetic systems. This metabolic axis integrates with a broader whole plant resource allocation strategy linked to plant architecture and phenology. Larger, later flowering genotypes with heavier grains prioritize storage starch, whereas smaller, faster developing plants distribute resources toward higher grain numbers and structural cell wall material. While domestication and breeding have historically shifted cultivated barley toward the starch rich end of this axis (i.e. higher starch and lower protein and fiber varieties), wild barley accessions remain a potential source of genetic variation for optimizing the fiber and β-glucan rich properties of the crop (Friedman &amp; Atsmon, 1988). In contrast, no significant correlations were observed between protein and the measured environmental variables (Figure 2D). Additionally, </w:t>
      </w:r>
      <w:r w:rsidRPr="00A476D1">
        <w:rPr>
          <w:rFonts w:ascii="Calibri" w:hAnsi="Calibri" w:cs="Calibri"/>
          <w:sz w:val="22"/>
        </w:rPr>
        <w:t>a</w:t>
      </w:r>
      <w:r w:rsidRPr="006F4ABA">
        <w:rPr>
          <w:rFonts w:ascii="Calibri" w:hAnsi="Calibri" w:cs="Calibri"/>
          <w:sz w:val="22"/>
        </w:rPr>
        <w:t xml:space="preserve"> weak negative correlation between protein and grain weight was observed (Figure 2C). This pattern suggests that grain protein is governed by processes that differ from those organizing carbohydrate composition. This observation is largely supported in the literature highlighting a negative relationship between grain yield or grain weight and grain protein concentration (Simmonds, 1995). This negative relationship can potentially be explained by a dilution effect, where carbohydrates accumulate faster than nitrogen during grain filling, causing protein to become a smaller proportion of total grain mass (Bogard et al., 2010). Differences between wild and cultivated barley in dry-matter accumulation, nitrogen allocation, and nitrogen harvest index further demonstrated that grain protein depends on the balance between carbon deposition and nitrogen acquisition rather than on direct competition with starch alone (Corke et al., 1989). Total soil nitrogen and organic carbon were also tested, but neither was significantly correlated with grain protein (Figure 2D). This separation has practical implementation as strong starch–fiber trade-off may not impose the same constraint on protein, and increasing fiber or β-glucan need not cause a reduction in protein. </w:t>
      </w:r>
    </w:p>
    <w:p w14:paraId="20132129" w14:textId="77777777" w:rsidR="00596814" w:rsidRPr="006F4ABA" w:rsidRDefault="00596814" w:rsidP="00596814">
      <w:pPr>
        <w:pStyle w:val="Heading2"/>
        <w:spacing w:before="200" w:line="360" w:lineRule="auto"/>
        <w:rPr>
          <w:rFonts w:ascii="Calibri" w:hAnsi="Calibri" w:cs="Calibri"/>
          <w:sz w:val="22"/>
          <w:lang w:val="en-US"/>
        </w:rPr>
      </w:pPr>
      <w:r w:rsidRPr="006F4ABA">
        <w:rPr>
          <w:rFonts w:ascii="Calibri" w:hAnsi="Calibri" w:cs="Calibri"/>
          <w:sz w:val="22"/>
          <w:lang w:val="en-US"/>
        </w:rPr>
        <w:t>Heritability and GWAS reveal different aspects of genetic architecture</w:t>
      </w:r>
    </w:p>
    <w:p w14:paraId="18EBEBC7" w14:textId="77777777" w:rsidR="00596814" w:rsidRPr="006F4ABA" w:rsidRDefault="00596814" w:rsidP="00596814">
      <w:pPr>
        <w:spacing w:after="120" w:line="360" w:lineRule="auto"/>
        <w:rPr>
          <w:rFonts w:ascii="Calibri" w:hAnsi="Calibri" w:cs="Calibri"/>
          <w:sz w:val="22"/>
        </w:rPr>
      </w:pPr>
      <w:r w:rsidRPr="006F4ABA">
        <w:rPr>
          <w:rFonts w:ascii="Calibri" w:hAnsi="Calibri" w:cs="Calibri"/>
          <w:sz w:val="22"/>
        </w:rPr>
        <w:t xml:space="preserve">Trait heritability poorly predicted genome-wide association mapping power. Despite exhibiting the highest broad-sense heritability, starch produced a sparse mapping profile, </w:t>
      </w:r>
      <w:r w:rsidRPr="006F4ABA">
        <w:rPr>
          <w:rFonts w:ascii="Calibri" w:hAnsi="Calibri" w:cs="Calibri"/>
          <w:sz w:val="22"/>
        </w:rPr>
        <w:lastRenderedPageBreak/>
        <w:t>whereas β-glucan had lower broad-sense heritability than starch and higher environmental sensitivity, yet yielded a robust, distributed signal comprising 11 significant loci across all seven chromosomes (Figure 3A). This contrast emphasizes that mapping success depends on complex genetic architecture components like number of alleles and their frequencies, effect sizes, and linkage disequilibrium rather than on total genetic variation alone. For example, the starch locus on chromosome 3H illustrates how marginal signal in the GWAS analysis produced a strong separation between haplotypes once the entire haplotype which groups several markers together was analyzed.</w:t>
      </w:r>
    </w:p>
    <w:p w14:paraId="2DC0E884" w14:textId="77777777" w:rsidR="00596814" w:rsidRPr="006F4ABA" w:rsidRDefault="00596814" w:rsidP="00596814">
      <w:pPr>
        <w:spacing w:after="120" w:line="360" w:lineRule="auto"/>
        <w:rPr>
          <w:rFonts w:ascii="Calibri" w:hAnsi="Calibri" w:cs="Calibri"/>
          <w:sz w:val="22"/>
          <w:rtl/>
        </w:rPr>
      </w:pPr>
      <w:r w:rsidRPr="006F4ABA">
        <w:rPr>
          <w:rFonts w:ascii="Calibri" w:hAnsi="Calibri" w:cs="Calibri"/>
          <w:sz w:val="22"/>
        </w:rPr>
        <w:t>The linked starch candidates on 3H offer complementary mechanisms for a single locus. The glucan phosphorylase (Pho) directly participates in</w:t>
      </w:r>
      <w:r w:rsidRPr="006F4ABA">
        <w:rPr>
          <w:rFonts w:ascii="Calibri" w:hAnsi="Calibri" w:cs="Calibri" w:hint="cs"/>
          <w:sz w:val="22"/>
          <w:rtl/>
        </w:rPr>
        <w:t xml:space="preserve"> </w:t>
      </w:r>
      <w:r w:rsidRPr="006F4ABA">
        <w:rPr>
          <w:rFonts w:ascii="Calibri" w:hAnsi="Calibri" w:cs="Calibri"/>
          <w:sz w:val="22"/>
        </w:rPr>
        <w:t>metabolism and endosperm glucan synthesis (Cuesta-Seijo et al., 2017). The phosphate transporter (PHT) suggests that phosphate homeostasis contributes to the metabolic conditions required for starch accumulation, consistent with the impaired grain filling reported in rice phosphate-transporter mutants (Ma et al., 2021).</w:t>
      </w:r>
      <w:r w:rsidRPr="006F4ABA">
        <w:rPr>
          <w:rFonts w:ascii="Calibri" w:hAnsi="Calibri" w:cs="Calibri" w:hint="cs"/>
          <w:sz w:val="22"/>
          <w:rtl/>
        </w:rPr>
        <w:t xml:space="preserve"> </w:t>
      </w:r>
      <w:r w:rsidRPr="006F4ABA">
        <w:rPr>
          <w:rFonts w:ascii="Calibri" w:hAnsi="Calibri" w:cs="Calibri"/>
          <w:sz w:val="22"/>
        </w:rPr>
        <w:t>For β-glucan, the AP2/ERF candidate is consistent with transcriptional regulation of HvCslF6. AP2/ERF-binding motifs are over-represented in the proximal promoter of HvCslF6, a key synthase of grain mixed-linkage β-glucan, placing this candidate within its broader regulatory network (Garcia-Gimenez et al., 2022). Additionally, the BAHD candidate highlights a mechanism for fiber organization. BAHD enzymes mediate cell wall feruloylation and polymer cross linking, directly impacting structural rigidity and digestibility (de Souza et al., 2018). These four genes therefore identify distinct biological pathways for future investigation: direct starch metabolism, phosphate associated grain filling, glucan transcriptional regulation, and cell wall fiber structural modification.</w:t>
      </w:r>
    </w:p>
    <w:p w14:paraId="1CB58924" w14:textId="77777777" w:rsidR="0029304D" w:rsidRDefault="0029304D"/>
    <w:sectPr w:rsidR="0029304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4D"/>
    <w:rsid w:val="0029304D"/>
    <w:rsid w:val="00596814"/>
    <w:rsid w:val="0071206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9B593-0402-4513-A371-9D3976F0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814"/>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29304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unhideWhenUsed/>
    <w:qFormat/>
    <w:rsid w:val="0029304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29304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29304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29304D"/>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29304D"/>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29304D"/>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29304D"/>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29304D"/>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04D"/>
    <w:rPr>
      <w:rFonts w:eastAsiaTheme="majorEastAsia" w:cstheme="majorBidi"/>
      <w:color w:val="272727" w:themeColor="text1" w:themeTint="D8"/>
    </w:rPr>
  </w:style>
  <w:style w:type="paragraph" w:styleId="Title">
    <w:name w:val="Title"/>
    <w:basedOn w:val="Normal"/>
    <w:next w:val="Normal"/>
    <w:link w:val="TitleChar"/>
    <w:uiPriority w:val="10"/>
    <w:qFormat/>
    <w:rsid w:val="0029304D"/>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293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04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293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04D"/>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29304D"/>
    <w:rPr>
      <w:i/>
      <w:iCs/>
      <w:color w:val="404040" w:themeColor="text1" w:themeTint="BF"/>
    </w:rPr>
  </w:style>
  <w:style w:type="paragraph" w:styleId="ListParagraph">
    <w:name w:val="List Paragraph"/>
    <w:basedOn w:val="Normal"/>
    <w:uiPriority w:val="34"/>
    <w:qFormat/>
    <w:rsid w:val="0029304D"/>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29304D"/>
    <w:rPr>
      <w:i/>
      <w:iCs/>
      <w:color w:val="0F4761" w:themeColor="accent1" w:themeShade="BF"/>
    </w:rPr>
  </w:style>
  <w:style w:type="paragraph" w:styleId="IntenseQuote">
    <w:name w:val="Intense Quote"/>
    <w:basedOn w:val="Normal"/>
    <w:next w:val="Normal"/>
    <w:link w:val="IntenseQuoteChar"/>
    <w:uiPriority w:val="30"/>
    <w:qFormat/>
    <w:rsid w:val="002930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29304D"/>
    <w:rPr>
      <w:i/>
      <w:iCs/>
      <w:color w:val="0F4761" w:themeColor="accent1" w:themeShade="BF"/>
    </w:rPr>
  </w:style>
  <w:style w:type="character" w:styleId="IntenseReference">
    <w:name w:val="Intense Reference"/>
    <w:basedOn w:val="DefaultParagraphFont"/>
    <w:uiPriority w:val="32"/>
    <w:qFormat/>
    <w:rsid w:val="00293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2026-09-15T10:24:00Z</dcterms:created>
  <dcterms:modified xsi:type="dcterms:W3CDTF">2026-09-15T10:24:00Z</dcterms:modified>
</cp:coreProperties>
</file>