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sz w:val="4"/>
          <w:szCs w:val="4"/>
        </w:rPr>
        <w:t xml:space="preserve"/>
      </w:r>
    </w:p>
    <w:p>
      <w:pPr>
        <w:spacing w:after="100" w:before="400"/>
        <w:jc w:val="center"/>
      </w:pPr>
      <w:r>
        <w:rPr>
          <w:rFonts w:ascii="Cambria" w:cs="Cambria" w:eastAsia="Cambria" w:hAnsi="Cambria"/>
          <w:b/>
          <w:bCs/>
          <w:color w:val="1B3A5C"/>
          <w:sz w:val="56"/>
          <w:szCs w:val="56"/>
        </w:rPr>
        <w:t xml:space="preserve">DETAILED PROJECT REPORT</w:t>
      </w:r>
    </w:p>
    <w:p>
      <w:pPr>
        <w:pBdr>
          <w:bottom w:val="single" w:color="C8A041" w:sz="18" w:space="4"/>
        </w:pBdr>
        <w:spacing w:after="360" w:before="0"/>
        <w:jc w:val="center"/>
      </w:pPr>
      <w:r>
        <w:rPr>
          <w:rFonts w:ascii="Cambria" w:cs="Cambria" w:eastAsia="Cambria" w:hAnsi="Cambria"/>
          <w:b/>
          <w:bCs/>
          <w:color w:val="C8A041"/>
          <w:sz w:val="32"/>
          <w:szCs w:val="32"/>
        </w:rPr>
        <w:t xml:space="preserve">JIGISHA.IN  —  GROUP MASTER CORPORATE WEBSITE</w:t>
      </w:r>
    </w:p>
    <w:p>
      <w:pPr>
        <w:spacing w:after="80" w:before="600"/>
        <w:jc w:val="center"/>
      </w:pPr>
      <w:r>
        <w:rPr>
          <w:rFonts w:ascii="Cambria" w:cs="Cambria" w:eastAsia="Cambria" w:hAnsi="Cambria"/>
          <w:b/>
          <w:bCs/>
          <w:color w:val="0E1A2A"/>
          <w:sz w:val="36"/>
          <w:szCs w:val="36"/>
        </w:rPr>
        <w:t xml:space="preserve">JIGISHA GROUP OF COMPANIES</w:t>
      </w:r>
    </w:p>
    <w:p>
      <w:pPr>
        <w:spacing w:after="80" w:before="0"/>
        <w:jc w:val="center"/>
      </w:pPr>
      <w:r>
        <w:rPr>
          <w:rFonts w:ascii="Cambria" w:cs="Cambria" w:eastAsia="Cambria" w:hAnsi="Cambria"/>
          <w:i/>
          <w:iCs/>
          <w:color w:val="5B6573"/>
          <w:sz w:val="24"/>
          <w:szCs w:val="24"/>
        </w:rPr>
        <w:t xml:space="preserve">The Entire Industrial Eco System Commonly Known As “The Industrial Universe”</w:t>
      </w:r>
    </w:p>
    <w:p>
      <w:pPr>
        <w:spacing w:after="600" w:before="0"/>
        <w:jc w:val="center"/>
      </w:pPr>
      <w:r>
        <w:rPr>
          <w:rFonts w:ascii="Calibri" w:cs="Calibri" w:eastAsia="Calibri" w:hAnsi="Calibri"/>
          <w:b/>
          <w:bCs/>
          <w:color w:val="0064DC"/>
          <w:sz w:val="22"/>
          <w:szCs w:val="22"/>
        </w:rPr>
        <w:t xml:space="preserve">23 Entities  |  72 Verticals  |  Pan-India Footprint  |  Global Mandate</w:t>
      </w:r>
    </w:p>
    <w:p>
      <w:pPr>
        <w:spacing w:after="120" w:before="400"/>
        <w:jc w:val="center"/>
      </w:pPr>
      <w:r>
        <w:rPr>
          <w:rFonts w:ascii="Calibri" w:cs="Calibri" w:eastAsia="Calibri" w:hAnsi="Calibri"/>
          <w:color w:val="5B6573"/>
          <w:sz w:val="20"/>
          <w:szCs w:val="20"/>
        </w:rPr>
        <w:t xml:space="preserve">Project Code</w:t>
      </w:r>
    </w:p>
    <w:p>
      <w:pPr>
        <w:spacing w:after="320" w:before="0"/>
        <w:jc w:val="center"/>
      </w:pPr>
      <w:r>
        <w:rPr>
          <w:rFonts w:ascii="Cambria" w:cs="Cambria" w:eastAsia="Cambria" w:hAnsi="Cambria"/>
          <w:b/>
          <w:bCs/>
          <w:color w:val="1B3A5C"/>
          <w:sz w:val="30"/>
          <w:szCs w:val="30"/>
        </w:rPr>
        <w:t xml:space="preserve">JIGISHA-WEB-DPR-2026-001</w:t>
      </w:r>
    </w:p>
    <w:p>
      <w:pPr>
        <w:spacing w:after="60" w:before="100"/>
        <w:jc w:val="center"/>
      </w:pPr>
      <w:r>
        <w:rPr>
          <w:rFonts w:ascii="Calibri" w:cs="Calibri" w:eastAsia="Calibri" w:hAnsi="Calibri"/>
          <w:color w:val="5B6573"/>
          <w:sz w:val="20"/>
          <w:szCs w:val="20"/>
        </w:rPr>
        <w:t xml:space="preserve">Document Version</w:t>
      </w:r>
    </w:p>
    <w:p>
      <w:pPr>
        <w:spacing w:after="320" w:before="0"/>
        <w:jc w:val="center"/>
      </w:pPr>
      <w:r>
        <w:rPr>
          <w:rFonts w:ascii="Calibri" w:cs="Calibri" w:eastAsia="Calibri" w:hAnsi="Calibri"/>
          <w:b/>
          <w:bCs/>
          <w:color w:val="1B3A5C"/>
          <w:sz w:val="24"/>
          <w:szCs w:val="24"/>
        </w:rPr>
        <w:t xml:space="preserve">v1.0  |  Issued for Approval</w:t>
      </w:r>
    </w:p>
    <w:p>
      <w:pPr>
        <w:spacing w:after="60" w:before="100"/>
        <w:jc w:val="center"/>
      </w:pPr>
      <w:r>
        <w:rPr>
          <w:rFonts w:ascii="Calibri" w:cs="Calibri" w:eastAsia="Calibri" w:hAnsi="Calibri"/>
          <w:color w:val="5B6573"/>
          <w:sz w:val="20"/>
          <w:szCs w:val="20"/>
        </w:rPr>
        <w:t xml:space="preserve">Prepared By</w:t>
      </w:r>
    </w:p>
    <w:p>
      <w:pPr>
        <w:spacing w:after="60" w:before="0"/>
        <w:jc w:val="center"/>
      </w:pPr>
      <w:r>
        <w:rPr>
          <w:rFonts w:ascii="Cambria" w:cs="Cambria" w:eastAsia="Cambria" w:hAnsi="Cambria"/>
          <w:b/>
          <w:bCs/>
          <w:color w:val="1B3A5C"/>
          <w:sz w:val="24"/>
          <w:szCs w:val="24"/>
        </w:rPr>
        <w:t xml:space="preserve">Jigisha Infotech Pvt. Ltd.</w:t>
      </w:r>
    </w:p>
    <w:p>
      <w:pPr>
        <w:spacing w:after="320" w:before="0"/>
        <w:jc w:val="center"/>
      </w:pPr>
      <w:r>
        <w:rPr>
          <w:rFonts w:ascii="Calibri" w:cs="Calibri" w:eastAsia="Calibri" w:hAnsi="Calibri"/>
          <w:color w:val="5B6573"/>
          <w:sz w:val="20"/>
          <w:szCs w:val="20"/>
        </w:rPr>
        <w:t xml:space="preserve">Digital Strategy &amp; Web Engineering Practice</w:t>
      </w:r>
    </w:p>
    <w:p>
      <w:pPr>
        <w:spacing w:after="60" w:before="100"/>
        <w:jc w:val="center"/>
      </w:pPr>
      <w:r>
        <w:rPr>
          <w:rFonts w:ascii="Calibri" w:cs="Calibri" w:eastAsia="Calibri" w:hAnsi="Calibri"/>
          <w:color w:val="5B6573"/>
          <w:sz w:val="20"/>
          <w:szCs w:val="20"/>
        </w:rPr>
        <w:t xml:space="preserve">Approving Authority</w:t>
      </w:r>
    </w:p>
    <w:p>
      <w:pPr>
        <w:spacing w:after="60" w:before="0"/>
        <w:jc w:val="center"/>
      </w:pPr>
      <w:r>
        <w:rPr>
          <w:rFonts w:ascii="Cambria" w:cs="Cambria" w:eastAsia="Cambria" w:hAnsi="Cambria"/>
          <w:b/>
          <w:bCs/>
          <w:color w:val="1B3A5C"/>
          <w:sz w:val="24"/>
          <w:szCs w:val="24"/>
        </w:rPr>
        <w:t xml:space="preserve">Thakur Umesh Singh</w:t>
      </w:r>
    </w:p>
    <w:p>
      <w:pPr>
        <w:spacing w:after="60" w:before="0"/>
        <w:jc w:val="center"/>
      </w:pPr>
      <w:r>
        <w:rPr>
          <w:rFonts w:ascii="Calibri" w:cs="Calibri" w:eastAsia="Calibri" w:hAnsi="Calibri"/>
          <w:color w:val="5B6573"/>
          <w:sz w:val="20"/>
          <w:szCs w:val="20"/>
        </w:rPr>
        <w:t xml:space="preserve">Founder Chairman</w:t>
      </w:r>
    </w:p>
    <w:p>
      <w:pPr>
        <w:spacing w:after="320" w:before="0"/>
        <w:jc w:val="center"/>
      </w:pPr>
      <w:r>
        <w:rPr>
          <w:rFonts w:ascii="Calibri" w:cs="Calibri" w:eastAsia="Calibri" w:hAnsi="Calibri"/>
          <w:color w:val="5B6573"/>
          <w:sz w:val="20"/>
          <w:szCs w:val="20"/>
        </w:rPr>
        <w:t xml:space="preserve">Jigisha Enterprises Ltd. (Holding Company)</w:t>
      </w:r>
    </w:p>
    <w:p>
      <w:pPr>
        <w:spacing w:after="60" w:before="600"/>
        <w:jc w:val="center"/>
      </w:pPr>
      <w:r>
        <w:rPr>
          <w:rFonts w:ascii="Calibri" w:cs="Calibri" w:eastAsia="Calibri" w:hAnsi="Calibri"/>
          <w:color w:val="5B6573"/>
          <w:sz w:val="20"/>
          <w:szCs w:val="20"/>
        </w:rPr>
        <w:t xml:space="preserve">Issue Date: 27 April 2026</w:t>
      </w:r>
    </w:p>
    <w:p>
      <w:pPr>
        <w:spacing w:after="60" w:before="0"/>
        <w:jc w:val="center"/>
      </w:pPr>
      <w:r>
        <w:rPr>
          <w:rFonts w:ascii="Calibri" w:cs="Calibri" w:eastAsia="Calibri" w:hAnsi="Calibri"/>
          <w:color w:val="5B6573"/>
          <w:sz w:val="20"/>
          <w:szCs w:val="20"/>
        </w:rPr>
        <w:t xml:space="preserve">Corporate HQ : I-Square Corporate Park, Ahmedabad, Gujarat</w:t>
      </w:r>
    </w:p>
    <w:p>
      <w:pPr>
        <w:spacing w:after="60" w:before="0"/>
        <w:jc w:val="center"/>
      </w:pPr>
      <w:r>
        <w:rPr>
          <w:rFonts w:ascii="Calibri" w:cs="Calibri" w:eastAsia="Calibri" w:hAnsi="Calibri"/>
          <w:color w:val="5B6573"/>
          <w:sz w:val="20"/>
          <w:szCs w:val="20"/>
        </w:rPr>
        <w:t xml:space="preserve">Registered Office : Bhopal, Madhya Pradesh</w:t>
      </w:r>
    </w:p>
    <w:p>
      <w:r>
        <w:br w:type="page"/>
      </w:r>
    </w:p>
    <w:p>
      <w:pPr>
        <w:pStyle w:val="Heading1"/>
        <w:spacing w:after="180" w:before="360"/>
      </w:pPr>
      <w:r>
        <w:rPr>
          <w:rFonts w:ascii="Cambria" w:cs="Cambria" w:eastAsia="Cambria" w:hAnsi="Cambria"/>
          <w:b/>
          <w:bCs/>
          <w:color w:val="1B3A5C"/>
          <w:sz w:val="36"/>
          <w:szCs w:val="36"/>
        </w:rPr>
        <w:t xml:space="preserve">Document Control</w:t>
      </w:r>
    </w:p>
    <w:p>
      <w:pPr>
        <w:spacing w:after="60" w:before="60" w:line="300"/>
        <w:jc w:val="both"/>
      </w:pPr>
      <w:r>
        <w:rPr>
          <w:rFonts w:ascii="Calibri" w:cs="Calibri" w:eastAsia="Calibri" w:hAnsi="Calibri"/>
          <w:sz w:val="22"/>
          <w:szCs w:val="22"/>
        </w:rPr>
        <w:t xml:space="preserve">This Detailed Project Report (“DPR”) governs the design, build, deployment and operation of jigisha.in — the Master Corporate Website of Jigisha Group of Companies. The document is treated as a controlled record under the Group’s digital governance framework. All revisions, approvals, and circulation events shall be logged in the Revision History table maintained below. Any deviation from this DPR during execution shall be processed through the formal Change Control procedure described in Section 29.</w:t>
      </w:r>
    </w:p>
    <w:p>
      <w:pPr>
        <w:pStyle w:val="Heading3"/>
        <w:spacing w:after="100" w:before="200"/>
      </w:pPr>
      <w:r>
        <w:rPr>
          <w:rFonts w:ascii="Cambria" w:cs="Cambria" w:eastAsia="Cambria" w:hAnsi="Cambria"/>
          <w:b/>
          <w:bCs/>
          <w:color w:val="0064DC"/>
          <w:sz w:val="24"/>
          <w:szCs w:val="24"/>
        </w:rPr>
        <w:t xml:space="preserve">1.1  Document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Field</w:t>
            </w:r>
          </w:p>
        </w:tc>
        <w:tc>
          <w:tcPr>
            <w:tcW w:type="dxa" w:w="63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Value</w:t>
            </w:r>
          </w:p>
        </w:tc>
      </w:tr>
      <w:tr>
        <w:trPr>
          <w:tblHeader w:val="false"/>
        </w:trPr>
        <w:tc>
          <w:tcPr>
            <w:tcW w:type="dxa" w:w="3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Document Title</w:t>
            </w:r>
          </w:p>
        </w:tc>
        <w:tc>
          <w:tcPr>
            <w:tcW w:type="dxa" w:w="6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Detailed Project Report — jigisha.in Master Corporate Website</w:t>
            </w:r>
          </w:p>
        </w:tc>
      </w:tr>
      <w:tr>
        <w:trPr>
          <w:tblHeader w:val="false"/>
        </w:trPr>
        <w:tc>
          <w:tcPr>
            <w:tcW w:type="dxa" w:w="3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Document Code</w:t>
            </w:r>
          </w:p>
        </w:tc>
        <w:tc>
          <w:tcPr>
            <w:tcW w:type="dxa" w:w="6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JIGISHA-WEB-DPR-2026-001</w:t>
            </w:r>
          </w:p>
        </w:tc>
      </w:tr>
      <w:tr>
        <w:trPr>
          <w:tblHeader w:val="false"/>
        </w:trPr>
        <w:tc>
          <w:tcPr>
            <w:tcW w:type="dxa" w:w="3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Version</w:t>
            </w:r>
          </w:p>
        </w:tc>
        <w:tc>
          <w:tcPr>
            <w:tcW w:type="dxa" w:w="6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 (Issued for Approval)</w:t>
            </w:r>
          </w:p>
        </w:tc>
      </w:tr>
      <w:tr>
        <w:trPr>
          <w:tblHeader w:val="false"/>
        </w:trPr>
        <w:tc>
          <w:tcPr>
            <w:tcW w:type="dxa" w:w="3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Classification</w:t>
            </w:r>
          </w:p>
        </w:tc>
        <w:tc>
          <w:tcPr>
            <w:tcW w:type="dxa" w:w="6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Internal — Group Confidential</w:t>
            </w:r>
          </w:p>
        </w:tc>
      </w:tr>
      <w:tr>
        <w:trPr>
          <w:tblHeader w:val="false"/>
        </w:trPr>
        <w:tc>
          <w:tcPr>
            <w:tcW w:type="dxa" w:w="3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Programme</w:t>
            </w:r>
          </w:p>
        </w:tc>
        <w:tc>
          <w:tcPr>
            <w:tcW w:type="dxa" w:w="6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Digital Estate Programme</w:t>
            </w:r>
          </w:p>
        </w:tc>
      </w:tr>
      <w:tr>
        <w:trPr>
          <w:tblHeader w:val="false"/>
        </w:trPr>
        <w:tc>
          <w:tcPr>
            <w:tcW w:type="dxa" w:w="3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Workstream</w:t>
            </w:r>
          </w:p>
        </w:tc>
        <w:tc>
          <w:tcPr>
            <w:tcW w:type="dxa" w:w="6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Master Web Property</w:t>
            </w:r>
          </w:p>
        </w:tc>
      </w:tr>
      <w:tr>
        <w:trPr>
          <w:tblHeader w:val="false"/>
        </w:trPr>
        <w:tc>
          <w:tcPr>
            <w:tcW w:type="dxa" w:w="3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Issue Date</w:t>
            </w:r>
          </w:p>
        </w:tc>
        <w:tc>
          <w:tcPr>
            <w:tcW w:type="dxa" w:w="6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27 April 2026</w:t>
            </w:r>
          </w:p>
        </w:tc>
      </w:tr>
      <w:tr>
        <w:trPr>
          <w:tblHeader w:val="false"/>
        </w:trPr>
        <w:tc>
          <w:tcPr>
            <w:tcW w:type="dxa" w:w="3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Effective From</w:t>
            </w:r>
          </w:p>
        </w:tc>
        <w:tc>
          <w:tcPr>
            <w:tcW w:type="dxa" w:w="6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Date of Approval by Founder Chairman</w:t>
            </w:r>
          </w:p>
        </w:tc>
      </w:tr>
      <w:tr>
        <w:trPr>
          <w:tblHeader w:val="false"/>
        </w:trPr>
        <w:tc>
          <w:tcPr>
            <w:tcW w:type="dxa" w:w="3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Custodian</w:t>
            </w:r>
          </w:p>
        </w:tc>
        <w:tc>
          <w:tcPr>
            <w:tcW w:type="dxa" w:w="6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Infotech Pvt. Ltd. — Web Engineering Practice</w:t>
            </w:r>
          </w:p>
        </w:tc>
      </w:tr>
      <w:tr>
        <w:trPr>
          <w:tblHeader w:val="false"/>
        </w:trPr>
        <w:tc>
          <w:tcPr>
            <w:tcW w:type="dxa" w:w="3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Distribution</w:t>
            </w:r>
          </w:p>
        </w:tc>
        <w:tc>
          <w:tcPr>
            <w:tcW w:type="dxa" w:w="6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Board of Directors, CXO Office, Subsidiary Heads, IT Steering Committee, External Auditor (on request)</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2400"/>
        <w:gridCol w:w="2760"/>
      </w:tblGrid>
      <w:tr>
        <w:trPr>
          <w:tblHeader/>
        </w:trPr>
        <w:tc>
          <w:tcPr>
            <w:tcW w:type="dxa" w:w="9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Rev.</w:t>
            </w:r>
          </w:p>
        </w:tc>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Date</w:t>
            </w:r>
          </w:p>
        </w:tc>
        <w:tc>
          <w:tcPr>
            <w:tcW w:type="dxa" w:w="18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Author</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Reviewer</w:t>
            </w:r>
          </w:p>
        </w:tc>
        <w:tc>
          <w:tcPr>
            <w:tcW w:type="dxa" w:w="27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Description</w:t>
            </w:r>
          </w:p>
        </w:tc>
      </w:tr>
      <w:tr>
        <w:trPr>
          <w:tblHeader w:val="false"/>
        </w:trPr>
        <w:tc>
          <w:tcPr>
            <w:tcW w:type="dxa" w:w="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0.1</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10-Apr-2026</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Practice</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Practice Lead</w:t>
            </w:r>
          </w:p>
        </w:tc>
        <w:tc>
          <w:tcPr>
            <w:tcW w:type="dxa" w:w="2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Internal first draft — IA &amp; objectives</w:t>
            </w:r>
          </w:p>
        </w:tc>
      </w:tr>
      <w:tr>
        <w:trPr>
          <w:tblHeader w:val="false"/>
        </w:trPr>
        <w:tc>
          <w:tcPr>
            <w:tcW w:type="dxa" w:w="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0.5</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18-Apr-2026</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Practice</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CTO Office</w:t>
            </w:r>
          </w:p>
        </w:tc>
        <w:tc>
          <w:tcPr>
            <w:tcW w:type="dxa" w:w="2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Architecture, security and integration sections added</w:t>
            </w:r>
          </w:p>
        </w:tc>
      </w:tr>
      <w:tr>
        <w:trPr>
          <w:tblHeader w:val="false"/>
        </w:trPr>
        <w:tc>
          <w:tcPr>
            <w:tcW w:type="dxa" w:w="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0.8</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23-Apr-2026</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Practice</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Brand &amp; Marketing</w:t>
            </w:r>
          </w:p>
        </w:tc>
        <w:tc>
          <w:tcPr>
            <w:tcW w:type="dxa" w:w="2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Content strategy, design system, accessibility added</w:t>
            </w:r>
          </w:p>
        </w:tc>
      </w:tr>
      <w:tr>
        <w:trPr>
          <w:tblHeader w:val="false"/>
        </w:trPr>
        <w:tc>
          <w:tcPr>
            <w:tcW w:type="dxa" w:w="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27-Apr-2026</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Practice</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Founder Chairman</w:t>
            </w:r>
          </w:p>
        </w:tc>
        <w:tc>
          <w:tcPr>
            <w:tcW w:type="dxa" w:w="2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Issued for Approval — baseline</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1.3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60"/>
      </w:tblGrid>
      <w:tr>
        <w:trPr>
          <w:tblHeader/>
        </w:trPr>
        <w:tc>
          <w:tcPr>
            <w:tcW w:type="dxa" w:w="3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Role</w:t>
            </w:r>
          </w:p>
        </w:tc>
        <w:tc>
          <w:tcPr>
            <w:tcW w:type="dxa" w:w="3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Name / Designation</w:t>
            </w:r>
          </w:p>
        </w:tc>
        <w:tc>
          <w:tcPr>
            <w:tcW w:type="dxa" w:w="27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Signature &amp; Date</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Sponsor / Approving Authority</w:t>
            </w:r>
          </w:p>
        </w:tc>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Thakur Umesh Singh, Founder Chairman, Jigisha Enterprises Ltd.</w:t>
            </w:r>
          </w:p>
        </w:tc>
        <w:tc>
          <w:tcPr>
            <w:tcW w:type="dxa" w:w="2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Director (Strategy)</w:t>
            </w:r>
          </w:p>
        </w:tc>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Rajveer Singh, Director</w:t>
            </w:r>
          </w:p>
        </w:tc>
        <w:tc>
          <w:tcPr>
            <w:tcW w:type="dxa" w:w="2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Director (Operations)</w:t>
            </w:r>
          </w:p>
        </w:tc>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Vinod Kumar Dunsua, Director</w:t>
            </w:r>
          </w:p>
        </w:tc>
        <w:tc>
          <w:tcPr>
            <w:tcW w:type="dxa" w:w="2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Programme Owner</w:t>
            </w:r>
          </w:p>
        </w:tc>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Head — Group Brand &amp; Communications</w:t>
            </w:r>
          </w:p>
        </w:tc>
        <w:tc>
          <w:tcPr>
            <w:tcW w:type="dxa" w:w="2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Technical Authority</w:t>
            </w:r>
          </w:p>
        </w:tc>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CTO, Jigisha Infotech Pvt. Ltd.</w:t>
            </w:r>
          </w:p>
        </w:tc>
        <w:tc>
          <w:tcPr>
            <w:tcW w:type="dxa" w:w="2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Information Security</w:t>
            </w:r>
          </w:p>
        </w:tc>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CISO</w:t>
            </w:r>
          </w:p>
        </w:tc>
        <w:tc>
          <w:tcPr>
            <w:tcW w:type="dxa" w:w="2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Legal &amp; Compliance</w:t>
            </w:r>
          </w:p>
        </w:tc>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General Counsel</w:t>
            </w:r>
          </w:p>
        </w:tc>
        <w:tc>
          <w:tcPr>
            <w:tcW w:type="dxa" w:w="2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Finance</w:t>
            </w:r>
          </w:p>
        </w:tc>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CFO</w:t>
            </w:r>
          </w:p>
        </w:tc>
        <w:tc>
          <w:tcPr>
            <w:tcW w:type="dxa" w:w="2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1.4  Reference Documents</w:t>
      </w:r>
    </w:p>
    <w:p>
      <w:pPr>
        <w:pStyle w:val="ListParagraph"/>
        <w:numPr>
          <w:ilvl w:val="0"/>
          <w:numId w:val="2"/>
        </w:numPr>
        <w:spacing w:after="40" w:before="40" w:line="280"/>
      </w:pPr>
      <w:r>
        <w:rPr>
          <w:rFonts w:ascii="Calibri" w:cs="Calibri" w:eastAsia="Calibri" w:hAnsi="Calibri"/>
          <w:sz w:val="22"/>
          <w:szCs w:val="22"/>
        </w:rPr>
        <w:t xml:space="preserve">Jigisha Group Master Knowledge Database v3.0 (DOCX, 8 parts) — canonical entity, scope and operational reference.</w:t>
      </w:r>
    </w:p>
    <w:p>
      <w:pPr>
        <w:pStyle w:val="ListParagraph"/>
        <w:numPr>
          <w:ilvl w:val="0"/>
          <w:numId w:val="2"/>
        </w:numPr>
        <w:spacing w:after="40" w:before="40" w:line="280"/>
      </w:pPr>
      <w:r>
        <w:rPr>
          <w:rFonts w:ascii="Calibri" w:cs="Calibri" w:eastAsia="Calibri" w:hAnsi="Calibri"/>
          <w:sz w:val="22"/>
          <w:szCs w:val="22"/>
        </w:rPr>
        <w:t xml:space="preserve">DPR Compendium v3.2 — 23-entity Group Structure baseline.</w:t>
      </w:r>
    </w:p>
    <w:p>
      <w:pPr>
        <w:pStyle w:val="ListParagraph"/>
        <w:numPr>
          <w:ilvl w:val="0"/>
          <w:numId w:val="2"/>
        </w:numPr>
        <w:spacing w:after="40" w:before="40" w:line="280"/>
      </w:pPr>
      <w:r>
        <w:rPr>
          <w:rFonts w:ascii="Calibri" w:cs="Calibri" w:eastAsia="Calibri" w:hAnsi="Calibri"/>
          <w:sz w:val="22"/>
          <w:szCs w:val="22"/>
        </w:rPr>
        <w:t xml:space="preserve">Strategic Roadmap v1 (10-Phase / 10-Year, Y1 ₹1,613 Cr → Y10 ₹96,700 Cr consolidated revenue).</w:t>
      </w:r>
    </w:p>
    <w:p>
      <w:pPr>
        <w:pStyle w:val="ListParagraph"/>
        <w:numPr>
          <w:ilvl w:val="0"/>
          <w:numId w:val="2"/>
        </w:numPr>
        <w:spacing w:after="40" w:before="40" w:line="280"/>
      </w:pPr>
      <w:r>
        <w:rPr>
          <w:rFonts w:ascii="Calibri" w:cs="Calibri" w:eastAsia="Calibri" w:hAnsi="Calibri"/>
          <w:sz w:val="22"/>
          <w:szCs w:val="22"/>
        </w:rPr>
        <w:t xml:space="preserve">JIPL Website DPR (JIPL-WEB-DPR-2026-001) — sister deliverable for jigisha.industries reference architecture.</w:t>
      </w:r>
    </w:p>
    <w:p>
      <w:pPr>
        <w:pStyle w:val="ListParagraph"/>
        <w:numPr>
          <w:ilvl w:val="0"/>
          <w:numId w:val="2"/>
        </w:numPr>
        <w:spacing w:after="40" w:before="40" w:line="280"/>
      </w:pPr>
      <w:r>
        <w:rPr>
          <w:rFonts w:ascii="Calibri" w:cs="Calibri" w:eastAsia="Calibri" w:hAnsi="Calibri"/>
          <w:sz w:val="22"/>
          <w:szCs w:val="22"/>
        </w:rPr>
        <w:t xml:space="preserve">Mission Gold Bird India — umbrella mission charter and six-mission portfolio.</w:t>
      </w:r>
    </w:p>
    <w:p>
      <w:pPr>
        <w:pStyle w:val="ListParagraph"/>
        <w:numPr>
          <w:ilvl w:val="0"/>
          <w:numId w:val="2"/>
        </w:numPr>
        <w:spacing w:after="40" w:before="40" w:line="280"/>
      </w:pPr>
      <w:r>
        <w:rPr>
          <w:rFonts w:ascii="Calibri" w:cs="Calibri" w:eastAsia="Calibri" w:hAnsi="Calibri"/>
          <w:sz w:val="22"/>
          <w:szCs w:val="22"/>
        </w:rPr>
        <w:t xml:space="preserve">Products &amp; Services Master Catalogue — 36,469 SKU/service lines (4 catalogues).</w:t>
      </w:r>
    </w:p>
    <w:p>
      <w:pPr>
        <w:pStyle w:val="ListParagraph"/>
        <w:numPr>
          <w:ilvl w:val="0"/>
          <w:numId w:val="2"/>
        </w:numPr>
        <w:spacing w:after="40" w:before="40" w:line="280"/>
      </w:pPr>
      <w:r>
        <w:rPr>
          <w:rFonts w:ascii="Calibri" w:cs="Calibri" w:eastAsia="Calibri" w:hAnsi="Calibri"/>
          <w:sz w:val="22"/>
          <w:szCs w:val="22"/>
        </w:rPr>
        <w:t xml:space="preserve">Brand Identity Guideline v2 — Navy #1B3A5C, Gold #C8A041, Saffron, Accent Blue #0064DC.</w:t>
      </w:r>
    </w:p>
    <w:p>
      <w:pPr>
        <w:pStyle w:val="ListParagraph"/>
        <w:numPr>
          <w:ilvl w:val="0"/>
          <w:numId w:val="2"/>
        </w:numPr>
        <w:spacing w:after="40" w:before="40" w:line="280"/>
      </w:pPr>
      <w:r>
        <w:rPr>
          <w:rFonts w:ascii="Calibri" w:cs="Calibri" w:eastAsia="Calibri" w:hAnsi="Calibri"/>
          <w:sz w:val="22"/>
          <w:szCs w:val="22"/>
        </w:rPr>
        <w:t xml:space="preserve">Group Information Security Policy and Data Classification Standard.</w:t>
      </w:r>
    </w:p>
    <w:p>
      <w:pPr>
        <w:pStyle w:val="ListParagraph"/>
        <w:numPr>
          <w:ilvl w:val="0"/>
          <w:numId w:val="2"/>
        </w:numPr>
        <w:spacing w:after="40" w:before="40" w:line="280"/>
      </w:pPr>
      <w:r>
        <w:rPr>
          <w:rFonts w:ascii="Calibri" w:cs="Calibri" w:eastAsia="Calibri" w:hAnsi="Calibri"/>
          <w:sz w:val="22"/>
          <w:szCs w:val="22"/>
        </w:rPr>
        <w:t xml:space="preserve">Information Technology Act, 2000 (as amended) and Digital Personal Data Protection Act, 2023.</w:t>
      </w:r>
    </w:p>
    <w:p>
      <w:pPr>
        <w:pStyle w:val="ListParagraph"/>
        <w:numPr>
          <w:ilvl w:val="0"/>
          <w:numId w:val="2"/>
        </w:numPr>
        <w:spacing w:after="40" w:before="40" w:line="280"/>
      </w:pPr>
      <w:r>
        <w:rPr>
          <w:rFonts w:ascii="Calibri" w:cs="Calibri" w:eastAsia="Calibri" w:hAnsi="Calibri"/>
          <w:sz w:val="22"/>
          <w:szCs w:val="22"/>
        </w:rPr>
        <w:t xml:space="preserve">Companies Act, 2013 — disclosure obligations applicable to corporate websites.</w:t>
      </w:r>
    </w:p>
    <w:p>
      <w:r>
        <w:br w:type="page"/>
      </w:r>
    </w:p>
    <w:p>
      <w:pPr>
        <w:pStyle w:val="Heading1"/>
        <w:spacing w:after="180" w:before="360"/>
      </w:pPr>
      <w:r>
        <w:rPr>
          <w:rFonts w:ascii="Cambria" w:cs="Cambria" w:eastAsia="Cambria" w:hAnsi="Cambria"/>
          <w:b/>
          <w:bCs/>
          <w:color w:val="1B3A5C"/>
          <w:sz w:val="36"/>
          <w:szCs w:val="36"/>
        </w:rPr>
        <w:t xml:space="preserve">Table of Contents</w:t>
      </w:r>
    </w:p>
    <w:p>
      <w:pPr>
        <w:spacing w:after="60" w:before="60" w:line="300"/>
        <w:jc w:val="both"/>
      </w:pPr>
      <w:r>
        <w:rPr>
          <w:rFonts w:ascii="Calibri" w:cs="Calibri" w:eastAsia="Calibri" w:hAnsi="Calibri"/>
          <w:sz w:val="22"/>
          <w:szCs w:val="22"/>
        </w:rPr>
        <w:t xml:space="preserve">The following Table of Contents reflects the section structure of this DPR. After opening the document in Microsoft Word, please right-click on the field below and select “Update Field” to populate live page numbers.</w:t>
      </w:r>
    </w:p>
    <w:sdt>
      <w:sdtPr>
        <w:alias w:val="Detailed 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180" w:before="360"/>
      </w:pPr>
      <w:r>
        <w:rPr>
          <w:rFonts w:ascii="Cambria" w:cs="Cambria" w:eastAsia="Cambria" w:hAnsi="Cambria"/>
          <w:b/>
          <w:bCs/>
          <w:color w:val="1B3A5C"/>
          <w:sz w:val="36"/>
          <w:szCs w:val="36"/>
        </w:rPr>
        <w:t xml:space="preserve">2.  Executive Summary</w:t>
      </w:r>
    </w:p>
    <w:p>
      <w:pPr>
        <w:spacing w:after="60" w:before="60" w:line="300"/>
        <w:jc w:val="both"/>
      </w:pPr>
      <w:r>
        <w:rPr>
          <w:rFonts w:ascii="Calibri" w:cs="Calibri" w:eastAsia="Calibri" w:hAnsi="Calibri"/>
          <w:sz w:val="22"/>
          <w:szCs w:val="22"/>
        </w:rPr>
        <w:t xml:space="preserve">Jigisha Group of Companies — trading under the canonical descriptor “The Entire Industrial Eco System Commonly Known As The Industrial Universe” — is a diversified Indian industrial conglomerate operating 23 subsidiary entities under the holding company Jigisha Enterprises Ltd. The Group spans railways, defence, agriculture, renewable energy, information technology, healthcare, logistics, electricals, automobiles, engineering, media, infrastructure, hospitality, consultancy, environmental services, international trade and allied verticals.</w:t>
      </w:r>
    </w:p>
    <w:p>
      <w:pPr>
        <w:spacing w:after="60" w:before="60" w:line="300"/>
        <w:jc w:val="both"/>
      </w:pPr>
      <w:r>
        <w:rPr>
          <w:rFonts w:ascii="Calibri" w:cs="Calibri" w:eastAsia="Calibri" w:hAnsi="Calibri"/>
          <w:sz w:val="22"/>
          <w:szCs w:val="22"/>
        </w:rPr>
        <w:t xml:space="preserve">As the Group transitions from a federation of operating companies to a publicly recognised industrial brand with a 10-year revenue trajectory of ₹1,613 Crore in Year 1 to ₹96,700 Crore in Year 10, its public-facing digital estate must reflect the scale, sophistication and strategic intent of the enterprise. The Master Corporate Website at jigisha.in is therefore the apex digital property of the Group — the canonical online identity through which investors, partners, customers, regulators, talent and the public engage with the Jigisha brand.</w:t>
      </w:r>
    </w:p>
    <w:p>
      <w:pPr>
        <w:spacing w:after="60" w:before="60" w:line="300"/>
        <w:jc w:val="both"/>
      </w:pPr>
      <w:r>
        <w:rPr>
          <w:rFonts w:ascii="Calibri" w:cs="Calibri" w:eastAsia="Calibri" w:hAnsi="Calibri"/>
          <w:sz w:val="22"/>
          <w:szCs w:val="22"/>
        </w:rPr>
        <w:t xml:space="preserve">This DPR specifies the end-to-end design, build, deployment, operation and continuous improvement of jigisha.in. It is intended to be the single, authoritative reference for the Sponsor, the Board, the executing technology team at Jigisha Infotech Pvt. Ltd., and any external partners engaged on the engagement.</w:t>
      </w:r>
    </w:p>
    <w:p>
      <w:pPr>
        <w:pStyle w:val="Heading3"/>
        <w:spacing w:after="100" w:before="200"/>
      </w:pPr>
      <w:r>
        <w:rPr>
          <w:rFonts w:ascii="Cambria" w:cs="Cambria" w:eastAsia="Cambria" w:hAnsi="Cambria"/>
          <w:b/>
          <w:bCs/>
          <w:color w:val="0064DC"/>
          <w:sz w:val="24"/>
          <w:szCs w:val="24"/>
        </w:rPr>
        <w:t xml:space="preserve">2.1  Strategic Positioning</w:t>
      </w:r>
    </w:p>
    <w:p>
      <w:pPr>
        <w:spacing w:after="60" w:before="60" w:line="300"/>
        <w:jc w:val="both"/>
      </w:pPr>
      <w:r>
        <w:rPr>
          <w:rFonts w:ascii="Calibri" w:cs="Calibri" w:eastAsia="Calibri" w:hAnsi="Calibri"/>
          <w:sz w:val="22"/>
          <w:szCs w:val="22"/>
        </w:rPr>
        <w:t xml:space="preserve">Within the wider Jigisha Digital Estate, the properties are positioned as follows, and this DPR shall be read in alignment with that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Domain</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Role</w:t>
            </w:r>
          </w:p>
        </w:tc>
        <w:tc>
          <w:tcPr>
            <w:tcW w:type="dxa" w:w="45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Audience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jigisha.in</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Master — corporate identity, governance, holding company narrative</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Investors, regulators, partners, media, talent, public</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jigisha.industries</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Operating Group portal — industrial products, services, B2B engagement</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B2B buyers, vendors, OEMs, government procurement</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jigisha.net</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FlowSuite SaaS marketing site</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SaaS prospects, channel partners, integrators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jigisha.digital</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Infotech corporate hub</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IT services prospects, technology partners, talent</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microsites</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Per-entity deep dives (e.g., Railtech, Defence, Agro, Green)</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Vertical-specific buyers and stakeholders</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2.2  Headline Objectives</w:t>
      </w:r>
    </w:p>
    <w:p>
      <w:pPr>
        <w:pStyle w:val="ListParagraph"/>
        <w:numPr>
          <w:ilvl w:val="0"/>
          <w:numId w:val="2"/>
        </w:numPr>
        <w:spacing w:after="40" w:before="40" w:line="280"/>
      </w:pPr>
      <w:r>
        <w:rPr>
          <w:rFonts w:ascii="Calibri" w:cs="Calibri" w:eastAsia="Calibri" w:hAnsi="Calibri"/>
          <w:sz w:val="22"/>
          <w:szCs w:val="22"/>
        </w:rPr>
        <w:t xml:space="preserve">Establish jigisha.in as the canonical digital identity of Jigisha Group of Companies, presenting the Group as a single, coherent, investible industrial enterprise.</w:t>
      </w:r>
    </w:p>
    <w:p>
      <w:pPr>
        <w:pStyle w:val="ListParagraph"/>
        <w:numPr>
          <w:ilvl w:val="0"/>
          <w:numId w:val="2"/>
        </w:numPr>
        <w:spacing w:after="40" w:before="40" w:line="280"/>
      </w:pPr>
      <w:r>
        <w:rPr>
          <w:rFonts w:ascii="Calibri" w:cs="Calibri" w:eastAsia="Calibri" w:hAnsi="Calibri"/>
          <w:sz w:val="22"/>
          <w:szCs w:val="22"/>
        </w:rPr>
        <w:t xml:space="preserve">Communicate the 23-entity portfolio, 72-vertical footprint, six-mission umbrella and the 10-year strategic roadmap with clarity and gravitas.</w:t>
      </w:r>
    </w:p>
    <w:p>
      <w:pPr>
        <w:pStyle w:val="ListParagraph"/>
        <w:numPr>
          <w:ilvl w:val="0"/>
          <w:numId w:val="2"/>
        </w:numPr>
        <w:spacing w:after="40" w:before="40" w:line="280"/>
      </w:pPr>
      <w:r>
        <w:rPr>
          <w:rFonts w:ascii="Calibri" w:cs="Calibri" w:eastAsia="Calibri" w:hAnsi="Calibri"/>
          <w:sz w:val="22"/>
          <w:szCs w:val="22"/>
        </w:rPr>
        <w:t xml:space="preserve">Serve investor relations, statutory disclosures, governance reporting and ESG narrative for current and prospective stakeholders.</w:t>
      </w:r>
    </w:p>
    <w:p>
      <w:pPr>
        <w:pStyle w:val="ListParagraph"/>
        <w:numPr>
          <w:ilvl w:val="0"/>
          <w:numId w:val="2"/>
        </w:numPr>
        <w:spacing w:after="40" w:before="40" w:line="280"/>
      </w:pPr>
      <w:r>
        <w:rPr>
          <w:rFonts w:ascii="Calibri" w:cs="Calibri" w:eastAsia="Calibri" w:hAnsi="Calibri"/>
          <w:sz w:val="22"/>
          <w:szCs w:val="22"/>
        </w:rPr>
        <w:t xml:space="preserve">Provide a high-conversion top-of-funnel for partner, vendor, customer and talent acquisition across all 23 subsidiaries.</w:t>
      </w:r>
    </w:p>
    <w:p>
      <w:pPr>
        <w:pStyle w:val="ListParagraph"/>
        <w:numPr>
          <w:ilvl w:val="0"/>
          <w:numId w:val="2"/>
        </w:numPr>
        <w:spacing w:after="40" w:before="40" w:line="280"/>
      </w:pPr>
      <w:r>
        <w:rPr>
          <w:rFonts w:ascii="Calibri" w:cs="Calibri" w:eastAsia="Calibri" w:hAnsi="Calibri"/>
          <w:sz w:val="22"/>
          <w:szCs w:val="22"/>
        </w:rPr>
        <w:t xml:space="preserve">Operate as the central hub of an interconnected digital estate, routing visitors to subsidiary properties through context-aware navigation.</w:t>
      </w:r>
    </w:p>
    <w:p>
      <w:pPr>
        <w:pStyle w:val="ListParagraph"/>
        <w:numPr>
          <w:ilvl w:val="0"/>
          <w:numId w:val="2"/>
        </w:numPr>
        <w:spacing w:after="40" w:before="40" w:line="280"/>
      </w:pPr>
      <w:r>
        <w:rPr>
          <w:rFonts w:ascii="Calibri" w:cs="Calibri" w:eastAsia="Calibri" w:hAnsi="Calibri"/>
          <w:sz w:val="22"/>
          <w:szCs w:val="22"/>
        </w:rPr>
        <w:t xml:space="preserve">Achieve and sustain WCAG 2.1 AA accessibility, sub-2.5s LCP performance, and ISO 27001-aligned security posture.</w:t>
      </w:r>
    </w:p>
    <w:p>
      <w:pPr>
        <w:pStyle w:val="Heading3"/>
        <w:spacing w:after="100" w:before="200"/>
      </w:pPr>
      <w:r>
        <w:rPr>
          <w:rFonts w:ascii="Cambria" w:cs="Cambria" w:eastAsia="Cambria" w:hAnsi="Cambria"/>
          <w:b/>
          <w:bCs/>
          <w:color w:val="0064DC"/>
          <w:sz w:val="24"/>
          <w:szCs w:val="24"/>
        </w:rPr>
        <w:t xml:space="preserve">2.3  Solution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Attribute</w:t>
            </w:r>
          </w:p>
        </w:tc>
        <w:tc>
          <w:tcPr>
            <w:tcW w:type="dxa" w:w="69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Specification</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Domain</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https://www.jigisha.in</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Property Type</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Master Corporate Website (CMS-driven, multilingual-ready)</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Frontend</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PHP 8.x rendered through WordPress 6.x with Induscity Child theme, custom blocks, and a hand-coded design layer</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Backend / APIs</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Headless services in Python (FastAPI) and Node.js (Express); PostgreSQL primary store; Redis cache; DynamoDB for high-traffic event logs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Hosting</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AWS GovCloud India (primary), Azure India (DR), Cloudflare CDN/WAF</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Languages</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English (default), Hindi (Phase 2), Gujarati (Phase 2), Marathi &amp; Tamil (Phase 3)</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Indicative Pages</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120–60 unique templates and content pages at launch; growing under content roadmap</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Programme Duration</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20 weeks from Project Charter approval to General Availability</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Indicative Capex</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₹1.85 Crore (build) + ₹48 Lakh / annum recurring (Year 1 OPEX)</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Steady-State SLA</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99.95% availability, 24x7 monitoring, 4-hour P1 incident response</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2.4  Expected Business Outcomes</w:t>
      </w:r>
    </w:p>
    <w:p>
      <w:pPr>
        <w:spacing w:after="60" w:before="60" w:line="300"/>
        <w:jc w:val="both"/>
      </w:pPr>
      <w:r>
        <w:rPr>
          <w:rFonts w:ascii="Calibri" w:cs="Calibri" w:eastAsia="Calibri" w:hAnsi="Calibri"/>
          <w:sz w:val="22"/>
          <w:szCs w:val="22"/>
        </w:rPr>
        <w:t xml:space="preserve">On steady-state operation (Month 12 post-launch), the Master Website is targeted to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Outcome</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Baseline (Y0)</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Target (Y1 post-launch)</w:t>
            </w:r>
          </w:p>
        </w:tc>
      </w:tr>
      <w:tr>
        <w:trPr>
          <w:tblHeader w:val="false"/>
        </w:trPr>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Monthly unique visitors</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Not measured</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1,80,000</w:t>
            </w:r>
          </w:p>
        </w:tc>
      </w:tr>
      <w:tr>
        <w:trPr>
          <w:tblHeader w:val="false"/>
        </w:trPr>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Average session duration</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Not measured</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 min 45 sec</w:t>
            </w:r>
          </w:p>
        </w:tc>
      </w:tr>
      <w:tr>
        <w:trPr>
          <w:tblHeader w:val="false"/>
        </w:trPr>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Investor / partner enquiries / month</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20</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350+</w:t>
            </w:r>
          </w:p>
        </w:tc>
      </w:tr>
      <w:tr>
        <w:trPr>
          <w:tblHeader w:val="false"/>
        </w:trPr>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Vendor / buyer registrations routed to subs</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Manual</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3,500+ / month</w:t>
            </w:r>
          </w:p>
        </w:tc>
      </w:tr>
      <w:tr>
        <w:trPr>
          <w:tblHeader w:val="false"/>
        </w:trPr>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Career applications routed to subsidiaries</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Email-based</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2,800+ / month</w:t>
            </w:r>
          </w:p>
        </w:tc>
      </w:tr>
      <w:tr>
        <w:trPr>
          <w:tblHeader w:val="false"/>
        </w:trPr>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 media downloads</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Not measured</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1,200+ / month</w:t>
            </w:r>
          </w:p>
        </w:tc>
      </w:tr>
      <w:tr>
        <w:trPr>
          <w:tblHeader w:val="false"/>
        </w:trPr>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Brand search volume (“Jigisha” + variants)</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Not benchmarked</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+220% vs. baseline</w:t>
            </w:r>
          </w:p>
        </w:tc>
      </w:tr>
      <w:tr>
        <w:trPr>
          <w:tblHeader w:val="false"/>
        </w:trPr>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Domain Authority (proxy)</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Not measured</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45</w:t>
            </w:r>
          </w:p>
        </w:tc>
      </w:tr>
      <w:tr>
        <w:trPr>
          <w:tblHeader w:val="false"/>
        </w:trPr>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Page-load LCP (P75)</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Not measured</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2.5 seconds</w:t>
            </w:r>
          </w:p>
        </w:tc>
      </w:tr>
      <w:tr>
        <w:trPr>
          <w:tblHeader w:val="false"/>
        </w:trPr>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Accessibility Conformance</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Not assessed</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WCAG 2.1 AA</w:t>
            </w:r>
          </w:p>
        </w:tc>
      </w:tr>
    </w:tbl>
    <w:p>
      <w:r>
        <w:br w:type="page"/>
      </w:r>
    </w:p>
    <w:p>
      <w:pPr>
        <w:pStyle w:val="Heading1"/>
        <w:spacing w:after="180" w:before="360"/>
      </w:pPr>
      <w:r>
        <w:rPr>
          <w:rFonts w:ascii="Cambria" w:cs="Cambria" w:eastAsia="Cambria" w:hAnsi="Cambria"/>
          <w:b/>
          <w:bCs/>
          <w:color w:val="1B3A5C"/>
          <w:sz w:val="36"/>
          <w:szCs w:val="36"/>
        </w:rPr>
        <w:t xml:space="preserve">3.  Project Overview &amp; Strategic Context</w:t>
      </w:r>
    </w:p>
    <w:p>
      <w:pPr>
        <w:pStyle w:val="Heading3"/>
        <w:spacing w:after="100" w:before="200"/>
      </w:pPr>
      <w:r>
        <w:rPr>
          <w:rFonts w:ascii="Cambria" w:cs="Cambria" w:eastAsia="Cambria" w:hAnsi="Cambria"/>
          <w:b/>
          <w:bCs/>
          <w:color w:val="0064DC"/>
          <w:sz w:val="24"/>
          <w:szCs w:val="24"/>
        </w:rPr>
        <w:t xml:space="preserve">3.1  Group Profile at a Glance</w:t>
      </w:r>
    </w:p>
    <w:p>
      <w:pPr>
        <w:spacing w:after="60" w:before="60" w:line="300"/>
        <w:jc w:val="both"/>
      </w:pPr>
      <w:r>
        <w:rPr>
          <w:rFonts w:ascii="Calibri" w:cs="Calibri" w:eastAsia="Calibri" w:hAnsi="Calibri"/>
          <w:sz w:val="22"/>
          <w:szCs w:val="22"/>
        </w:rPr>
        <w:t xml:space="preserve">Jigisha Group of Companies is a 23-entity diversified industrial conglomerate under the holding company Jigisha Enterprises Ltd. Founded and chaired by Thakur Umesh Singh, the Group has been deliberately architected as an integrated industrial ecosystem — internally referenced as “The Industrial Universe” — in which each subsidiary contributes a distinct capability layer (manufacture, services, technology, finance, infrastructure, governance) while sharing a common brand, governance and customer base.</w:t>
      </w:r>
    </w:p>
    <w:p>
      <w:pPr>
        <w:spacing w:after="60" w:before="60" w:line="300"/>
        <w:jc w:val="both"/>
      </w:pPr>
      <w:r>
        <w:rPr>
          <w:rFonts w:ascii="Calibri" w:cs="Calibri" w:eastAsia="Calibri" w:hAnsi="Calibri"/>
          <w:sz w:val="22"/>
          <w:szCs w:val="22"/>
        </w:rPr>
        <w:t xml:space="preserve">The Group operates a Corporate Headquarters at I-Square Corporate Park, Ahmedabad, Gujarat, with the Registered and original Head Office at Bhopal, Madhya Pradesh. Group-wide operations are organised around 5 Zonal Offices, 36 State Offices, more than 5,000 Branch and Service Points, and 5 international regions, with a Shared Services Centre co-located with the Corporate HQ in Ahmedabad.</w:t>
      </w:r>
    </w:p>
    <w:p>
      <w:pPr>
        <w:pStyle w:val="Heading3"/>
        <w:spacing w:after="100" w:before="200"/>
      </w:pPr>
      <w:r>
        <w:rPr>
          <w:rFonts w:ascii="Cambria" w:cs="Cambria" w:eastAsia="Cambria" w:hAnsi="Cambria"/>
          <w:b/>
          <w:bCs/>
          <w:color w:val="0064DC"/>
          <w:sz w:val="24"/>
          <w:szCs w:val="24"/>
        </w:rPr>
        <w:t xml:space="preserve">3.2  The 23-Entity Portfolio</w:t>
      </w:r>
    </w:p>
    <w:p>
      <w:pPr>
        <w:spacing w:after="60" w:before="60" w:line="300"/>
        <w:jc w:val="both"/>
      </w:pPr>
      <w:r>
        <w:rPr>
          <w:rFonts w:ascii="Calibri" w:cs="Calibri" w:eastAsia="Calibri" w:hAnsi="Calibri"/>
          <w:sz w:val="22"/>
          <w:szCs w:val="22"/>
        </w:rPr>
        <w:t xml:space="preserve">The 23 entities recognised under DPR Compendium v3.2 are listed below. The Master Website at jigisha.in shall present each entity through a standardised “Subsidiary Card” and a dedicated overview page that links onward to the subsidiary’s own digital property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rPr>
          <w:tblHeader/>
        </w:trPr>
        <w:tc>
          <w:tcPr>
            <w:tcW w:type="dxa" w:w="7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w:t>
            </w:r>
          </w:p>
        </w:tc>
        <w:tc>
          <w:tcPr>
            <w:tcW w:type="dxa" w:w="3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Entity</w:t>
            </w:r>
          </w:p>
        </w:tc>
        <w:tc>
          <w:tcPr>
            <w:tcW w:type="dxa" w:w="52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Primary Mandate</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01</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Enterprises Ltd.</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holding company, governance and capital allocation</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02</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International</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Cross-border trade, exports, and Go Global mandate</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03</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Railtech</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Railway and metro infrastructure products and services</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04</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Retails</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Organised retail, FMCG distribution, brand stores</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05</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Industries</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Heavy industrial manufacturing and capital goods</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06</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Infotech Pvt. Ltd. (JIPL)</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IT services, software platforms, AI programme, digital estate</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07</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Agro</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Agriculture, allied agri-business, Jai Kisan ERP</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08</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Electricals (JEEPL POWER)</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Electricals, electronics, power equipment</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09</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Automobiles</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Automotive products, dealerships, mobility</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Green (TERRA)</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Renewable energy, green infrastructure, sustainability</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11</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Technologies</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Emerging tech, R&amp;D, innovation portfolio</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12</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MediaVision</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Media, content, broadcast, brand publishing</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13</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Engineering</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EPC, mechanical and structural engineering</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14</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Envirocare (EARTHGUARD)</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Environmental services, waste, water, air</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15</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Pharma</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Pharmaceuticals, healthcare products</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16</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Defence</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Defence technology, dual-use systems, MoD vendor</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17</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Logistics</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Freight, warehousing, supply chain orchestration</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18</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Hospitality</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Hospitality, F&amp;B, business hospitality services</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19</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Industrial Products</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Group-wide industrial product catalogue &amp; distribution</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20</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Industrial Services</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Group-wide industrial services aggregator</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21</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Industrial Consultancy</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Advisory, consulting, project management services</w:t>
            </w:r>
          </w:p>
        </w:tc>
      </w:tr>
      <w:tr>
        <w:trPr>
          <w:tblHeader w:val="false"/>
        </w:trPr>
        <w:tc>
          <w:tcPr>
            <w:tcW w:type="dxa" w:w="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22</w:t>
            </w:r>
          </w:p>
        </w:tc>
        <w:tc>
          <w:tcPr>
            <w:tcW w:type="dxa" w:w="3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Infin</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financial services, treasury and capital arm</w:t>
            </w:r>
          </w:p>
        </w:tc>
      </w:tr>
      <w:tr>
        <w:trPr>
          <w:tblHeader w:val="false"/>
        </w:trPr>
        <w:tc>
          <w:tcPr>
            <w:tcW w:type="dxa" w:w="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23</w:t>
            </w:r>
          </w:p>
        </w:tc>
        <w:tc>
          <w:tcPr>
            <w:tcW w:type="dxa" w:w="3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Jigisha Infra</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Civil infrastructure, real estate, township development</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3.3  Strategic Roadmap Alignment</w:t>
      </w:r>
    </w:p>
    <w:p>
      <w:pPr>
        <w:spacing w:after="60" w:before="60" w:line="300"/>
        <w:jc w:val="both"/>
      </w:pPr>
      <w:r>
        <w:rPr>
          <w:rFonts w:ascii="Calibri" w:cs="Calibri" w:eastAsia="Calibri" w:hAnsi="Calibri"/>
          <w:sz w:val="22"/>
          <w:szCs w:val="22"/>
        </w:rPr>
        <w:t xml:space="preserve">The Master Website is delivered against the backdrop of a 10-Phase / 10-Year Strategic Roadmap targeting consolidated revenue of ₹1,613 Crore in Year 1, ₹24,080 Crore in Year 5, and ₹96,700 Crore in Year 10, with a Sum-of-the-Parts valuation of ₹2,66,250 Crore by Year 10 and a planned multi-tranche fundraise of ₹500–850 Crore over 36 months. The website is a primary channel through which this narrative is articulated to investors, partners and policymakers.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Metric</w:t>
            </w:r>
          </w:p>
        </w:tc>
        <w:tc>
          <w:tcPr>
            <w:tcW w:type="dxa" w:w="18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Year 1</w:t>
            </w:r>
          </w:p>
        </w:tc>
        <w:tc>
          <w:tcPr>
            <w:tcW w:type="dxa" w:w="18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Year 5</w:t>
            </w:r>
          </w:p>
        </w:tc>
        <w:tc>
          <w:tcPr>
            <w:tcW w:type="dxa" w:w="18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Year 10</w:t>
            </w:r>
          </w:p>
        </w:tc>
        <w:tc>
          <w:tcPr>
            <w:tcW w:type="dxa" w:w="18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Source</w:t>
            </w:r>
          </w:p>
        </w:tc>
      </w:tr>
      <w:tr>
        <w:trPr>
          <w:tblHeader w:val="false"/>
        </w:trPr>
        <w:tc>
          <w:tcPr>
            <w:tcW w:type="dxa" w:w="2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Consolidated revenue</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₹1,613 Cr</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₹24,080 Cr</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₹96,700 Cr</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Strategic Roadmap v1</w:t>
            </w:r>
          </w:p>
        </w:tc>
      </w:tr>
      <w:tr>
        <w:trPr>
          <w:tblHeader w:val="false"/>
        </w:trPr>
        <w:tc>
          <w:tcPr>
            <w:tcW w:type="dxa" w:w="2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SOTP valuation</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₹83,835 Cr</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₹2,66,250 Cr</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Strategic Roadmap v1</w:t>
            </w:r>
          </w:p>
        </w:tc>
      </w:tr>
      <w:tr>
        <w:trPr>
          <w:tblHeader w:val="false"/>
        </w:trPr>
        <w:tc>
          <w:tcPr>
            <w:tcW w:type="dxa" w:w="2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Tier-A subsidiaries</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Strategic Roadmap v1</w:t>
            </w:r>
          </w:p>
        </w:tc>
      </w:tr>
      <w:tr>
        <w:trPr>
          <w:tblHeader w:val="false"/>
        </w:trPr>
        <w:tc>
          <w:tcPr>
            <w:tcW w:type="dxa" w:w="2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Tier-B subsidiaries</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9</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9</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9</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Strategic Roadmap v1</w:t>
            </w:r>
          </w:p>
        </w:tc>
      </w:tr>
      <w:tr>
        <w:trPr>
          <w:tblHeader w:val="false"/>
        </w:trPr>
        <w:tc>
          <w:tcPr>
            <w:tcW w:type="dxa" w:w="2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Tier-C subsidiaries</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Strategic Roadmap v1</w:t>
            </w:r>
          </w:p>
        </w:tc>
      </w:tr>
      <w:tr>
        <w:trPr>
          <w:tblHeader w:val="false"/>
        </w:trPr>
        <w:tc>
          <w:tcPr>
            <w:tcW w:type="dxa" w:w="2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Fundraise window</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₹500–850 Cr over 36 months</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Strategic Roadmap v1</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3.4  Mission Gold Bird India Umbrella</w:t>
      </w:r>
    </w:p>
    <w:p>
      <w:pPr>
        <w:spacing w:after="60" w:before="60" w:line="300"/>
        <w:jc w:val="both"/>
      </w:pPr>
      <w:r>
        <w:rPr>
          <w:rFonts w:ascii="Calibri" w:cs="Calibri" w:eastAsia="Calibri" w:hAnsi="Calibri"/>
          <w:sz w:val="22"/>
          <w:szCs w:val="22"/>
        </w:rPr>
        <w:t xml:space="preserve">The Group operates a six-mission portfolio under the Mission Gold Bird India umbrella. The Master Website hosts the umbrella narrative and links to mission-specific subsites and DPRs. The current six missions and their stated outcomes are reproduced below for completeness:</w:t>
      </w:r>
    </w:p>
    <w:p>
      <w:pPr>
        <w:pStyle w:val="ListParagraph"/>
        <w:numPr>
          <w:ilvl w:val="0"/>
          <w:numId w:val="2"/>
        </w:numPr>
        <w:spacing w:after="40" w:before="40" w:line="280"/>
      </w:pPr>
      <w:r>
        <w:rPr>
          <w:rFonts w:ascii="Calibri" w:cs="Calibri" w:eastAsia="Calibri" w:hAnsi="Calibri"/>
          <w:sz w:val="22"/>
          <w:szCs w:val="22"/>
        </w:rPr>
        <w:t xml:space="preserve">Mission Grow India — ₹20,000–30,000 Crore annual forex savings; 5–7 million direct jobs.</w:t>
      </w:r>
    </w:p>
    <w:p>
      <w:pPr>
        <w:pStyle w:val="ListParagraph"/>
        <w:numPr>
          <w:ilvl w:val="0"/>
          <w:numId w:val="2"/>
        </w:numPr>
        <w:spacing w:after="40" w:before="40" w:line="280"/>
      </w:pPr>
      <w:r>
        <w:rPr>
          <w:rFonts w:ascii="Calibri" w:cs="Calibri" w:eastAsia="Calibri" w:hAnsi="Calibri"/>
          <w:sz w:val="22"/>
          <w:szCs w:val="22"/>
        </w:rPr>
        <w:t xml:space="preserve">Mission Pro India — premium entrepreneur brand programme (navy/gold/saffron identity).</w:t>
      </w:r>
    </w:p>
    <w:p>
      <w:pPr>
        <w:pStyle w:val="ListParagraph"/>
        <w:numPr>
          <w:ilvl w:val="0"/>
          <w:numId w:val="2"/>
        </w:numPr>
        <w:spacing w:after="40" w:before="40" w:line="280"/>
      </w:pPr>
      <w:r>
        <w:rPr>
          <w:rFonts w:ascii="Calibri" w:cs="Calibri" w:eastAsia="Calibri" w:hAnsi="Calibri"/>
          <w:sz w:val="22"/>
          <w:szCs w:val="22"/>
        </w:rPr>
        <w:t xml:space="preserve">Mission Jai Kisan — ERP serving 1,84,000+ farmers, scaling to 8,50,000+ farmer beneficiaries.</w:t>
      </w:r>
    </w:p>
    <w:p>
      <w:pPr>
        <w:pStyle w:val="ListParagraph"/>
        <w:numPr>
          <w:ilvl w:val="0"/>
          <w:numId w:val="2"/>
        </w:numPr>
        <w:spacing w:after="40" w:before="40" w:line="280"/>
      </w:pPr>
      <w:r>
        <w:rPr>
          <w:rFonts w:ascii="Calibri" w:cs="Calibri" w:eastAsia="Calibri" w:hAnsi="Calibri"/>
          <w:sz w:val="22"/>
          <w:szCs w:val="22"/>
        </w:rPr>
        <w:t xml:space="preserve">Mission Agro Fusion — ₹1,200 Crore over 5 years; 6 pillars; export to ME, Africa, SE Asia.</w:t>
      </w:r>
    </w:p>
    <w:p>
      <w:pPr>
        <w:pStyle w:val="ListParagraph"/>
        <w:numPr>
          <w:ilvl w:val="0"/>
          <w:numId w:val="2"/>
        </w:numPr>
        <w:spacing w:after="40" w:before="40" w:line="280"/>
      </w:pPr>
      <w:r>
        <w:rPr>
          <w:rFonts w:ascii="Calibri" w:cs="Calibri" w:eastAsia="Calibri" w:hAnsi="Calibri"/>
          <w:sz w:val="22"/>
          <w:szCs w:val="22"/>
        </w:rPr>
        <w:t xml:space="preserve">Mission Go Global — JIPL international expansion; 15-chapter DPR; 5 phases; ≤75-day entity SLA.</w:t>
      </w:r>
    </w:p>
    <w:p>
      <w:pPr>
        <w:pStyle w:val="ListParagraph"/>
        <w:numPr>
          <w:ilvl w:val="0"/>
          <w:numId w:val="2"/>
        </w:numPr>
        <w:spacing w:after="40" w:before="40" w:line="280"/>
      </w:pPr>
      <w:r>
        <w:rPr>
          <w:rFonts w:ascii="Calibri" w:cs="Calibri" w:eastAsia="Calibri" w:hAnsi="Calibri"/>
          <w:sz w:val="22"/>
          <w:szCs w:val="22"/>
        </w:rPr>
        <w:t xml:space="preserve">Mission [Sixth] — reserved umbrella mission charter.</w:t>
      </w:r>
    </w:p>
    <w:p>
      <w:pPr>
        <w:spacing w:after="60" w:before="60" w:line="300"/>
        <w:jc w:val="both"/>
      </w:pPr>
      <w:r>
        <w:rPr>
          <w:rFonts w:ascii="Calibri" w:cs="Calibri" w:eastAsia="Calibri" w:hAnsi="Calibri"/>
          <w:sz w:val="22"/>
          <w:szCs w:val="22"/>
        </w:rPr>
        <w:t xml:space="preserve">Year 1 combined umbrella revenue: ₹3,050+ Crore. Year 5 group targets: ₹42,000+ Crore combined revenue, 1,00,000+ employment, 8,50,000+ farmer beneficiaries, footprint across 180+ countries.</w:t>
      </w:r>
    </w:p>
    <w:p>
      <w:pPr>
        <w:pStyle w:val="Heading3"/>
        <w:spacing w:after="100" w:before="200"/>
      </w:pPr>
      <w:r>
        <w:rPr>
          <w:rFonts w:ascii="Cambria" w:cs="Cambria" w:eastAsia="Cambria" w:hAnsi="Cambria"/>
          <w:b/>
          <w:bCs/>
          <w:color w:val="0064DC"/>
          <w:sz w:val="24"/>
          <w:szCs w:val="24"/>
        </w:rPr>
        <w:t xml:space="preserve">3.5  Why a Group Master Website Now</w:t>
      </w:r>
    </w:p>
    <w:p>
      <w:pPr>
        <w:spacing w:after="60" w:before="60" w:line="300"/>
        <w:jc w:val="both"/>
      </w:pPr>
      <w:r>
        <w:rPr>
          <w:rFonts w:ascii="Calibri" w:cs="Calibri" w:eastAsia="Calibri" w:hAnsi="Calibri"/>
          <w:sz w:val="22"/>
          <w:szCs w:val="22"/>
        </w:rPr>
        <w:t xml:space="preserve">The strategic case for committing to a Group Master Website at this point in the Group’s evolution rests on six convergent pressures:</w:t>
      </w:r>
    </w:p>
    <w:p>
      <w:pPr>
        <w:pStyle w:val="ListParagraph"/>
        <w:numPr>
          <w:ilvl w:val="0"/>
          <w:numId w:val="3"/>
        </w:numPr>
        <w:spacing w:after="40" w:before="40" w:line="280"/>
      </w:pPr>
      <w:r>
        <w:rPr>
          <w:rFonts w:ascii="Calibri" w:cs="Calibri" w:eastAsia="Calibri" w:hAnsi="Calibri"/>
          <w:sz w:val="22"/>
          <w:szCs w:val="22"/>
        </w:rPr>
        <w:t xml:space="preserve">Investor readiness — the planned ₹500–850 Crore fundraise mandates a credible, governance-grade public website with verifiable disclosures and consistent messaging.</w:t>
      </w:r>
    </w:p>
    <w:p>
      <w:pPr>
        <w:pStyle w:val="ListParagraph"/>
        <w:numPr>
          <w:ilvl w:val="0"/>
          <w:numId w:val="3"/>
        </w:numPr>
        <w:spacing w:after="40" w:before="40" w:line="280"/>
      </w:pPr>
      <w:r>
        <w:rPr>
          <w:rFonts w:ascii="Calibri" w:cs="Calibri" w:eastAsia="Calibri" w:hAnsi="Calibri"/>
          <w:sz w:val="22"/>
          <w:szCs w:val="22"/>
        </w:rPr>
        <w:t xml:space="preserve">Brand consolidation — with 23 entities, multiple subsidiary websites and disparate content, a single canonical voice is required to prevent brand fragmentation.</w:t>
      </w:r>
    </w:p>
    <w:p>
      <w:pPr>
        <w:pStyle w:val="ListParagraph"/>
        <w:numPr>
          <w:ilvl w:val="0"/>
          <w:numId w:val="3"/>
        </w:numPr>
        <w:spacing w:after="40" w:before="40" w:line="280"/>
      </w:pPr>
      <w:r>
        <w:rPr>
          <w:rFonts w:ascii="Calibri" w:cs="Calibri" w:eastAsia="Calibri" w:hAnsi="Calibri"/>
          <w:sz w:val="22"/>
          <w:szCs w:val="22"/>
        </w:rPr>
        <w:t xml:space="preserve">Government and regulator engagement — ministries, state governments, RDSO, MoD and EXIM-related agencies expect a verifiable corporate face for vendor empanelment and policy engagement.</w:t>
      </w:r>
    </w:p>
    <w:p>
      <w:pPr>
        <w:pStyle w:val="ListParagraph"/>
        <w:numPr>
          <w:ilvl w:val="0"/>
          <w:numId w:val="3"/>
        </w:numPr>
        <w:spacing w:after="40" w:before="40" w:line="280"/>
      </w:pPr>
      <w:r>
        <w:rPr>
          <w:rFonts w:ascii="Calibri" w:cs="Calibri" w:eastAsia="Calibri" w:hAnsi="Calibri"/>
          <w:sz w:val="22"/>
          <w:szCs w:val="22"/>
        </w:rPr>
        <w:t xml:space="preserve">Talent and partner acquisition — the Group’s growth requires inbound acquisition of senior leadership, technical talent and channel partners; a flagship website is the dominant first-touch channel.</w:t>
      </w:r>
    </w:p>
    <w:p>
      <w:pPr>
        <w:pStyle w:val="ListParagraph"/>
        <w:numPr>
          <w:ilvl w:val="0"/>
          <w:numId w:val="3"/>
        </w:numPr>
        <w:spacing w:after="40" w:before="40" w:line="280"/>
      </w:pPr>
      <w:r>
        <w:rPr>
          <w:rFonts w:ascii="Calibri" w:cs="Calibri" w:eastAsia="Calibri" w:hAnsi="Calibri"/>
          <w:sz w:val="22"/>
          <w:szCs w:val="22"/>
        </w:rPr>
        <w:t xml:space="preserve">Mission Gold Bird India narrative — the umbrella mission requires a single home for charters, KPIs, beneficiary stories and impact reporting.</w:t>
      </w:r>
    </w:p>
    <w:p>
      <w:pPr>
        <w:pStyle w:val="ListParagraph"/>
        <w:numPr>
          <w:ilvl w:val="0"/>
          <w:numId w:val="3"/>
        </w:numPr>
        <w:spacing w:after="40" w:before="40" w:line="280"/>
      </w:pPr>
      <w:r>
        <w:rPr>
          <w:rFonts w:ascii="Calibri" w:cs="Calibri" w:eastAsia="Calibri" w:hAnsi="Calibri"/>
          <w:sz w:val="22"/>
          <w:szCs w:val="22"/>
        </w:rPr>
        <w:t xml:space="preserve">ESG and disclosure obligations — the Group’s growing scale will progressively trigger BRSR-style disclosures and ESG narrative obligations that demand a structured, auditable digital surface.</w:t>
      </w:r>
    </w:p>
    <w:p>
      <w:r>
        <w:br w:type="page"/>
      </w:r>
    </w:p>
    <w:p>
      <w:pPr>
        <w:pStyle w:val="Heading1"/>
        <w:spacing w:after="180" w:before="360"/>
      </w:pPr>
      <w:r>
        <w:rPr>
          <w:rFonts w:ascii="Cambria" w:cs="Cambria" w:eastAsia="Cambria" w:hAnsi="Cambria"/>
          <w:b/>
          <w:bCs/>
          <w:color w:val="1B3A5C"/>
          <w:sz w:val="36"/>
          <w:szCs w:val="36"/>
        </w:rPr>
        <w:t xml:space="preserve">4.  Project Objectives, KPIs &amp; Success Criteria</w:t>
      </w:r>
    </w:p>
    <w:p>
      <w:pPr>
        <w:pStyle w:val="Heading3"/>
        <w:spacing w:after="100" w:before="200"/>
      </w:pPr>
      <w:r>
        <w:rPr>
          <w:rFonts w:ascii="Cambria" w:cs="Cambria" w:eastAsia="Cambria" w:hAnsi="Cambria"/>
          <w:b/>
          <w:bCs/>
          <w:color w:val="0064DC"/>
          <w:sz w:val="24"/>
          <w:szCs w:val="24"/>
        </w:rPr>
        <w:t xml:space="preserve">4.1  Strategic Objectives</w:t>
      </w:r>
    </w:p>
    <w:p>
      <w:pPr>
        <w:pStyle w:val="ListParagraph"/>
        <w:numPr>
          <w:ilvl w:val="0"/>
          <w:numId w:val="2"/>
        </w:numPr>
        <w:spacing w:after="40" w:before="40" w:line="280"/>
      </w:pPr>
      <w:r>
        <w:rPr>
          <w:rFonts w:ascii="Calibri" w:cs="Calibri" w:eastAsia="Calibri" w:hAnsi="Calibri"/>
          <w:sz w:val="22"/>
          <w:szCs w:val="22"/>
        </w:rPr>
        <w:t xml:space="preserve">Establish jigisha.in as the canonical digital identity of the Group, displacing all legacy and informal pages that currently rank for the brand.</w:t>
      </w:r>
    </w:p>
    <w:p>
      <w:pPr>
        <w:pStyle w:val="ListParagraph"/>
        <w:numPr>
          <w:ilvl w:val="0"/>
          <w:numId w:val="2"/>
        </w:numPr>
        <w:spacing w:after="40" w:before="40" w:line="280"/>
      </w:pPr>
      <w:r>
        <w:rPr>
          <w:rFonts w:ascii="Calibri" w:cs="Calibri" w:eastAsia="Calibri" w:hAnsi="Calibri"/>
          <w:sz w:val="22"/>
          <w:szCs w:val="22"/>
        </w:rPr>
        <w:t xml:space="preserve">Present the 23-entity portfolio as a coherent, navigable Industrial Universe with consistent visual language, governance disclosures and contact pathways.</w:t>
      </w:r>
    </w:p>
    <w:p>
      <w:pPr>
        <w:pStyle w:val="ListParagraph"/>
        <w:numPr>
          <w:ilvl w:val="0"/>
          <w:numId w:val="2"/>
        </w:numPr>
        <w:spacing w:after="40" w:before="40" w:line="280"/>
      </w:pPr>
      <w:r>
        <w:rPr>
          <w:rFonts w:ascii="Calibri" w:cs="Calibri" w:eastAsia="Calibri" w:hAnsi="Calibri"/>
          <w:sz w:val="22"/>
          <w:szCs w:val="22"/>
        </w:rPr>
        <w:t xml:space="preserve">Power the investor relations narrative for the planned fundraise, including Strategic Roadmap, financial highlights, governance, ESG and leadership disclosures.</w:t>
      </w:r>
    </w:p>
    <w:p>
      <w:pPr>
        <w:pStyle w:val="ListParagraph"/>
        <w:numPr>
          <w:ilvl w:val="0"/>
          <w:numId w:val="2"/>
        </w:numPr>
        <w:spacing w:after="40" w:before="40" w:line="280"/>
      </w:pPr>
      <w:r>
        <w:rPr>
          <w:rFonts w:ascii="Calibri" w:cs="Calibri" w:eastAsia="Calibri" w:hAnsi="Calibri"/>
          <w:sz w:val="22"/>
          <w:szCs w:val="22"/>
        </w:rPr>
        <w:t xml:space="preserve">Operate as the central routing hub for the Group’s digital estate — jigisha.industries, jigisha.net, jigisha.digital, and 20+ subsidiary properties.</w:t>
      </w:r>
    </w:p>
    <w:p>
      <w:pPr>
        <w:pStyle w:val="ListParagraph"/>
        <w:numPr>
          <w:ilvl w:val="0"/>
          <w:numId w:val="2"/>
        </w:numPr>
        <w:spacing w:after="40" w:before="40" w:line="280"/>
      </w:pPr>
      <w:r>
        <w:rPr>
          <w:rFonts w:ascii="Calibri" w:cs="Calibri" w:eastAsia="Calibri" w:hAnsi="Calibri"/>
          <w:sz w:val="22"/>
          <w:szCs w:val="22"/>
        </w:rPr>
        <w:t xml:space="preserve">Establish the Group’s thought leadership posture through long-form content, sectoral white papers, mission updates and policy engagement.</w:t>
      </w:r>
    </w:p>
    <w:p>
      <w:pPr>
        <w:pStyle w:val="ListParagraph"/>
        <w:numPr>
          <w:ilvl w:val="0"/>
          <w:numId w:val="2"/>
        </w:numPr>
        <w:spacing w:after="40" w:before="40" w:line="280"/>
      </w:pPr>
      <w:r>
        <w:rPr>
          <w:rFonts w:ascii="Calibri" w:cs="Calibri" w:eastAsia="Calibri" w:hAnsi="Calibri"/>
          <w:sz w:val="22"/>
          <w:szCs w:val="22"/>
        </w:rPr>
        <w:t xml:space="preserve">Build a robust, accessible, secure platform that scales to 5× traffic without architectural redesign and meets ISO 27001-aligned controls.</w:t>
      </w:r>
    </w:p>
    <w:p>
      <w:pPr>
        <w:pStyle w:val="Heading3"/>
        <w:spacing w:after="100" w:before="200"/>
      </w:pPr>
      <w:r>
        <w:rPr>
          <w:rFonts w:ascii="Cambria" w:cs="Cambria" w:eastAsia="Cambria" w:hAnsi="Cambria"/>
          <w:b/>
          <w:bCs/>
          <w:color w:val="0064DC"/>
          <w:sz w:val="24"/>
          <w:szCs w:val="24"/>
        </w:rPr>
        <w:t xml:space="preserve">4.2  Tactical Objectives</w:t>
      </w:r>
    </w:p>
    <w:p>
      <w:pPr>
        <w:pStyle w:val="ListParagraph"/>
        <w:numPr>
          <w:ilvl w:val="0"/>
          <w:numId w:val="2"/>
        </w:numPr>
        <w:spacing w:after="40" w:before="40" w:line="280"/>
      </w:pPr>
      <w:r>
        <w:rPr>
          <w:rFonts w:ascii="Calibri" w:cs="Calibri" w:eastAsia="Calibri" w:hAnsi="Calibri"/>
          <w:sz w:val="22"/>
          <w:szCs w:val="22"/>
        </w:rPr>
        <w:t xml:space="preserve">Launch a mobile-first, multi-language-ready, accessibility-compliant master website on the production domain within 20 weeks of charter approval.</w:t>
      </w:r>
    </w:p>
    <w:p>
      <w:pPr>
        <w:pStyle w:val="ListParagraph"/>
        <w:numPr>
          <w:ilvl w:val="0"/>
          <w:numId w:val="2"/>
        </w:numPr>
        <w:spacing w:after="40" w:before="40" w:line="280"/>
      </w:pPr>
      <w:r>
        <w:rPr>
          <w:rFonts w:ascii="Calibri" w:cs="Calibri" w:eastAsia="Calibri" w:hAnsi="Calibri"/>
          <w:sz w:val="22"/>
          <w:szCs w:val="22"/>
        </w:rPr>
        <w:t xml:space="preserve">Deliver a Brand &amp; Press Centre with downloadable Group identity assets, executive bios, recent press, and a media enquiry workflow.</w:t>
      </w:r>
    </w:p>
    <w:p>
      <w:pPr>
        <w:pStyle w:val="ListParagraph"/>
        <w:numPr>
          <w:ilvl w:val="0"/>
          <w:numId w:val="2"/>
        </w:numPr>
        <w:spacing w:after="40" w:before="40" w:line="280"/>
      </w:pPr>
      <w:r>
        <w:rPr>
          <w:rFonts w:ascii="Calibri" w:cs="Calibri" w:eastAsia="Calibri" w:hAnsi="Calibri"/>
          <w:sz w:val="22"/>
          <w:szCs w:val="22"/>
        </w:rPr>
        <w:t xml:space="preserve">Deliver an Investor Relations module with quarterly disclosures, governance documents, board composition, fundraise tombstone, and an investor enquiry workflow.</w:t>
      </w:r>
    </w:p>
    <w:p>
      <w:pPr>
        <w:pStyle w:val="ListParagraph"/>
        <w:numPr>
          <w:ilvl w:val="0"/>
          <w:numId w:val="2"/>
        </w:numPr>
        <w:spacing w:after="40" w:before="40" w:line="280"/>
      </w:pPr>
      <w:r>
        <w:rPr>
          <w:rFonts w:ascii="Calibri" w:cs="Calibri" w:eastAsia="Calibri" w:hAnsi="Calibri"/>
          <w:sz w:val="22"/>
          <w:szCs w:val="22"/>
        </w:rPr>
        <w:t xml:space="preserve">Deliver a Vendor / Buyer / Partner / Talent intake layer that captures intent, classifies the lead, and routes it to the correct subsidiary CRM (JGC CRM).</w:t>
      </w:r>
    </w:p>
    <w:p>
      <w:pPr>
        <w:pStyle w:val="ListParagraph"/>
        <w:numPr>
          <w:ilvl w:val="0"/>
          <w:numId w:val="2"/>
        </w:numPr>
        <w:spacing w:after="40" w:before="40" w:line="280"/>
      </w:pPr>
      <w:r>
        <w:rPr>
          <w:rFonts w:ascii="Calibri" w:cs="Calibri" w:eastAsia="Calibri" w:hAnsi="Calibri"/>
          <w:sz w:val="22"/>
          <w:szCs w:val="22"/>
        </w:rPr>
        <w:t xml:space="preserve">Deliver a Mission Centre presenting the six missions, their charters, KPIs, beneficiary outcomes and supporting documents.</w:t>
      </w:r>
    </w:p>
    <w:p>
      <w:pPr>
        <w:pStyle w:val="ListParagraph"/>
        <w:numPr>
          <w:ilvl w:val="0"/>
          <w:numId w:val="2"/>
        </w:numPr>
        <w:spacing w:after="40" w:before="40" w:line="280"/>
      </w:pPr>
      <w:r>
        <w:rPr>
          <w:rFonts w:ascii="Calibri" w:cs="Calibri" w:eastAsia="Calibri" w:hAnsi="Calibri"/>
          <w:sz w:val="22"/>
          <w:szCs w:val="22"/>
        </w:rPr>
        <w:t xml:space="preserve">Deliver a Content Operations Workbench that allows the Group Brand &amp; Communications team to publish, review and translate content without engineering involvement.</w:t>
      </w:r>
    </w:p>
    <w:p>
      <w:pPr>
        <w:pStyle w:val="Heading3"/>
        <w:spacing w:after="100" w:before="200"/>
      </w:pPr>
      <w:r>
        <w:rPr>
          <w:rFonts w:ascii="Cambria" w:cs="Cambria" w:eastAsia="Cambria" w:hAnsi="Cambria"/>
          <w:b/>
          <w:bCs/>
          <w:color w:val="0064DC"/>
          <w:sz w:val="24"/>
          <w:szCs w:val="24"/>
        </w:rPr>
        <w:t xml:space="preserve">4.3  Key Performance Indicators (KPIs)</w:t>
      </w:r>
    </w:p>
    <w:p>
      <w:pPr>
        <w:spacing w:after="60" w:before="60" w:line="300"/>
        <w:jc w:val="both"/>
      </w:pPr>
      <w:r>
        <w:rPr>
          <w:rFonts w:ascii="Calibri" w:cs="Calibri" w:eastAsia="Calibri" w:hAnsi="Calibri"/>
          <w:sz w:val="22"/>
          <w:szCs w:val="22"/>
        </w:rPr>
        <w:t xml:space="preserve">KPIs are organised in four tiers — Reach, Engagement, Conversion, and Operational — and are reviewed monthly by the Steering Committee against the targets recorded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160"/>
        <w:gridCol w:w="1900"/>
        <w:gridCol w:w="2000"/>
      </w:tblGrid>
      <w:tr>
        <w:trPr>
          <w:tblHeader/>
        </w:trPr>
        <w:tc>
          <w:tcPr>
            <w:tcW w:type="dxa" w:w="3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KPI</w:t>
            </w:r>
          </w:p>
        </w:tc>
        <w:tc>
          <w:tcPr>
            <w:tcW w:type="dxa" w:w="21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Tier</w:t>
            </w:r>
          </w:p>
        </w:tc>
        <w:tc>
          <w:tcPr>
            <w:tcW w:type="dxa" w:w="19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Target (M+12)</w:t>
            </w:r>
          </w:p>
        </w:tc>
        <w:tc>
          <w:tcPr>
            <w:tcW w:type="dxa" w:w="20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Measurement Source</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Monthly unique visitors</w:t>
            </w:r>
          </w:p>
        </w:tc>
        <w:tc>
          <w:tcPr>
            <w:tcW w:type="dxa" w:w="2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Reach</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1,80,000</w:t>
            </w:r>
          </w:p>
        </w:tc>
        <w:tc>
          <w:tcPr>
            <w:tcW w:type="dxa" w:w="2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GA4 + server logs</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Branded organic search clicks</w:t>
            </w:r>
          </w:p>
        </w:tc>
        <w:tc>
          <w:tcPr>
            <w:tcW w:type="dxa" w:w="2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Reach</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75,000 / month</w:t>
            </w:r>
          </w:p>
        </w:tc>
        <w:tc>
          <w:tcPr>
            <w:tcW w:type="dxa" w:w="2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Google Search Console</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Page indexation rate</w:t>
            </w:r>
          </w:p>
        </w:tc>
        <w:tc>
          <w:tcPr>
            <w:tcW w:type="dxa" w:w="2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Reach</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95%</w:t>
            </w:r>
          </w:p>
        </w:tc>
        <w:tc>
          <w:tcPr>
            <w:tcW w:type="dxa" w:w="2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Google Search Console</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Average session duration</w:t>
            </w:r>
          </w:p>
        </w:tc>
        <w:tc>
          <w:tcPr>
            <w:tcW w:type="dxa" w:w="2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Engagement</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165 sec</w:t>
            </w:r>
          </w:p>
        </w:tc>
        <w:tc>
          <w:tcPr>
            <w:tcW w:type="dxa" w:w="2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GA4</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Pages per session</w:t>
            </w:r>
          </w:p>
        </w:tc>
        <w:tc>
          <w:tcPr>
            <w:tcW w:type="dxa" w:w="2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Engagement</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3.4</w:t>
            </w:r>
          </w:p>
        </w:tc>
        <w:tc>
          <w:tcPr>
            <w:tcW w:type="dxa" w:w="2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GA4</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Scroll depth (key pages)</w:t>
            </w:r>
          </w:p>
        </w:tc>
        <w:tc>
          <w:tcPr>
            <w:tcW w:type="dxa" w:w="2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Engagement</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70% to 75% scroll</w:t>
            </w:r>
          </w:p>
        </w:tc>
        <w:tc>
          <w:tcPr>
            <w:tcW w:type="dxa" w:w="2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GA4 events</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Investor enquiry conversion</w:t>
            </w:r>
          </w:p>
        </w:tc>
        <w:tc>
          <w:tcPr>
            <w:tcW w:type="dxa" w:w="2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Conversion</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350+ / month</w:t>
            </w:r>
          </w:p>
        </w:tc>
        <w:tc>
          <w:tcPr>
            <w:tcW w:type="dxa" w:w="2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CRM</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Vendor / buyer enquiry conversion</w:t>
            </w:r>
          </w:p>
        </w:tc>
        <w:tc>
          <w:tcPr>
            <w:tcW w:type="dxa" w:w="2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Conversion</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3,500+ / month</w:t>
            </w:r>
          </w:p>
        </w:tc>
        <w:tc>
          <w:tcPr>
            <w:tcW w:type="dxa" w:w="2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CRM</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Career applications routed</w:t>
            </w:r>
          </w:p>
        </w:tc>
        <w:tc>
          <w:tcPr>
            <w:tcW w:type="dxa" w:w="2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Conversion</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2,800+ / month</w:t>
            </w:r>
          </w:p>
        </w:tc>
        <w:tc>
          <w:tcPr>
            <w:tcW w:type="dxa" w:w="2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ATS</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LCP P75 (mobile)</w:t>
            </w:r>
          </w:p>
        </w:tc>
        <w:tc>
          <w:tcPr>
            <w:tcW w:type="dxa" w:w="2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Operational</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2.5 sec</w:t>
            </w:r>
          </w:p>
        </w:tc>
        <w:tc>
          <w:tcPr>
            <w:tcW w:type="dxa" w:w="2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Vitals (CrUX)</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Availability</w:t>
            </w:r>
          </w:p>
        </w:tc>
        <w:tc>
          <w:tcPr>
            <w:tcW w:type="dxa" w:w="2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Operational</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 99.95%</w:t>
            </w:r>
          </w:p>
        </w:tc>
        <w:tc>
          <w:tcPr>
            <w:tcW w:type="dxa" w:w="2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Uptime monitor</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Mean time to publish (content team)</w:t>
            </w:r>
          </w:p>
        </w:tc>
        <w:tc>
          <w:tcPr>
            <w:tcW w:type="dxa" w:w="2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Operational</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20 min/page</w:t>
            </w:r>
          </w:p>
        </w:tc>
        <w:tc>
          <w:tcPr>
            <w:tcW w:type="dxa" w:w="2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CMS audit log</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Critical security findings open &gt; 30 days</w:t>
            </w:r>
          </w:p>
        </w:tc>
        <w:tc>
          <w:tcPr>
            <w:tcW w:type="dxa" w:w="2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Operational</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w:t>
            </w:r>
          </w:p>
        </w:tc>
        <w:tc>
          <w:tcPr>
            <w:tcW w:type="dxa" w:w="20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DAST/SAST + WAF</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Accessibility violations (axe-core)</w:t>
            </w:r>
          </w:p>
        </w:tc>
        <w:tc>
          <w:tcPr>
            <w:tcW w:type="dxa" w:w="2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Operational</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 critical, 0 serious</w:t>
            </w:r>
          </w:p>
        </w:tc>
        <w:tc>
          <w:tcPr>
            <w:tcW w:type="dxa" w:w="20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Automated + manual audit</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4.4  Success Criteria &amp; Definition of Done</w:t>
      </w:r>
    </w:p>
    <w:p>
      <w:pPr>
        <w:pStyle w:val="ListParagraph"/>
        <w:numPr>
          <w:ilvl w:val="0"/>
          <w:numId w:val="2"/>
        </w:numPr>
        <w:spacing w:after="40" w:before="40" w:line="280"/>
      </w:pPr>
      <w:r>
        <w:rPr>
          <w:rFonts w:ascii="Calibri" w:cs="Calibri" w:eastAsia="Calibri" w:hAnsi="Calibri"/>
          <w:sz w:val="22"/>
          <w:szCs w:val="22"/>
        </w:rPr>
        <w:t xml:space="preserve">All 30 sections of this DPR fully implemented and validated against the Acceptance Criteria registered in Annexure A.</w:t>
      </w:r>
    </w:p>
    <w:p>
      <w:pPr>
        <w:pStyle w:val="ListParagraph"/>
        <w:numPr>
          <w:ilvl w:val="0"/>
          <w:numId w:val="2"/>
        </w:numPr>
        <w:spacing w:after="40" w:before="40" w:line="280"/>
      </w:pPr>
      <w:r>
        <w:rPr>
          <w:rFonts w:ascii="Calibri" w:cs="Calibri" w:eastAsia="Calibri" w:hAnsi="Calibri"/>
          <w:sz w:val="22"/>
          <w:szCs w:val="22"/>
        </w:rPr>
        <w:t xml:space="preserve">Sponsor and Director-level UAT sign-off captured on the Approval Matrix in Section 1.</w:t>
      </w:r>
    </w:p>
    <w:p>
      <w:pPr>
        <w:pStyle w:val="ListParagraph"/>
        <w:numPr>
          <w:ilvl w:val="0"/>
          <w:numId w:val="2"/>
        </w:numPr>
        <w:spacing w:after="40" w:before="40" w:line="280"/>
      </w:pPr>
      <w:r>
        <w:rPr>
          <w:rFonts w:ascii="Calibri" w:cs="Calibri" w:eastAsia="Calibri" w:hAnsi="Calibri"/>
          <w:sz w:val="22"/>
          <w:szCs w:val="22"/>
        </w:rPr>
        <w:t xml:space="preserve">Independent accessibility audit (third-party) issuing a WCAG 2.1 AA Statement of Conformance.</w:t>
      </w:r>
    </w:p>
    <w:p>
      <w:pPr>
        <w:pStyle w:val="ListParagraph"/>
        <w:numPr>
          <w:ilvl w:val="0"/>
          <w:numId w:val="2"/>
        </w:numPr>
        <w:spacing w:after="40" w:before="40" w:line="280"/>
      </w:pPr>
      <w:r>
        <w:rPr>
          <w:rFonts w:ascii="Calibri" w:cs="Calibri" w:eastAsia="Calibri" w:hAnsi="Calibri"/>
          <w:sz w:val="22"/>
          <w:szCs w:val="22"/>
        </w:rPr>
        <w:t xml:space="preserve">Independent security review (VA/PT) closing with zero open Critical or High findings.</w:t>
      </w:r>
    </w:p>
    <w:p>
      <w:pPr>
        <w:pStyle w:val="ListParagraph"/>
        <w:numPr>
          <w:ilvl w:val="0"/>
          <w:numId w:val="2"/>
        </w:numPr>
        <w:spacing w:after="40" w:before="40" w:line="280"/>
      </w:pPr>
      <w:r>
        <w:rPr>
          <w:rFonts w:ascii="Calibri" w:cs="Calibri" w:eastAsia="Calibri" w:hAnsi="Calibri"/>
          <w:sz w:val="22"/>
          <w:szCs w:val="22"/>
        </w:rPr>
        <w:t xml:space="preserve">Performance audit closing with LCP P75 &lt; 2.5 seconds on representative mobile devices.</w:t>
      </w:r>
    </w:p>
    <w:p>
      <w:pPr>
        <w:pStyle w:val="ListParagraph"/>
        <w:numPr>
          <w:ilvl w:val="0"/>
          <w:numId w:val="2"/>
        </w:numPr>
        <w:spacing w:after="40" w:before="40" w:line="280"/>
      </w:pPr>
      <w:r>
        <w:rPr>
          <w:rFonts w:ascii="Calibri" w:cs="Calibri" w:eastAsia="Calibri" w:hAnsi="Calibri"/>
          <w:sz w:val="22"/>
          <w:szCs w:val="22"/>
        </w:rPr>
        <w:t xml:space="preserve">Operational handover signed off by the Group Brand &amp; Communications team and the JIPL Web Engineering Practice.</w:t>
      </w:r>
    </w:p>
    <w:p>
      <w:r>
        <w:br w:type="page"/>
      </w:r>
    </w:p>
    <w:p>
      <w:pPr>
        <w:pStyle w:val="Heading1"/>
        <w:spacing w:after="180" w:before="360"/>
      </w:pPr>
      <w:r>
        <w:rPr>
          <w:rFonts w:ascii="Cambria" w:cs="Cambria" w:eastAsia="Cambria" w:hAnsi="Cambria"/>
          <w:b/>
          <w:bCs/>
          <w:color w:val="1B3A5C"/>
          <w:sz w:val="36"/>
          <w:szCs w:val="36"/>
        </w:rPr>
        <w:t xml:space="preserve">5.  Stakeholder Analysis &amp; RACI</w:t>
      </w:r>
    </w:p>
    <w:p>
      <w:pPr>
        <w:pStyle w:val="Heading3"/>
        <w:spacing w:after="100" w:before="200"/>
      </w:pPr>
      <w:r>
        <w:rPr>
          <w:rFonts w:ascii="Cambria" w:cs="Cambria" w:eastAsia="Cambria" w:hAnsi="Cambria"/>
          <w:b/>
          <w:bCs/>
          <w:color w:val="0064DC"/>
          <w:sz w:val="24"/>
          <w:szCs w:val="24"/>
        </w:rPr>
        <w:t xml:space="preserve">5.1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Stakeholder Group</w:t>
            </w:r>
          </w:p>
        </w:tc>
        <w:tc>
          <w:tcPr>
            <w:tcW w:type="dxa" w:w="2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Representative Role</w:t>
            </w:r>
          </w:p>
        </w:tc>
        <w:tc>
          <w:tcPr>
            <w:tcW w:type="dxa" w:w="2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Primary Interest</w:t>
            </w:r>
          </w:p>
        </w:tc>
        <w:tc>
          <w:tcPr>
            <w:tcW w:type="dxa" w:w="24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Engagement Cadence</w:t>
            </w:r>
          </w:p>
        </w:tc>
      </w:tr>
      <w:tr>
        <w:trPr>
          <w:tblHeader w:val="false"/>
        </w:trPr>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Sponsor</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Founder Chairman</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Strategic alignment, brand integrity, fundraise readiness</w:t>
            </w:r>
          </w:p>
        </w:tc>
        <w:tc>
          <w:tcPr>
            <w:tcW w:type="dxa" w:w="2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Monthly Steering</w:t>
            </w:r>
          </w:p>
        </w:tc>
      </w:tr>
      <w:tr>
        <w:trPr>
          <w:tblHeader w:val="false"/>
        </w:trPr>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Board</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Directors (Strategy, Operations)</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Governance, disclosure, risk</w:t>
            </w:r>
          </w:p>
        </w:tc>
        <w:tc>
          <w:tcPr>
            <w:tcW w:type="dxa" w:w="2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Quarterly review</w:t>
            </w:r>
          </w:p>
        </w:tc>
      </w:tr>
      <w:tr>
        <w:trPr>
          <w:tblHeader w:val="false"/>
        </w:trPr>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CXO Office</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CEO, COO, CFO, CTO, CMO, CHRO, CISO, GC</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Operational alignment with the digital estate</w:t>
            </w:r>
          </w:p>
        </w:tc>
        <w:tc>
          <w:tcPr>
            <w:tcW w:type="dxa" w:w="2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Bi-weekly</w:t>
            </w:r>
          </w:p>
        </w:tc>
      </w:tr>
      <w:tr>
        <w:trPr>
          <w:tblHeader w:val="false"/>
        </w:trPr>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Heads (×23)</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MDs / Vertical Heads</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Brand parity, lead routing, content placement</w:t>
            </w:r>
          </w:p>
        </w:tc>
        <w:tc>
          <w:tcPr>
            <w:tcW w:type="dxa" w:w="2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Monthly council</w:t>
            </w:r>
          </w:p>
        </w:tc>
      </w:tr>
      <w:tr>
        <w:trPr>
          <w:tblHeader w:val="false"/>
        </w:trPr>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Programme Owner</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Head, Brand &amp; Communications</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Day-to-day delivery, content quality, brand consistency</w:t>
            </w:r>
          </w:p>
        </w:tc>
        <w:tc>
          <w:tcPr>
            <w:tcW w:type="dxa" w:w="2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Daily during build, weekly steady-state</w:t>
            </w:r>
          </w:p>
        </w:tc>
      </w:tr>
      <w:tr>
        <w:trPr>
          <w:tblHeader w:val="false"/>
        </w:trPr>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Technical Authority</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JIPL Web Engineering Practice</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Architecture, security, performance, code quality</w:t>
            </w:r>
          </w:p>
        </w:tc>
        <w:tc>
          <w:tcPr>
            <w:tcW w:type="dxa" w:w="2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Daily during build</w:t>
            </w:r>
          </w:p>
        </w:tc>
      </w:tr>
      <w:tr>
        <w:trPr>
          <w:tblHeader w:val="false"/>
        </w:trPr>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Content Editorial</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Editorial Desk</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Tone of voice, accuracy, publication SLA</w:t>
            </w:r>
          </w:p>
        </w:tc>
        <w:tc>
          <w:tcPr>
            <w:tcW w:type="dxa" w:w="2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Weekly editorial board</w:t>
            </w:r>
          </w:p>
        </w:tc>
      </w:tr>
      <w:tr>
        <w:trPr>
          <w:tblHeader w:val="false"/>
        </w:trPr>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External — Investors</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Existing &amp; prospective shareholders</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Disclosures, performance, governance</w:t>
            </w:r>
          </w:p>
        </w:tc>
        <w:tc>
          <w:tcPr>
            <w:tcW w:type="dxa" w:w="2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Quarterly via website</w:t>
            </w:r>
          </w:p>
        </w:tc>
      </w:tr>
      <w:tr>
        <w:trPr>
          <w:tblHeader w:val="false"/>
        </w:trPr>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External — Regulators</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MCA, ministries, state governments</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Statutory compliance, accurate disclosures</w:t>
            </w:r>
          </w:p>
        </w:tc>
        <w:tc>
          <w:tcPr>
            <w:tcW w:type="dxa" w:w="2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Continuous monitoring</w:t>
            </w:r>
          </w:p>
        </w:tc>
      </w:tr>
      <w:tr>
        <w:trPr>
          <w:tblHeader w:val="false"/>
        </w:trPr>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External — Partners / Vendors</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Channel partners, vendors</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Onboarding pathway, opportunity discovery</w:t>
            </w:r>
          </w:p>
        </w:tc>
        <w:tc>
          <w:tcPr>
            <w:tcW w:type="dxa" w:w="2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Continuous (self-serve)</w:t>
            </w:r>
          </w:p>
        </w:tc>
      </w:tr>
      <w:tr>
        <w:trPr>
          <w:tblHeader w:val="false"/>
        </w:trPr>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External — Talent</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Prospective employees</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Career pathways, culture, leadership</w:t>
            </w:r>
          </w:p>
        </w:tc>
        <w:tc>
          <w:tcPr>
            <w:tcW w:type="dxa" w:w="2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Continuous (self-serve)</w:t>
            </w:r>
          </w:p>
        </w:tc>
      </w:tr>
      <w:tr>
        <w:trPr>
          <w:tblHeader w:val="false"/>
        </w:trPr>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External — Media</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trade publications</w:t>
            </w:r>
          </w:p>
        </w:tc>
        <w:tc>
          <w:tcPr>
            <w:tcW w:type="dxa" w:w="2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releases, executive access, assets</w:t>
            </w:r>
          </w:p>
        </w:tc>
        <w:tc>
          <w:tcPr>
            <w:tcW w:type="dxa" w:w="2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Continuous (self-serve)</w:t>
            </w:r>
          </w:p>
        </w:tc>
      </w:tr>
      <w:tr>
        <w:trPr>
          <w:tblHeader w:val="false"/>
        </w:trPr>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External — Public</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Citizens, beneficiaries</w:t>
            </w:r>
          </w:p>
        </w:tc>
        <w:tc>
          <w:tcPr>
            <w:tcW w:type="dxa" w:w="2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Mission outcomes, ESG, social engagement</w:t>
            </w:r>
          </w:p>
        </w:tc>
        <w:tc>
          <w:tcPr>
            <w:tcW w:type="dxa" w:w="2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Continuous</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5.2  RACI Matrix — Major Activities</w:t>
      </w:r>
    </w:p>
    <w:p>
      <w:pPr>
        <w:spacing w:after="60" w:before="60" w:line="300"/>
        <w:jc w:val="both"/>
      </w:pPr>
      <w:r>
        <w:rPr>
          <w:rFonts w:ascii="Calibri" w:cs="Calibri" w:eastAsia="Calibri" w:hAnsi="Calibri"/>
          <w:sz w:val="22"/>
          <w:szCs w:val="22"/>
        </w:rPr>
        <w:t xml:space="preserve">R = Responsible, A = Accountable, C = Consulted, I = Informed. The following matrix records role assignments for the principal project activities. Each subsidiary nominates a designated Subsidiary Brand Liaison to handle the Consulted role for their entity’s content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300"/>
        <w:gridCol w:w="1300"/>
        <w:gridCol w:w="1260"/>
      </w:tblGrid>
      <w:tr>
        <w:trPr>
          <w:tblHeader/>
        </w:trPr>
        <w:tc>
          <w:tcPr>
            <w:tcW w:type="dxa" w:w="29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Activity</w:t>
            </w:r>
          </w:p>
        </w:tc>
        <w:tc>
          <w:tcPr>
            <w:tcW w:type="dxa" w:w="1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Sponsor</w:t>
            </w:r>
          </w:p>
        </w:tc>
        <w:tc>
          <w:tcPr>
            <w:tcW w:type="dxa" w:w="1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Programme Owner</w:t>
            </w:r>
          </w:p>
        </w:tc>
        <w:tc>
          <w:tcPr>
            <w:tcW w:type="dxa" w:w="1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Tech Authority</w:t>
            </w:r>
          </w:p>
        </w:tc>
        <w:tc>
          <w:tcPr>
            <w:tcW w:type="dxa" w:w="1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Subsidiary Liaison</w:t>
            </w:r>
          </w:p>
        </w:tc>
        <w:tc>
          <w:tcPr>
            <w:tcW w:type="dxa" w:w="12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External Vendor</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Approve DPR baseline</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Approve information architecture</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Build design system</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Develop CMS &amp; templates</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Author group narrative content</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Author entity content</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w:t>
            </w:r>
          </w:p>
        </w:tc>
        <w:tc>
          <w:tcPr>
            <w:tcW w:type="dxa" w:w="1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Implement integrations</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Run security review</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Run accessibility audit</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Approve Go-Live</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Operate steady-state</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w:t>
            </w:r>
          </w:p>
        </w:tc>
        <w:tc>
          <w:tcPr>
            <w:tcW w:type="dxa" w:w="1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w:t>
            </w:r>
          </w:p>
        </w:tc>
        <w:tc>
          <w:tcPr>
            <w:tcW w:type="dxa" w:w="1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w:t>
            </w:r>
          </w:p>
        </w:tc>
      </w:tr>
    </w:tbl>
    <w:p>
      <w:r>
        <w:br w:type="page"/>
      </w:r>
    </w:p>
    <w:p>
      <w:pPr>
        <w:pStyle w:val="Heading1"/>
        <w:spacing w:after="180" w:before="360"/>
      </w:pPr>
      <w:r>
        <w:rPr>
          <w:rFonts w:ascii="Cambria" w:cs="Cambria" w:eastAsia="Cambria" w:hAnsi="Cambria"/>
          <w:b/>
          <w:bCs/>
          <w:color w:val="1B3A5C"/>
          <w:sz w:val="36"/>
          <w:szCs w:val="36"/>
        </w:rPr>
        <w:t xml:space="preserve">6.  Scope Definition</w:t>
      </w:r>
    </w:p>
    <w:p>
      <w:pPr>
        <w:pStyle w:val="Heading3"/>
        <w:spacing w:after="100" w:before="200"/>
      </w:pPr>
      <w:r>
        <w:rPr>
          <w:rFonts w:ascii="Cambria" w:cs="Cambria" w:eastAsia="Cambria" w:hAnsi="Cambria"/>
          <w:b/>
          <w:bCs/>
          <w:color w:val="0064DC"/>
          <w:sz w:val="24"/>
          <w:szCs w:val="24"/>
        </w:rPr>
        <w:t xml:space="preserve">6.1  In-Scope</w:t>
      </w:r>
    </w:p>
    <w:p>
      <w:pPr>
        <w:spacing w:after="60" w:before="60" w:line="300"/>
        <w:jc w:val="both"/>
      </w:pPr>
      <w:r>
        <w:rPr>
          <w:rFonts w:ascii="Calibri" w:cs="Calibri" w:eastAsia="Calibri" w:hAnsi="Calibri"/>
          <w:sz w:val="22"/>
          <w:szCs w:val="22"/>
        </w:rPr>
        <w:t xml:space="preserve">The following deliverables are within scope of this engagement. Each in-scope item is decomposed into requirements in Sections 11 and 12 and into a work breakdown structure in Section 21.</w:t>
      </w:r>
    </w:p>
    <w:p>
      <w:pPr>
        <w:pStyle w:val="ListParagraph"/>
        <w:numPr>
          <w:ilvl w:val="0"/>
          <w:numId w:val="2"/>
        </w:numPr>
        <w:spacing w:after="40" w:before="40" w:line="280"/>
      </w:pPr>
      <w:r>
        <w:rPr>
          <w:rFonts w:ascii="Calibri" w:cs="Calibri" w:eastAsia="Calibri" w:hAnsi="Calibri"/>
          <w:sz w:val="22"/>
          <w:szCs w:val="22"/>
        </w:rPr>
        <w:t xml:space="preserve">Master corporate website at https://www.jigisha.in built on PHP / WordPress 6.x with the Induscity Child theme and a custom design layer.</w:t>
      </w:r>
    </w:p>
    <w:p>
      <w:pPr>
        <w:pStyle w:val="ListParagraph"/>
        <w:numPr>
          <w:ilvl w:val="0"/>
          <w:numId w:val="2"/>
        </w:numPr>
        <w:spacing w:after="40" w:before="40" w:line="280"/>
      </w:pPr>
      <w:r>
        <w:rPr>
          <w:rFonts w:ascii="Calibri" w:cs="Calibri" w:eastAsia="Calibri" w:hAnsi="Calibri"/>
          <w:sz w:val="22"/>
          <w:szCs w:val="22"/>
        </w:rPr>
        <w:t xml:space="preserve">Information architecture covering Group identity, 23 subsidiary overviews, missions, investor relations, ESG, governance, careers, press centre, and contact.</w:t>
      </w:r>
    </w:p>
    <w:p>
      <w:pPr>
        <w:pStyle w:val="ListParagraph"/>
        <w:numPr>
          <w:ilvl w:val="0"/>
          <w:numId w:val="2"/>
        </w:numPr>
        <w:spacing w:after="40" w:before="40" w:line="280"/>
      </w:pPr>
      <w:r>
        <w:rPr>
          <w:rFonts w:ascii="Calibri" w:cs="Calibri" w:eastAsia="Calibri" w:hAnsi="Calibri"/>
          <w:sz w:val="22"/>
          <w:szCs w:val="22"/>
        </w:rPr>
        <w:t xml:space="preserve">Brand-aligned design system: colour, typography, components, motion, iconography, illustrative grammar, accessibility tokens.</w:t>
      </w:r>
    </w:p>
    <w:p>
      <w:pPr>
        <w:pStyle w:val="ListParagraph"/>
        <w:numPr>
          <w:ilvl w:val="0"/>
          <w:numId w:val="2"/>
        </w:numPr>
        <w:spacing w:after="40" w:before="40" w:line="280"/>
      </w:pPr>
      <w:r>
        <w:rPr>
          <w:rFonts w:ascii="Calibri" w:cs="Calibri" w:eastAsia="Calibri" w:hAnsi="Calibri"/>
          <w:sz w:val="22"/>
          <w:szCs w:val="22"/>
        </w:rPr>
        <w:t xml:space="preserve">Custom blocks, templates and patterns enabling editorial self-service for all routine page authoring.</w:t>
      </w:r>
    </w:p>
    <w:p>
      <w:pPr>
        <w:pStyle w:val="ListParagraph"/>
        <w:numPr>
          <w:ilvl w:val="0"/>
          <w:numId w:val="2"/>
        </w:numPr>
        <w:spacing w:after="40" w:before="40" w:line="280"/>
      </w:pPr>
      <w:r>
        <w:rPr>
          <w:rFonts w:ascii="Calibri" w:cs="Calibri" w:eastAsia="Calibri" w:hAnsi="Calibri"/>
          <w:sz w:val="22"/>
          <w:szCs w:val="22"/>
        </w:rPr>
        <w:t xml:space="preserve">Multi-language scaffolding (English at launch; Hindi &amp; Gujarati in Phase 2; Marathi &amp; Tamil in Phase 3) using a single source of truth and translation memory.</w:t>
      </w:r>
    </w:p>
    <w:p>
      <w:pPr>
        <w:pStyle w:val="ListParagraph"/>
        <w:numPr>
          <w:ilvl w:val="0"/>
          <w:numId w:val="2"/>
        </w:numPr>
        <w:spacing w:after="40" w:before="40" w:line="280"/>
      </w:pPr>
      <w:r>
        <w:rPr>
          <w:rFonts w:ascii="Calibri" w:cs="Calibri" w:eastAsia="Calibri" w:hAnsi="Calibri"/>
          <w:sz w:val="22"/>
          <w:szCs w:val="22"/>
        </w:rPr>
        <w:t xml:space="preserve">Forms layer: Investor enquiry, Partner intake, Vendor intake, Buyer intake, Career application, Press / media enquiry, General contact, Whistleblower disclosure.</w:t>
      </w:r>
    </w:p>
    <w:p>
      <w:pPr>
        <w:pStyle w:val="ListParagraph"/>
        <w:numPr>
          <w:ilvl w:val="0"/>
          <w:numId w:val="2"/>
        </w:numPr>
        <w:spacing w:after="40" w:before="40" w:line="280"/>
      </w:pPr>
      <w:r>
        <w:rPr>
          <w:rFonts w:ascii="Calibri" w:cs="Calibri" w:eastAsia="Calibri" w:hAnsi="Calibri"/>
          <w:sz w:val="22"/>
          <w:szCs w:val="22"/>
        </w:rPr>
        <w:t xml:space="preserve">Routing engine connecting form submissions to the correct subsidiary CRM (JGC CRM) and notifying the appropriate stakeholder.</w:t>
      </w:r>
    </w:p>
    <w:p>
      <w:pPr>
        <w:pStyle w:val="ListParagraph"/>
        <w:numPr>
          <w:ilvl w:val="0"/>
          <w:numId w:val="2"/>
        </w:numPr>
        <w:spacing w:after="40" w:before="40" w:line="280"/>
      </w:pPr>
      <w:r>
        <w:rPr>
          <w:rFonts w:ascii="Calibri" w:cs="Calibri" w:eastAsia="Calibri" w:hAnsi="Calibri"/>
          <w:sz w:val="22"/>
          <w:szCs w:val="22"/>
        </w:rPr>
        <w:t xml:space="preserve">Integration with Group identity systems (SSO for editorial users), CRM, ATS, Newsletter platform, Analytics (GA4 + server logs), Tag Manager, Search Console, Bing Webmaster, Cloudflare WAF/CDN.</w:t>
      </w:r>
    </w:p>
    <w:p>
      <w:pPr>
        <w:pStyle w:val="ListParagraph"/>
        <w:numPr>
          <w:ilvl w:val="0"/>
          <w:numId w:val="2"/>
        </w:numPr>
        <w:spacing w:after="40" w:before="40" w:line="280"/>
      </w:pPr>
      <w:r>
        <w:rPr>
          <w:rFonts w:ascii="Calibri" w:cs="Calibri" w:eastAsia="Calibri" w:hAnsi="Calibri"/>
          <w:sz w:val="22"/>
          <w:szCs w:val="22"/>
        </w:rPr>
        <w:t xml:space="preserve">SEO foundation: schema.org markup (Organization, NewsArticle, Person, Event, JobPosting, FAQ), XML sitemaps, robots policy, structured data validation, internal linking system.</w:t>
      </w:r>
    </w:p>
    <w:p>
      <w:pPr>
        <w:pStyle w:val="ListParagraph"/>
        <w:numPr>
          <w:ilvl w:val="0"/>
          <w:numId w:val="2"/>
        </w:numPr>
        <w:spacing w:after="40" w:before="40" w:line="280"/>
      </w:pPr>
      <w:r>
        <w:rPr>
          <w:rFonts w:ascii="Calibri" w:cs="Calibri" w:eastAsia="Calibri" w:hAnsi="Calibri"/>
          <w:sz w:val="22"/>
          <w:szCs w:val="22"/>
        </w:rPr>
        <w:t xml:space="preserve">Accessibility conformance to WCAG 2.1 AA and an independent third-party audit.</w:t>
      </w:r>
    </w:p>
    <w:p>
      <w:pPr>
        <w:pStyle w:val="ListParagraph"/>
        <w:numPr>
          <w:ilvl w:val="0"/>
          <w:numId w:val="2"/>
        </w:numPr>
        <w:spacing w:after="40" w:before="40" w:line="280"/>
      </w:pPr>
      <w:r>
        <w:rPr>
          <w:rFonts w:ascii="Calibri" w:cs="Calibri" w:eastAsia="Calibri" w:hAnsi="Calibri"/>
          <w:sz w:val="22"/>
          <w:szCs w:val="22"/>
        </w:rPr>
        <w:t xml:space="preserve">Security: WAF, DDoS protection, OWASP Top 10 hardening, secure SDLC, third-party VA/PT, role-based access control, audit logging, encryption at rest and in transit.</w:t>
      </w:r>
    </w:p>
    <w:p>
      <w:pPr>
        <w:pStyle w:val="ListParagraph"/>
        <w:numPr>
          <w:ilvl w:val="0"/>
          <w:numId w:val="2"/>
        </w:numPr>
        <w:spacing w:after="40" w:before="40" w:line="280"/>
      </w:pPr>
      <w:r>
        <w:rPr>
          <w:rFonts w:ascii="Calibri" w:cs="Calibri" w:eastAsia="Calibri" w:hAnsi="Calibri"/>
          <w:sz w:val="22"/>
          <w:szCs w:val="22"/>
        </w:rPr>
        <w:t xml:space="preserve">Hosting on AWS GovCloud India primary with Azure India warm DR, automated backups, 30-day point-in-time recovery, and DR drill plan.</w:t>
      </w:r>
    </w:p>
    <w:p>
      <w:pPr>
        <w:pStyle w:val="ListParagraph"/>
        <w:numPr>
          <w:ilvl w:val="0"/>
          <w:numId w:val="2"/>
        </w:numPr>
        <w:spacing w:after="40" w:before="40" w:line="280"/>
      </w:pPr>
      <w:r>
        <w:rPr>
          <w:rFonts w:ascii="Calibri" w:cs="Calibri" w:eastAsia="Calibri" w:hAnsi="Calibri"/>
          <w:sz w:val="22"/>
          <w:szCs w:val="22"/>
        </w:rPr>
        <w:t xml:space="preserve">Operational runbooks, training, knowledge transfer to the editorial team, and a 12-month post-launch support arrangement.</w:t>
      </w:r>
    </w:p>
    <w:p>
      <w:pPr>
        <w:pStyle w:val="Heading3"/>
        <w:spacing w:after="100" w:before="200"/>
      </w:pPr>
      <w:r>
        <w:rPr>
          <w:rFonts w:ascii="Cambria" w:cs="Cambria" w:eastAsia="Cambria" w:hAnsi="Cambria"/>
          <w:b/>
          <w:bCs/>
          <w:color w:val="0064DC"/>
          <w:sz w:val="24"/>
          <w:szCs w:val="24"/>
        </w:rPr>
        <w:t xml:space="preserve">6.2  Out of Scope</w:t>
      </w:r>
    </w:p>
    <w:p>
      <w:pPr>
        <w:pStyle w:val="ListParagraph"/>
        <w:numPr>
          <w:ilvl w:val="0"/>
          <w:numId w:val="2"/>
        </w:numPr>
        <w:spacing w:after="40" w:before="40" w:line="280"/>
      </w:pPr>
      <w:r>
        <w:rPr>
          <w:rFonts w:ascii="Calibri" w:cs="Calibri" w:eastAsia="Calibri" w:hAnsi="Calibri"/>
          <w:sz w:val="22"/>
          <w:szCs w:val="22"/>
        </w:rPr>
        <w:t xml:space="preserve">Subsidiary-level operational portals (vendor portal, buyer portal, HRMS, CRM build) — governed by separate DPRs.</w:t>
      </w:r>
    </w:p>
    <w:p>
      <w:pPr>
        <w:pStyle w:val="ListParagraph"/>
        <w:numPr>
          <w:ilvl w:val="0"/>
          <w:numId w:val="2"/>
        </w:numPr>
        <w:spacing w:after="40" w:before="40" w:line="280"/>
      </w:pPr>
      <w:r>
        <w:rPr>
          <w:rFonts w:ascii="Calibri" w:cs="Calibri" w:eastAsia="Calibri" w:hAnsi="Calibri"/>
          <w:sz w:val="22"/>
          <w:szCs w:val="22"/>
        </w:rPr>
        <w:t xml:space="preserve">Operational e-commerce checkout for industrial SKUs — routed to jigisha.industries; the Master Website only signals capability and routes the visitor.</w:t>
      </w:r>
    </w:p>
    <w:p>
      <w:pPr>
        <w:pStyle w:val="ListParagraph"/>
        <w:numPr>
          <w:ilvl w:val="0"/>
          <w:numId w:val="2"/>
        </w:numPr>
        <w:spacing w:after="40" w:before="40" w:line="280"/>
      </w:pPr>
      <w:r>
        <w:rPr>
          <w:rFonts w:ascii="Calibri" w:cs="Calibri" w:eastAsia="Calibri" w:hAnsi="Calibri"/>
          <w:sz w:val="22"/>
          <w:szCs w:val="22"/>
        </w:rPr>
        <w:t xml:space="preserve">Custom mobile applications (iOS/Android) — considered for a Phase 4 evaluation.</w:t>
      </w:r>
    </w:p>
    <w:p>
      <w:pPr>
        <w:pStyle w:val="ListParagraph"/>
        <w:numPr>
          <w:ilvl w:val="0"/>
          <w:numId w:val="2"/>
        </w:numPr>
        <w:spacing w:after="40" w:before="40" w:line="280"/>
      </w:pPr>
      <w:r>
        <w:rPr>
          <w:rFonts w:ascii="Calibri" w:cs="Calibri" w:eastAsia="Calibri" w:hAnsi="Calibri"/>
          <w:sz w:val="22"/>
          <w:szCs w:val="22"/>
        </w:rPr>
        <w:t xml:space="preserve">Original photography and video production beyond the agreed Brand Asset Library; supplementary shoots are a separate engagement.</w:t>
      </w:r>
    </w:p>
    <w:p>
      <w:pPr>
        <w:pStyle w:val="ListParagraph"/>
        <w:numPr>
          <w:ilvl w:val="0"/>
          <w:numId w:val="2"/>
        </w:numPr>
        <w:spacing w:after="40" w:before="40" w:line="280"/>
      </w:pPr>
      <w:r>
        <w:rPr>
          <w:rFonts w:ascii="Calibri" w:cs="Calibri" w:eastAsia="Calibri" w:hAnsi="Calibri"/>
          <w:sz w:val="22"/>
          <w:szCs w:val="22"/>
        </w:rPr>
        <w:t xml:space="preserve">Legal drafting of policy documents, prospectuses, or regulatory filings — supplied by Legal &amp; Compliance and published as PDFs.</w:t>
      </w:r>
    </w:p>
    <w:p>
      <w:pPr>
        <w:pStyle w:val="Heading3"/>
        <w:spacing w:after="100" w:before="200"/>
      </w:pPr>
      <w:r>
        <w:rPr>
          <w:rFonts w:ascii="Cambria" w:cs="Cambria" w:eastAsia="Cambria" w:hAnsi="Cambria"/>
          <w:b/>
          <w:bCs/>
          <w:color w:val="0064DC"/>
          <w:sz w:val="24"/>
          <w:szCs w:val="24"/>
        </w:rPr>
        <w:t xml:space="preserve">6.3  Assumptions</w:t>
      </w:r>
    </w:p>
    <w:p>
      <w:pPr>
        <w:pStyle w:val="ListParagraph"/>
        <w:numPr>
          <w:ilvl w:val="0"/>
          <w:numId w:val="2"/>
        </w:numPr>
        <w:spacing w:after="40" w:before="40" w:line="280"/>
      </w:pPr>
      <w:r>
        <w:rPr>
          <w:rFonts w:ascii="Calibri" w:cs="Calibri" w:eastAsia="Calibri" w:hAnsi="Calibri"/>
          <w:sz w:val="22"/>
          <w:szCs w:val="22"/>
        </w:rPr>
        <w:t xml:space="preserve">Group brand guideline v2 is the authoritative source for visual identity decisions.</w:t>
      </w:r>
    </w:p>
    <w:p>
      <w:pPr>
        <w:pStyle w:val="ListParagraph"/>
        <w:numPr>
          <w:ilvl w:val="0"/>
          <w:numId w:val="2"/>
        </w:numPr>
        <w:spacing w:after="40" w:before="40" w:line="280"/>
      </w:pPr>
      <w:r>
        <w:rPr>
          <w:rFonts w:ascii="Calibri" w:cs="Calibri" w:eastAsia="Calibri" w:hAnsi="Calibri"/>
          <w:sz w:val="22"/>
          <w:szCs w:val="22"/>
        </w:rPr>
        <w:t xml:space="preserve">All entity-level data, descriptions and disclosures are supplied by the respective Subsidiary Brand Liaison within agreed editorial SLAs.</w:t>
      </w:r>
    </w:p>
    <w:p>
      <w:pPr>
        <w:pStyle w:val="ListParagraph"/>
        <w:numPr>
          <w:ilvl w:val="0"/>
          <w:numId w:val="2"/>
        </w:numPr>
        <w:spacing w:after="40" w:before="40" w:line="280"/>
      </w:pPr>
      <w:r>
        <w:rPr>
          <w:rFonts w:ascii="Calibri" w:cs="Calibri" w:eastAsia="Calibri" w:hAnsi="Calibri"/>
          <w:sz w:val="22"/>
          <w:szCs w:val="22"/>
        </w:rPr>
        <w:t xml:space="preserve">Hostinger continues to host the legacy WordPress for development; production migration is staged to AWS GovCloud India per Section 15.</w:t>
      </w:r>
    </w:p>
    <w:p>
      <w:pPr>
        <w:pStyle w:val="ListParagraph"/>
        <w:numPr>
          <w:ilvl w:val="0"/>
          <w:numId w:val="2"/>
        </w:numPr>
        <w:spacing w:after="40" w:before="40" w:line="280"/>
      </w:pPr>
      <w:r>
        <w:rPr>
          <w:rFonts w:ascii="Calibri" w:cs="Calibri" w:eastAsia="Calibri" w:hAnsi="Calibri"/>
          <w:sz w:val="22"/>
          <w:szCs w:val="22"/>
        </w:rPr>
        <w:t xml:space="preserve">The Group’s legal counsel reviews and approves all statutory disclosures, terms, privacy and whistleblower policy texts before publication.</w:t>
      </w:r>
    </w:p>
    <w:p>
      <w:pPr>
        <w:pStyle w:val="ListParagraph"/>
        <w:numPr>
          <w:ilvl w:val="0"/>
          <w:numId w:val="2"/>
        </w:numPr>
        <w:spacing w:after="40" w:before="40" w:line="280"/>
      </w:pPr>
      <w:r>
        <w:rPr>
          <w:rFonts w:ascii="Calibri" w:cs="Calibri" w:eastAsia="Calibri" w:hAnsi="Calibri"/>
          <w:sz w:val="22"/>
          <w:szCs w:val="22"/>
        </w:rPr>
        <w:t xml:space="preserve">The selected MarTech stack (CRM, ATS, newsletter) exposes documented APIs that the Master Website can integrate with.</w:t>
      </w:r>
    </w:p>
    <w:p>
      <w:pPr>
        <w:pStyle w:val="Heading3"/>
        <w:spacing w:after="100" w:before="200"/>
      </w:pPr>
      <w:r>
        <w:rPr>
          <w:rFonts w:ascii="Cambria" w:cs="Cambria" w:eastAsia="Cambria" w:hAnsi="Cambria"/>
          <w:b/>
          <w:bCs/>
          <w:color w:val="0064DC"/>
          <w:sz w:val="24"/>
          <w:szCs w:val="24"/>
        </w:rPr>
        <w:t xml:space="preserve">6.4  Constraints</w:t>
      </w:r>
    </w:p>
    <w:p>
      <w:pPr>
        <w:pStyle w:val="ListParagraph"/>
        <w:numPr>
          <w:ilvl w:val="0"/>
          <w:numId w:val="2"/>
        </w:numPr>
        <w:spacing w:after="40" w:before="40" w:line="280"/>
      </w:pPr>
      <w:r>
        <w:rPr>
          <w:rFonts w:ascii="Calibri" w:cs="Calibri" w:eastAsia="Calibri" w:hAnsi="Calibri"/>
          <w:sz w:val="22"/>
          <w:szCs w:val="22"/>
        </w:rPr>
        <w:t xml:space="preserve">Brand identity is fixed: Navy #1B3A5C, Gold #C8A041, Saffron, Accent Blue #0064DC, with Outfit / DM Serif Display (or designated subsidiary substitutes).</w:t>
      </w:r>
    </w:p>
    <w:p>
      <w:pPr>
        <w:pStyle w:val="ListParagraph"/>
        <w:numPr>
          <w:ilvl w:val="0"/>
          <w:numId w:val="2"/>
        </w:numPr>
        <w:spacing w:after="40" w:before="40" w:line="280"/>
      </w:pPr>
      <w:r>
        <w:rPr>
          <w:rFonts w:ascii="Calibri" w:cs="Calibri" w:eastAsia="Calibri" w:hAnsi="Calibri"/>
          <w:sz w:val="22"/>
          <w:szCs w:val="22"/>
        </w:rPr>
        <w:t xml:space="preserve">Hosting must be on India-resident infrastructure for primary and disaster recovery, in line with data residency expectations.</w:t>
      </w:r>
    </w:p>
    <w:p>
      <w:pPr>
        <w:pStyle w:val="ListParagraph"/>
        <w:numPr>
          <w:ilvl w:val="0"/>
          <w:numId w:val="2"/>
        </w:numPr>
        <w:spacing w:after="40" w:before="40" w:line="280"/>
      </w:pPr>
      <w:r>
        <w:rPr>
          <w:rFonts w:ascii="Calibri" w:cs="Calibri" w:eastAsia="Calibri" w:hAnsi="Calibri"/>
          <w:sz w:val="22"/>
          <w:szCs w:val="22"/>
        </w:rPr>
        <w:t xml:space="preserve">Statutory disclosures must remain identical to the corresponding regulatory filings; no rewording at editorial discretion.</w:t>
      </w:r>
    </w:p>
    <w:p>
      <w:pPr>
        <w:pStyle w:val="ListParagraph"/>
        <w:numPr>
          <w:ilvl w:val="0"/>
          <w:numId w:val="2"/>
        </w:numPr>
        <w:spacing w:after="40" w:before="40" w:line="280"/>
      </w:pPr>
      <w:r>
        <w:rPr>
          <w:rFonts w:ascii="Calibri" w:cs="Calibri" w:eastAsia="Calibri" w:hAnsi="Calibri"/>
          <w:sz w:val="22"/>
          <w:szCs w:val="22"/>
        </w:rPr>
        <w:t xml:space="preserve">Ariel build slot constraints during peak quarter-end disclosure cycles; deployments restricted to defined change windows.</w:t>
      </w:r>
    </w:p>
    <w:p>
      <w:pPr>
        <w:pStyle w:val="Heading3"/>
        <w:spacing w:after="100" w:before="200"/>
      </w:pPr>
      <w:r>
        <w:rPr>
          <w:rFonts w:ascii="Cambria" w:cs="Cambria" w:eastAsia="Cambria" w:hAnsi="Cambria"/>
          <w:b/>
          <w:bCs/>
          <w:color w:val="0064DC"/>
          <w:sz w:val="24"/>
          <w:szCs w:val="24"/>
        </w:rPr>
        <w:t xml:space="preserve">6.5  Dependencies</w:t>
      </w:r>
    </w:p>
    <w:p>
      <w:pPr>
        <w:pStyle w:val="ListParagraph"/>
        <w:numPr>
          <w:ilvl w:val="0"/>
          <w:numId w:val="2"/>
        </w:numPr>
        <w:spacing w:after="40" w:before="40" w:line="280"/>
      </w:pPr>
      <w:r>
        <w:rPr>
          <w:rFonts w:ascii="Calibri" w:cs="Calibri" w:eastAsia="Calibri" w:hAnsi="Calibri"/>
          <w:sz w:val="22"/>
          <w:szCs w:val="22"/>
        </w:rPr>
        <w:t xml:space="preserve">Receipt of the canonical entity descriptors, leadership bios, and visual assets from each Subsidiary Brand Liaison.</w:t>
      </w:r>
    </w:p>
    <w:p>
      <w:pPr>
        <w:pStyle w:val="ListParagraph"/>
        <w:numPr>
          <w:ilvl w:val="0"/>
          <w:numId w:val="2"/>
        </w:numPr>
        <w:spacing w:after="40" w:before="40" w:line="280"/>
      </w:pPr>
      <w:r>
        <w:rPr>
          <w:rFonts w:ascii="Calibri" w:cs="Calibri" w:eastAsia="Calibri" w:hAnsi="Calibri"/>
          <w:sz w:val="22"/>
          <w:szCs w:val="22"/>
        </w:rPr>
        <w:t xml:space="preserve">Commissioning of the production hosting environment by the Group Cloud Office at least 4 weeks before Go-Live.</w:t>
      </w:r>
    </w:p>
    <w:p>
      <w:pPr>
        <w:pStyle w:val="ListParagraph"/>
        <w:numPr>
          <w:ilvl w:val="0"/>
          <w:numId w:val="2"/>
        </w:numPr>
        <w:spacing w:after="40" w:before="40" w:line="280"/>
      </w:pPr>
      <w:r>
        <w:rPr>
          <w:rFonts w:ascii="Calibri" w:cs="Calibri" w:eastAsia="Calibri" w:hAnsi="Calibri"/>
          <w:sz w:val="22"/>
          <w:szCs w:val="22"/>
        </w:rPr>
        <w:t xml:space="preserve">Confirmation of the JGC CRM integration endpoints and authentication model.</w:t>
      </w:r>
    </w:p>
    <w:p>
      <w:pPr>
        <w:pStyle w:val="ListParagraph"/>
        <w:numPr>
          <w:ilvl w:val="0"/>
          <w:numId w:val="2"/>
        </w:numPr>
        <w:spacing w:after="40" w:before="40" w:line="280"/>
      </w:pPr>
      <w:r>
        <w:rPr>
          <w:rFonts w:ascii="Calibri" w:cs="Calibri" w:eastAsia="Calibri" w:hAnsi="Calibri"/>
          <w:sz w:val="22"/>
          <w:szCs w:val="22"/>
        </w:rPr>
        <w:t xml:space="preserve">Confirmation of the ATS endpoint for the Careers module.</w:t>
      </w:r>
    </w:p>
    <w:p>
      <w:pPr>
        <w:pStyle w:val="ListParagraph"/>
        <w:numPr>
          <w:ilvl w:val="0"/>
          <w:numId w:val="2"/>
        </w:numPr>
        <w:spacing w:after="40" w:before="40" w:line="280"/>
      </w:pPr>
      <w:r>
        <w:rPr>
          <w:rFonts w:ascii="Calibri" w:cs="Calibri" w:eastAsia="Calibri" w:hAnsi="Calibri"/>
          <w:sz w:val="22"/>
          <w:szCs w:val="22"/>
        </w:rPr>
        <w:t xml:space="preserve">Provisioning of the Group SSO identity for editorial users.</w:t>
      </w:r>
    </w:p>
    <w:p>
      <w:r>
        <w:br w:type="page"/>
      </w:r>
    </w:p>
    <w:p>
      <w:pPr>
        <w:pStyle w:val="Heading1"/>
        <w:spacing w:after="180" w:before="360"/>
      </w:pPr>
      <w:r>
        <w:rPr>
          <w:rFonts w:ascii="Cambria" w:cs="Cambria" w:eastAsia="Cambria" w:hAnsi="Cambria"/>
          <w:b/>
          <w:bCs/>
          <w:color w:val="1B3A5C"/>
          <w:sz w:val="36"/>
          <w:szCs w:val="36"/>
        </w:rPr>
        <w:t xml:space="preserve">7.  Information Architecture &amp; Sitemap</w:t>
      </w:r>
    </w:p>
    <w:p>
      <w:pPr>
        <w:pStyle w:val="Heading3"/>
        <w:spacing w:after="100" w:before="200"/>
      </w:pPr>
      <w:r>
        <w:rPr>
          <w:rFonts w:ascii="Cambria" w:cs="Cambria" w:eastAsia="Cambria" w:hAnsi="Cambria"/>
          <w:b/>
          <w:bCs/>
          <w:color w:val="0064DC"/>
          <w:sz w:val="24"/>
          <w:szCs w:val="24"/>
        </w:rPr>
        <w:t xml:space="preserve">7.1  Information Architecture Principles</w:t>
      </w:r>
    </w:p>
    <w:p>
      <w:pPr>
        <w:pStyle w:val="ListParagraph"/>
        <w:numPr>
          <w:ilvl w:val="0"/>
          <w:numId w:val="2"/>
        </w:numPr>
        <w:spacing w:after="40" w:before="40" w:line="280"/>
      </w:pPr>
      <w:r>
        <w:rPr>
          <w:rFonts w:ascii="Calibri" w:cs="Calibri" w:eastAsia="Calibri" w:hAnsi="Calibri"/>
          <w:sz w:val="22"/>
          <w:szCs w:val="22"/>
        </w:rPr>
        <w:t xml:space="preserve">Single canonical voice: the Group narrative leads; subsidiary content supports rather than fragments.</w:t>
      </w:r>
    </w:p>
    <w:p>
      <w:pPr>
        <w:pStyle w:val="ListParagraph"/>
        <w:numPr>
          <w:ilvl w:val="0"/>
          <w:numId w:val="2"/>
        </w:numPr>
        <w:spacing w:after="40" w:before="40" w:line="280"/>
      </w:pPr>
      <w:r>
        <w:rPr>
          <w:rFonts w:ascii="Calibri" w:cs="Calibri" w:eastAsia="Calibri" w:hAnsi="Calibri"/>
          <w:sz w:val="22"/>
          <w:szCs w:val="22"/>
        </w:rPr>
        <w:t xml:space="preserve">Audience-first navigation: top-level paths reflect why a visitor arrives (Investor, Partner, Vendor, Buyer, Talent, Media, Citizen).</w:t>
      </w:r>
    </w:p>
    <w:p>
      <w:pPr>
        <w:pStyle w:val="ListParagraph"/>
        <w:numPr>
          <w:ilvl w:val="0"/>
          <w:numId w:val="2"/>
        </w:numPr>
        <w:spacing w:after="40" w:before="40" w:line="280"/>
      </w:pPr>
      <w:r>
        <w:rPr>
          <w:rFonts w:ascii="Calibri" w:cs="Calibri" w:eastAsia="Calibri" w:hAnsi="Calibri"/>
          <w:sz w:val="22"/>
          <w:szCs w:val="22"/>
        </w:rPr>
        <w:t xml:space="preserve">Three-click rule: any consequential page is reachable within three clicks from the homepage.</w:t>
      </w:r>
    </w:p>
    <w:p>
      <w:pPr>
        <w:pStyle w:val="ListParagraph"/>
        <w:numPr>
          <w:ilvl w:val="0"/>
          <w:numId w:val="2"/>
        </w:numPr>
        <w:spacing w:after="40" w:before="40" w:line="280"/>
      </w:pPr>
      <w:r>
        <w:rPr>
          <w:rFonts w:ascii="Calibri" w:cs="Calibri" w:eastAsia="Calibri" w:hAnsi="Calibri"/>
          <w:sz w:val="22"/>
          <w:szCs w:val="22"/>
        </w:rPr>
        <w:t xml:space="preserve">Progressive disclosure: surface the headline, then evidence, then full document; never bury the headline.</w:t>
      </w:r>
    </w:p>
    <w:p>
      <w:pPr>
        <w:pStyle w:val="ListParagraph"/>
        <w:numPr>
          <w:ilvl w:val="0"/>
          <w:numId w:val="2"/>
        </w:numPr>
        <w:spacing w:after="40" w:before="40" w:line="280"/>
      </w:pPr>
      <w:r>
        <w:rPr>
          <w:rFonts w:ascii="Calibri" w:cs="Calibri" w:eastAsia="Calibri" w:hAnsi="Calibri"/>
          <w:sz w:val="22"/>
          <w:szCs w:val="22"/>
        </w:rPr>
        <w:t xml:space="preserve">Bidirectional linking: every subsidiary card links into and out of the Master narrative.</w:t>
      </w:r>
    </w:p>
    <w:p>
      <w:pPr>
        <w:pStyle w:val="Heading3"/>
        <w:spacing w:after="100" w:before="200"/>
      </w:pPr>
      <w:r>
        <w:rPr>
          <w:rFonts w:ascii="Cambria" w:cs="Cambria" w:eastAsia="Cambria" w:hAnsi="Cambria"/>
          <w:b/>
          <w:bCs/>
          <w:color w:val="0064DC"/>
          <w:sz w:val="24"/>
          <w:szCs w:val="24"/>
        </w:rPr>
        <w:t xml:space="preserve">7.2  Top-Level Sitemap</w:t>
      </w:r>
    </w:p>
    <w:p>
      <w:pPr>
        <w:spacing w:after="60" w:before="60" w:line="300"/>
        <w:jc w:val="both"/>
      </w:pPr>
      <w:r>
        <w:rPr>
          <w:rFonts w:ascii="Calibri" w:cs="Calibri" w:eastAsia="Calibri" w:hAnsi="Calibri"/>
          <w:sz w:val="22"/>
          <w:szCs w:val="22"/>
        </w:rPr>
        <w:t xml:space="preserve">The first-level navigation comprises seven primary sections plus a utility row. Each first-level section expands into a structured set of children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Section</w:t>
            </w:r>
          </w:p>
        </w:tc>
        <w:tc>
          <w:tcPr>
            <w:tcW w:type="dxa" w:w="69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Top-level Description</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Holding company narrative, leadership, governance, history, vision, mission</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Industrial Universe</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23-entity portfolio, sector verticals, capability matrix</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Missions</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Mission Gold Bird India umbrella, six-mission cards, charters, impact</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Investors</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Strategic roadmap, financial highlights, disclosures, governance, fundraise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Partners &amp; Markets</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Vendors, buyers, channel partners, government &amp; multilateral engagement, exports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Careers</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Why Jigisha, leadership development, openings, internships, alumni</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Newsroom</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releases, media kit, executive viewpoints, mission stories, events</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7.3  Detailed Sitemap (Three Levels)</w:t>
      </w:r>
    </w:p>
    <w:p>
      <w:pPr>
        <w:spacing w:after="60" w:before="60" w:line="300"/>
        <w:jc w:val="both"/>
      </w:pPr>
      <w:r>
        <w:rPr>
          <w:rFonts w:ascii="Calibri" w:cs="Calibri" w:eastAsia="Calibri" w:hAnsi="Calibri"/>
          <w:sz w:val="22"/>
          <w:szCs w:val="22"/>
        </w:rPr>
        <w:t xml:space="preserve">The full three-level sitemap below is the source of truth for the URL plan, navigation, and content workflows.</w:t>
      </w:r>
    </w:p>
    <w:p>
      <w:pPr>
        <w:pStyle w:val="Heading4"/>
        <w:spacing w:after="80" w:before="160"/>
      </w:pPr>
      <w:r>
        <w:rPr>
          <w:rFonts w:ascii="Calibri" w:cs="Calibri" w:eastAsia="Calibri" w:hAnsi="Calibri"/>
          <w:b/>
          <w:bCs/>
          <w:color w:val="5B6573"/>
          <w:sz w:val="22"/>
          <w:szCs w:val="22"/>
        </w:rPr>
        <w:t xml:space="preserve">7.3.1  Group</w:t>
      </w:r>
    </w:p>
    <w:p>
      <w:pPr>
        <w:pStyle w:val="ListParagraph"/>
        <w:numPr>
          <w:ilvl w:val="0"/>
          <w:numId w:val="2"/>
        </w:numPr>
        <w:spacing w:after="40" w:before="40" w:line="280"/>
      </w:pPr>
      <w:r>
        <w:rPr>
          <w:rFonts w:ascii="Calibri" w:cs="Calibri" w:eastAsia="Calibri" w:hAnsi="Calibri"/>
          <w:sz w:val="22"/>
          <w:szCs w:val="22"/>
        </w:rPr>
        <w:t xml:space="preserve">/group/about — Identity, founding story, canonical descriptor.</w:t>
      </w:r>
    </w:p>
    <w:p>
      <w:pPr>
        <w:pStyle w:val="ListParagraph"/>
        <w:numPr>
          <w:ilvl w:val="0"/>
          <w:numId w:val="2"/>
        </w:numPr>
        <w:spacing w:after="40" w:before="40" w:line="280"/>
      </w:pPr>
      <w:r>
        <w:rPr>
          <w:rFonts w:ascii="Calibri" w:cs="Calibri" w:eastAsia="Calibri" w:hAnsi="Calibri"/>
          <w:sz w:val="22"/>
          <w:szCs w:val="22"/>
        </w:rPr>
        <w:t xml:space="preserve">/group/leadership — Founder Chairman, Directors, Executive Council.</w:t>
      </w:r>
    </w:p>
    <w:p>
      <w:pPr>
        <w:pStyle w:val="ListParagraph"/>
        <w:numPr>
          <w:ilvl w:val="0"/>
          <w:numId w:val="2"/>
        </w:numPr>
        <w:spacing w:after="40" w:before="40" w:line="280"/>
      </w:pPr>
      <w:r>
        <w:rPr>
          <w:rFonts w:ascii="Calibri" w:cs="Calibri" w:eastAsia="Calibri" w:hAnsi="Calibri"/>
          <w:sz w:val="22"/>
          <w:szCs w:val="22"/>
        </w:rPr>
        <w:t xml:space="preserve">/group/governance — Board structure, committees, charters, code of conduct.</w:t>
      </w:r>
    </w:p>
    <w:p>
      <w:pPr>
        <w:pStyle w:val="ListParagraph"/>
        <w:numPr>
          <w:ilvl w:val="0"/>
          <w:numId w:val="2"/>
        </w:numPr>
        <w:spacing w:after="40" w:before="40" w:line="280"/>
      </w:pPr>
      <w:r>
        <w:rPr>
          <w:rFonts w:ascii="Calibri" w:cs="Calibri" w:eastAsia="Calibri" w:hAnsi="Calibri"/>
          <w:sz w:val="22"/>
          <w:szCs w:val="22"/>
        </w:rPr>
        <w:t xml:space="preserve">/group/values — Values, Dharmic foundation, ethics, integrity.</w:t>
      </w:r>
    </w:p>
    <w:p>
      <w:pPr>
        <w:pStyle w:val="ListParagraph"/>
        <w:numPr>
          <w:ilvl w:val="0"/>
          <w:numId w:val="2"/>
        </w:numPr>
        <w:spacing w:after="40" w:before="40" w:line="280"/>
      </w:pPr>
      <w:r>
        <w:rPr>
          <w:rFonts w:ascii="Calibri" w:cs="Calibri" w:eastAsia="Calibri" w:hAnsi="Calibri"/>
          <w:sz w:val="22"/>
          <w:szCs w:val="22"/>
        </w:rPr>
        <w:t xml:space="preserve">/group/history — Timeline of milestones.</w:t>
      </w:r>
    </w:p>
    <w:p>
      <w:pPr>
        <w:pStyle w:val="ListParagraph"/>
        <w:numPr>
          <w:ilvl w:val="0"/>
          <w:numId w:val="2"/>
        </w:numPr>
        <w:spacing w:after="40" w:before="40" w:line="280"/>
      </w:pPr>
      <w:r>
        <w:rPr>
          <w:rFonts w:ascii="Calibri" w:cs="Calibri" w:eastAsia="Calibri" w:hAnsi="Calibri"/>
          <w:sz w:val="22"/>
          <w:szCs w:val="22"/>
        </w:rPr>
        <w:t xml:space="preserve">/group/footprint — 5 Zonal Offices, 36 State Offices, 5,000+ branches, 5 international regions.</w:t>
      </w:r>
    </w:p>
    <w:p>
      <w:pPr>
        <w:pStyle w:val="ListParagraph"/>
        <w:numPr>
          <w:ilvl w:val="0"/>
          <w:numId w:val="2"/>
        </w:numPr>
        <w:spacing w:after="40" w:before="40" w:line="280"/>
      </w:pPr>
      <w:r>
        <w:rPr>
          <w:rFonts w:ascii="Calibri" w:cs="Calibri" w:eastAsia="Calibri" w:hAnsi="Calibri"/>
          <w:sz w:val="22"/>
          <w:szCs w:val="22"/>
        </w:rPr>
        <w:t xml:space="preserve">/group/structure — 23-entity portfolio map, Tier-A/B/C visual.</w:t>
      </w:r>
    </w:p>
    <w:p>
      <w:pPr>
        <w:pStyle w:val="ListParagraph"/>
        <w:numPr>
          <w:ilvl w:val="0"/>
          <w:numId w:val="2"/>
        </w:numPr>
        <w:spacing w:after="40" w:before="40" w:line="280"/>
      </w:pPr>
      <w:r>
        <w:rPr>
          <w:rFonts w:ascii="Calibri" w:cs="Calibri" w:eastAsia="Calibri" w:hAnsi="Calibri"/>
          <w:sz w:val="22"/>
          <w:szCs w:val="22"/>
        </w:rPr>
        <w:t xml:space="preserve">/group/csr-and-esg — ESG approach, CSR policy, BRSR-style disclosures.</w:t>
      </w:r>
    </w:p>
    <w:p>
      <w:pPr>
        <w:pStyle w:val="ListParagraph"/>
        <w:numPr>
          <w:ilvl w:val="0"/>
          <w:numId w:val="2"/>
        </w:numPr>
        <w:spacing w:after="40" w:before="40" w:line="280"/>
      </w:pPr>
      <w:r>
        <w:rPr>
          <w:rFonts w:ascii="Calibri" w:cs="Calibri" w:eastAsia="Calibri" w:hAnsi="Calibri"/>
          <w:sz w:val="22"/>
          <w:szCs w:val="22"/>
        </w:rPr>
        <w:t xml:space="preserve">/group/contact — Group HQ, registered office, key contacts.</w:t>
      </w:r>
    </w:p>
    <w:p>
      <w:pPr>
        <w:pStyle w:val="Heading4"/>
        <w:spacing w:after="80" w:before="160"/>
      </w:pPr>
      <w:r>
        <w:rPr>
          <w:rFonts w:ascii="Calibri" w:cs="Calibri" w:eastAsia="Calibri" w:hAnsi="Calibri"/>
          <w:b/>
          <w:bCs/>
          <w:color w:val="5B6573"/>
          <w:sz w:val="22"/>
          <w:szCs w:val="22"/>
        </w:rPr>
        <w:t xml:space="preserve">7.3.2  Industrial Universe (Subsidiary Hub)</w:t>
      </w:r>
    </w:p>
    <w:p>
      <w:pPr>
        <w:pStyle w:val="ListParagraph"/>
        <w:numPr>
          <w:ilvl w:val="0"/>
          <w:numId w:val="2"/>
        </w:numPr>
        <w:spacing w:after="40" w:before="40" w:line="280"/>
      </w:pPr>
      <w:r>
        <w:rPr>
          <w:rFonts w:ascii="Calibri" w:cs="Calibri" w:eastAsia="Calibri" w:hAnsi="Calibri"/>
          <w:sz w:val="22"/>
          <w:szCs w:val="22"/>
        </w:rPr>
        <w:t xml:space="preserve">/industrial-universe — Portfolio map, search by sector, search by capability.</w:t>
      </w:r>
    </w:p>
    <w:p>
      <w:pPr>
        <w:pStyle w:val="ListParagraph"/>
        <w:numPr>
          <w:ilvl w:val="0"/>
          <w:numId w:val="2"/>
        </w:numPr>
        <w:spacing w:after="40" w:before="40" w:line="280"/>
      </w:pPr>
      <w:r>
        <w:rPr>
          <w:rFonts w:ascii="Calibri" w:cs="Calibri" w:eastAsia="Calibri" w:hAnsi="Calibri"/>
          <w:sz w:val="22"/>
          <w:szCs w:val="22"/>
        </w:rPr>
        <w:t xml:space="preserve">/industrial-universe/&lt;entity-slug&gt; — One overview page per entity (×23) with cross-links to the entity’s digital property where applicable.</w:t>
      </w:r>
    </w:p>
    <w:p>
      <w:pPr>
        <w:pStyle w:val="ListParagraph"/>
        <w:numPr>
          <w:ilvl w:val="0"/>
          <w:numId w:val="2"/>
        </w:numPr>
        <w:spacing w:after="40" w:before="40" w:line="280"/>
      </w:pPr>
      <w:r>
        <w:rPr>
          <w:rFonts w:ascii="Calibri" w:cs="Calibri" w:eastAsia="Calibri" w:hAnsi="Calibri"/>
          <w:sz w:val="22"/>
          <w:szCs w:val="22"/>
        </w:rPr>
        <w:t xml:space="preserve">/industrial-universe/sectors/&lt;sector-slug&gt; — Sector views: Railways, Defence, Agriculture, Renewable Energy, IT, Healthcare, Logistics, Electricals, Automobiles, Engineering, Media, Infrastructure, Hospitality, Consultancy, Environmental Services, International Trade.</w:t>
      </w:r>
    </w:p>
    <w:p>
      <w:pPr>
        <w:pStyle w:val="ListParagraph"/>
        <w:numPr>
          <w:ilvl w:val="0"/>
          <w:numId w:val="2"/>
        </w:numPr>
        <w:spacing w:after="40" w:before="40" w:line="280"/>
      </w:pPr>
      <w:r>
        <w:rPr>
          <w:rFonts w:ascii="Calibri" w:cs="Calibri" w:eastAsia="Calibri" w:hAnsi="Calibri"/>
          <w:sz w:val="22"/>
          <w:szCs w:val="22"/>
        </w:rPr>
        <w:t xml:space="preserve">/industrial-universe/capabilities/&lt;capability-slug&gt; — Capability views: Manufacturing, Services, Technology, Finance, Infrastructure, Governance.</w:t>
      </w:r>
    </w:p>
    <w:p>
      <w:pPr>
        <w:pStyle w:val="Heading4"/>
        <w:spacing w:after="80" w:before="160"/>
      </w:pPr>
      <w:r>
        <w:rPr>
          <w:rFonts w:ascii="Calibri" w:cs="Calibri" w:eastAsia="Calibri" w:hAnsi="Calibri"/>
          <w:b/>
          <w:bCs/>
          <w:color w:val="5B6573"/>
          <w:sz w:val="22"/>
          <w:szCs w:val="22"/>
        </w:rPr>
        <w:t xml:space="preserve">7.3.3  Missions</w:t>
      </w:r>
    </w:p>
    <w:p>
      <w:pPr>
        <w:pStyle w:val="ListParagraph"/>
        <w:numPr>
          <w:ilvl w:val="0"/>
          <w:numId w:val="2"/>
        </w:numPr>
        <w:spacing w:after="40" w:before="40" w:line="280"/>
      </w:pPr>
      <w:r>
        <w:rPr>
          <w:rFonts w:ascii="Calibri" w:cs="Calibri" w:eastAsia="Calibri" w:hAnsi="Calibri"/>
          <w:sz w:val="22"/>
          <w:szCs w:val="22"/>
        </w:rPr>
        <w:t xml:space="preserve">/missions — Mission Gold Bird India umbrella overview.</w:t>
      </w:r>
    </w:p>
    <w:p>
      <w:pPr>
        <w:pStyle w:val="ListParagraph"/>
        <w:numPr>
          <w:ilvl w:val="0"/>
          <w:numId w:val="2"/>
        </w:numPr>
        <w:spacing w:after="40" w:before="40" w:line="280"/>
      </w:pPr>
      <w:r>
        <w:rPr>
          <w:rFonts w:ascii="Calibri" w:cs="Calibri" w:eastAsia="Calibri" w:hAnsi="Calibri"/>
          <w:sz w:val="22"/>
          <w:szCs w:val="22"/>
        </w:rPr>
        <w:t xml:space="preserve">/missions/grow-india</w:t>
      </w:r>
    </w:p>
    <w:p>
      <w:pPr>
        <w:pStyle w:val="ListParagraph"/>
        <w:numPr>
          <w:ilvl w:val="0"/>
          <w:numId w:val="2"/>
        </w:numPr>
        <w:spacing w:after="40" w:before="40" w:line="280"/>
      </w:pPr>
      <w:r>
        <w:rPr>
          <w:rFonts w:ascii="Calibri" w:cs="Calibri" w:eastAsia="Calibri" w:hAnsi="Calibri"/>
          <w:sz w:val="22"/>
          <w:szCs w:val="22"/>
        </w:rPr>
        <w:t xml:space="preserve">/missions/pro-india</w:t>
      </w:r>
    </w:p>
    <w:p>
      <w:pPr>
        <w:pStyle w:val="ListParagraph"/>
        <w:numPr>
          <w:ilvl w:val="0"/>
          <w:numId w:val="2"/>
        </w:numPr>
        <w:spacing w:after="40" w:before="40" w:line="280"/>
      </w:pPr>
      <w:r>
        <w:rPr>
          <w:rFonts w:ascii="Calibri" w:cs="Calibri" w:eastAsia="Calibri" w:hAnsi="Calibri"/>
          <w:sz w:val="22"/>
          <w:szCs w:val="22"/>
        </w:rPr>
        <w:t xml:space="preserve">/missions/jai-kisan</w:t>
      </w:r>
    </w:p>
    <w:p>
      <w:pPr>
        <w:pStyle w:val="ListParagraph"/>
        <w:numPr>
          <w:ilvl w:val="0"/>
          <w:numId w:val="2"/>
        </w:numPr>
        <w:spacing w:after="40" w:before="40" w:line="280"/>
      </w:pPr>
      <w:r>
        <w:rPr>
          <w:rFonts w:ascii="Calibri" w:cs="Calibri" w:eastAsia="Calibri" w:hAnsi="Calibri"/>
          <w:sz w:val="22"/>
          <w:szCs w:val="22"/>
        </w:rPr>
        <w:t xml:space="preserve">/missions/agro-fusion</w:t>
      </w:r>
    </w:p>
    <w:p>
      <w:pPr>
        <w:pStyle w:val="ListParagraph"/>
        <w:numPr>
          <w:ilvl w:val="0"/>
          <w:numId w:val="2"/>
        </w:numPr>
        <w:spacing w:after="40" w:before="40" w:line="280"/>
      </w:pPr>
      <w:r>
        <w:rPr>
          <w:rFonts w:ascii="Calibri" w:cs="Calibri" w:eastAsia="Calibri" w:hAnsi="Calibri"/>
          <w:sz w:val="22"/>
          <w:szCs w:val="22"/>
        </w:rPr>
        <w:t xml:space="preserve">/missions/go-global</w:t>
      </w:r>
    </w:p>
    <w:p>
      <w:pPr>
        <w:pStyle w:val="ListParagraph"/>
        <w:numPr>
          <w:ilvl w:val="0"/>
          <w:numId w:val="2"/>
        </w:numPr>
        <w:spacing w:after="40" w:before="40" w:line="280"/>
      </w:pPr>
      <w:r>
        <w:rPr>
          <w:rFonts w:ascii="Calibri" w:cs="Calibri" w:eastAsia="Calibri" w:hAnsi="Calibri"/>
          <w:sz w:val="22"/>
          <w:szCs w:val="22"/>
        </w:rPr>
        <w:t xml:space="preserve">/missions/&lt;sixth-mission-slug&gt;</w:t>
      </w:r>
    </w:p>
    <w:p>
      <w:pPr>
        <w:pStyle w:val="ListParagraph"/>
        <w:numPr>
          <w:ilvl w:val="0"/>
          <w:numId w:val="2"/>
        </w:numPr>
        <w:spacing w:after="40" w:before="40" w:line="280"/>
      </w:pPr>
      <w:r>
        <w:rPr>
          <w:rFonts w:ascii="Calibri" w:cs="Calibri" w:eastAsia="Calibri" w:hAnsi="Calibri"/>
          <w:sz w:val="22"/>
          <w:szCs w:val="22"/>
        </w:rPr>
        <w:t xml:space="preserve">/missions/impact — Aggregate impact dashboard.</w:t>
      </w:r>
    </w:p>
    <w:p>
      <w:pPr>
        <w:pStyle w:val="Heading4"/>
        <w:spacing w:after="80" w:before="160"/>
      </w:pPr>
      <w:r>
        <w:rPr>
          <w:rFonts w:ascii="Calibri" w:cs="Calibri" w:eastAsia="Calibri" w:hAnsi="Calibri"/>
          <w:b/>
          <w:bCs/>
          <w:color w:val="5B6573"/>
          <w:sz w:val="22"/>
          <w:szCs w:val="22"/>
        </w:rPr>
        <w:t xml:space="preserve">7.3.4  Investors</w:t>
      </w:r>
    </w:p>
    <w:p>
      <w:pPr>
        <w:pStyle w:val="ListParagraph"/>
        <w:numPr>
          <w:ilvl w:val="0"/>
          <w:numId w:val="2"/>
        </w:numPr>
        <w:spacing w:after="40" w:before="40" w:line="280"/>
      </w:pPr>
      <w:r>
        <w:rPr>
          <w:rFonts w:ascii="Calibri" w:cs="Calibri" w:eastAsia="Calibri" w:hAnsi="Calibri"/>
          <w:sz w:val="22"/>
          <w:szCs w:val="22"/>
        </w:rPr>
        <w:t xml:space="preserve">/investors — Investor home with KPI tiles, latest filings, contact.</w:t>
      </w:r>
    </w:p>
    <w:p>
      <w:pPr>
        <w:pStyle w:val="ListParagraph"/>
        <w:numPr>
          <w:ilvl w:val="0"/>
          <w:numId w:val="2"/>
        </w:numPr>
        <w:spacing w:after="40" w:before="40" w:line="280"/>
      </w:pPr>
      <w:r>
        <w:rPr>
          <w:rFonts w:ascii="Calibri" w:cs="Calibri" w:eastAsia="Calibri" w:hAnsi="Calibri"/>
          <w:sz w:val="22"/>
          <w:szCs w:val="22"/>
        </w:rPr>
        <w:t xml:space="preserve">/investors/strategic-roadmap — 10-Phase / 10-Year roadmap, Y1→Y10 trajectory.</w:t>
      </w:r>
    </w:p>
    <w:p>
      <w:pPr>
        <w:pStyle w:val="ListParagraph"/>
        <w:numPr>
          <w:ilvl w:val="0"/>
          <w:numId w:val="2"/>
        </w:numPr>
        <w:spacing w:after="40" w:before="40" w:line="280"/>
      </w:pPr>
      <w:r>
        <w:rPr>
          <w:rFonts w:ascii="Calibri" w:cs="Calibri" w:eastAsia="Calibri" w:hAnsi="Calibri"/>
          <w:sz w:val="22"/>
          <w:szCs w:val="22"/>
        </w:rPr>
        <w:t xml:space="preserve">/investors/financial-highlights — Consolidated and segment financials at agreed cadence.</w:t>
      </w:r>
    </w:p>
    <w:p>
      <w:pPr>
        <w:pStyle w:val="ListParagraph"/>
        <w:numPr>
          <w:ilvl w:val="0"/>
          <w:numId w:val="2"/>
        </w:numPr>
        <w:spacing w:after="40" w:before="40" w:line="280"/>
      </w:pPr>
      <w:r>
        <w:rPr>
          <w:rFonts w:ascii="Calibri" w:cs="Calibri" w:eastAsia="Calibri" w:hAnsi="Calibri"/>
          <w:sz w:val="22"/>
          <w:szCs w:val="22"/>
        </w:rPr>
        <w:t xml:space="preserve">/investors/governance — Board composition, charters, audit committee, related-party policy.</w:t>
      </w:r>
    </w:p>
    <w:p>
      <w:pPr>
        <w:pStyle w:val="ListParagraph"/>
        <w:numPr>
          <w:ilvl w:val="0"/>
          <w:numId w:val="2"/>
        </w:numPr>
        <w:spacing w:after="40" w:before="40" w:line="280"/>
      </w:pPr>
      <w:r>
        <w:rPr>
          <w:rFonts w:ascii="Calibri" w:cs="Calibri" w:eastAsia="Calibri" w:hAnsi="Calibri"/>
          <w:sz w:val="22"/>
          <w:szCs w:val="22"/>
        </w:rPr>
        <w:t xml:space="preserve">/investors/disclosures — Quarterly and annual filings, statutory notices.</w:t>
      </w:r>
    </w:p>
    <w:p>
      <w:pPr>
        <w:pStyle w:val="ListParagraph"/>
        <w:numPr>
          <w:ilvl w:val="0"/>
          <w:numId w:val="2"/>
        </w:numPr>
        <w:spacing w:after="40" w:before="40" w:line="280"/>
      </w:pPr>
      <w:r>
        <w:rPr>
          <w:rFonts w:ascii="Calibri" w:cs="Calibri" w:eastAsia="Calibri" w:hAnsi="Calibri"/>
          <w:sz w:val="22"/>
          <w:szCs w:val="22"/>
        </w:rPr>
        <w:t xml:space="preserve">/investors/fundraise — Tombstone of the planned ₹500–850 Crore fundraise (subject to legal review).</w:t>
      </w:r>
    </w:p>
    <w:p>
      <w:pPr>
        <w:pStyle w:val="ListParagraph"/>
        <w:numPr>
          <w:ilvl w:val="0"/>
          <w:numId w:val="2"/>
        </w:numPr>
        <w:spacing w:after="40" w:before="40" w:line="280"/>
      </w:pPr>
      <w:r>
        <w:rPr>
          <w:rFonts w:ascii="Calibri" w:cs="Calibri" w:eastAsia="Calibri" w:hAnsi="Calibri"/>
          <w:sz w:val="22"/>
          <w:szCs w:val="22"/>
        </w:rPr>
        <w:t xml:space="preserve">/investors/contact — IR enquiry form, IR officer contact details.</w:t>
      </w:r>
    </w:p>
    <w:p>
      <w:pPr>
        <w:pStyle w:val="Heading4"/>
        <w:spacing w:after="80" w:before="160"/>
      </w:pPr>
      <w:r>
        <w:rPr>
          <w:rFonts w:ascii="Calibri" w:cs="Calibri" w:eastAsia="Calibri" w:hAnsi="Calibri"/>
          <w:b/>
          <w:bCs/>
          <w:color w:val="5B6573"/>
          <w:sz w:val="22"/>
          <w:szCs w:val="22"/>
        </w:rPr>
        <w:t xml:space="preserve">7.3.5  Partners &amp; Markets</w:t>
      </w:r>
    </w:p>
    <w:p>
      <w:pPr>
        <w:pStyle w:val="ListParagraph"/>
        <w:numPr>
          <w:ilvl w:val="0"/>
          <w:numId w:val="2"/>
        </w:numPr>
        <w:spacing w:after="40" w:before="40" w:line="280"/>
      </w:pPr>
      <w:r>
        <w:rPr>
          <w:rFonts w:ascii="Calibri" w:cs="Calibri" w:eastAsia="Calibri" w:hAnsi="Calibri"/>
          <w:sz w:val="22"/>
          <w:szCs w:val="22"/>
        </w:rPr>
        <w:t xml:space="preserve">/partners — Partner overview, channels, opportunities.</w:t>
      </w:r>
    </w:p>
    <w:p>
      <w:pPr>
        <w:pStyle w:val="ListParagraph"/>
        <w:numPr>
          <w:ilvl w:val="0"/>
          <w:numId w:val="2"/>
        </w:numPr>
        <w:spacing w:after="40" w:before="40" w:line="280"/>
      </w:pPr>
      <w:r>
        <w:rPr>
          <w:rFonts w:ascii="Calibri" w:cs="Calibri" w:eastAsia="Calibri" w:hAnsi="Calibri"/>
          <w:sz w:val="22"/>
          <w:szCs w:val="22"/>
        </w:rPr>
        <w:t xml:space="preserve">/partners/vendors — “One Brand — One Vendor” policy; 699+ service lines across 72 verticals.</w:t>
      </w:r>
    </w:p>
    <w:p>
      <w:pPr>
        <w:pStyle w:val="ListParagraph"/>
        <w:numPr>
          <w:ilvl w:val="0"/>
          <w:numId w:val="2"/>
        </w:numPr>
        <w:spacing w:after="40" w:before="40" w:line="280"/>
      </w:pPr>
      <w:r>
        <w:rPr>
          <w:rFonts w:ascii="Calibri" w:cs="Calibri" w:eastAsia="Calibri" w:hAnsi="Calibri"/>
          <w:sz w:val="22"/>
          <w:szCs w:val="22"/>
        </w:rPr>
        <w:t xml:space="preserve">/partners/buyers — 65,000+ products across 103 categories from 20 subsidiaries; routing into the buyer portal.</w:t>
      </w:r>
    </w:p>
    <w:p>
      <w:pPr>
        <w:pStyle w:val="ListParagraph"/>
        <w:numPr>
          <w:ilvl w:val="0"/>
          <w:numId w:val="2"/>
        </w:numPr>
        <w:spacing w:after="40" w:before="40" w:line="280"/>
      </w:pPr>
      <w:r>
        <w:rPr>
          <w:rFonts w:ascii="Calibri" w:cs="Calibri" w:eastAsia="Calibri" w:hAnsi="Calibri"/>
          <w:sz w:val="22"/>
          <w:szCs w:val="22"/>
        </w:rPr>
        <w:t xml:space="preserve">/partners/channel — Channel partner enrollment.</w:t>
      </w:r>
    </w:p>
    <w:p>
      <w:pPr>
        <w:pStyle w:val="ListParagraph"/>
        <w:numPr>
          <w:ilvl w:val="0"/>
          <w:numId w:val="2"/>
        </w:numPr>
        <w:spacing w:after="40" w:before="40" w:line="280"/>
      </w:pPr>
      <w:r>
        <w:rPr>
          <w:rFonts w:ascii="Calibri" w:cs="Calibri" w:eastAsia="Calibri" w:hAnsi="Calibri"/>
          <w:sz w:val="22"/>
          <w:szCs w:val="22"/>
        </w:rPr>
        <w:t xml:space="preserve">/partners/government — Government &amp; PSU engagement; RDSO, MoD, EXIM, ECGC, MAI, RBI, MEA touchpoints.</w:t>
      </w:r>
    </w:p>
    <w:p>
      <w:pPr>
        <w:pStyle w:val="ListParagraph"/>
        <w:numPr>
          <w:ilvl w:val="0"/>
          <w:numId w:val="2"/>
        </w:numPr>
        <w:spacing w:after="40" w:before="40" w:line="280"/>
      </w:pPr>
      <w:r>
        <w:rPr>
          <w:rFonts w:ascii="Calibri" w:cs="Calibri" w:eastAsia="Calibri" w:hAnsi="Calibri"/>
          <w:sz w:val="22"/>
          <w:szCs w:val="22"/>
        </w:rPr>
        <w:t xml:space="preserve">/partners/exports — Go Global narrative; entity #02 Jigisha International.</w:t>
      </w:r>
    </w:p>
    <w:p>
      <w:pPr>
        <w:pStyle w:val="ListParagraph"/>
        <w:numPr>
          <w:ilvl w:val="0"/>
          <w:numId w:val="2"/>
        </w:numPr>
        <w:spacing w:after="40" w:before="40" w:line="280"/>
      </w:pPr>
      <w:r>
        <w:rPr>
          <w:rFonts w:ascii="Calibri" w:cs="Calibri" w:eastAsia="Calibri" w:hAnsi="Calibri"/>
          <w:sz w:val="22"/>
          <w:szCs w:val="22"/>
        </w:rPr>
        <w:t xml:space="preserve">/partners/contact — Partner intake form.</w:t>
      </w:r>
    </w:p>
    <w:p>
      <w:pPr>
        <w:pStyle w:val="Heading4"/>
        <w:spacing w:after="80" w:before="160"/>
      </w:pPr>
      <w:r>
        <w:rPr>
          <w:rFonts w:ascii="Calibri" w:cs="Calibri" w:eastAsia="Calibri" w:hAnsi="Calibri"/>
          <w:b/>
          <w:bCs/>
          <w:color w:val="5B6573"/>
          <w:sz w:val="22"/>
          <w:szCs w:val="22"/>
        </w:rPr>
        <w:t xml:space="preserve">7.3.6  Careers</w:t>
      </w:r>
    </w:p>
    <w:p>
      <w:pPr>
        <w:pStyle w:val="ListParagraph"/>
        <w:numPr>
          <w:ilvl w:val="0"/>
          <w:numId w:val="2"/>
        </w:numPr>
        <w:spacing w:after="40" w:before="40" w:line="280"/>
      </w:pPr>
      <w:r>
        <w:rPr>
          <w:rFonts w:ascii="Calibri" w:cs="Calibri" w:eastAsia="Calibri" w:hAnsi="Calibri"/>
          <w:sz w:val="22"/>
          <w:szCs w:val="22"/>
        </w:rPr>
        <w:t xml:space="preserve">/careers — Why Jigisha, culture, leadership.</w:t>
      </w:r>
    </w:p>
    <w:p>
      <w:pPr>
        <w:pStyle w:val="ListParagraph"/>
        <w:numPr>
          <w:ilvl w:val="0"/>
          <w:numId w:val="2"/>
        </w:numPr>
        <w:spacing w:after="40" w:before="40" w:line="280"/>
      </w:pPr>
      <w:r>
        <w:rPr>
          <w:rFonts w:ascii="Calibri" w:cs="Calibri" w:eastAsia="Calibri" w:hAnsi="Calibri"/>
          <w:sz w:val="22"/>
          <w:szCs w:val="22"/>
        </w:rPr>
        <w:t xml:space="preserve">/careers/openings — Live openings (federated from ATS across all 23 entities).</w:t>
      </w:r>
    </w:p>
    <w:p>
      <w:pPr>
        <w:pStyle w:val="ListParagraph"/>
        <w:numPr>
          <w:ilvl w:val="0"/>
          <w:numId w:val="2"/>
        </w:numPr>
        <w:spacing w:after="40" w:before="40" w:line="280"/>
      </w:pPr>
      <w:r>
        <w:rPr>
          <w:rFonts w:ascii="Calibri" w:cs="Calibri" w:eastAsia="Calibri" w:hAnsi="Calibri"/>
          <w:sz w:val="22"/>
          <w:szCs w:val="22"/>
        </w:rPr>
        <w:t xml:space="preserve">/careers/internships</w:t>
      </w:r>
    </w:p>
    <w:p>
      <w:pPr>
        <w:pStyle w:val="ListParagraph"/>
        <w:numPr>
          <w:ilvl w:val="0"/>
          <w:numId w:val="2"/>
        </w:numPr>
        <w:spacing w:after="40" w:before="40" w:line="280"/>
      </w:pPr>
      <w:r>
        <w:rPr>
          <w:rFonts w:ascii="Calibri" w:cs="Calibri" w:eastAsia="Calibri" w:hAnsi="Calibri"/>
          <w:sz w:val="22"/>
          <w:szCs w:val="22"/>
        </w:rPr>
        <w:t xml:space="preserve">/careers/leadership-development — ALPHA leadership programme.</w:t>
      </w:r>
    </w:p>
    <w:p>
      <w:pPr>
        <w:pStyle w:val="ListParagraph"/>
        <w:numPr>
          <w:ilvl w:val="0"/>
          <w:numId w:val="2"/>
        </w:numPr>
        <w:spacing w:after="40" w:before="40" w:line="280"/>
      </w:pPr>
      <w:r>
        <w:rPr>
          <w:rFonts w:ascii="Calibri" w:cs="Calibri" w:eastAsia="Calibri" w:hAnsi="Calibri"/>
          <w:sz w:val="22"/>
          <w:szCs w:val="22"/>
        </w:rPr>
        <w:t xml:space="preserve">/careers/alumni — Alumni network.</w:t>
      </w:r>
    </w:p>
    <w:p>
      <w:pPr>
        <w:pStyle w:val="ListParagraph"/>
        <w:numPr>
          <w:ilvl w:val="0"/>
          <w:numId w:val="2"/>
        </w:numPr>
        <w:spacing w:after="40" w:before="40" w:line="280"/>
      </w:pPr>
      <w:r>
        <w:rPr>
          <w:rFonts w:ascii="Calibri" w:cs="Calibri" w:eastAsia="Calibri" w:hAnsi="Calibri"/>
          <w:sz w:val="22"/>
          <w:szCs w:val="22"/>
        </w:rPr>
        <w:t xml:space="preserve">/careers/apply — Generic application route.</w:t>
      </w:r>
    </w:p>
    <w:p>
      <w:pPr>
        <w:pStyle w:val="Heading4"/>
        <w:spacing w:after="80" w:before="160"/>
      </w:pPr>
      <w:r>
        <w:rPr>
          <w:rFonts w:ascii="Calibri" w:cs="Calibri" w:eastAsia="Calibri" w:hAnsi="Calibri"/>
          <w:b/>
          <w:bCs/>
          <w:color w:val="5B6573"/>
          <w:sz w:val="22"/>
          <w:szCs w:val="22"/>
        </w:rPr>
        <w:t xml:space="preserve">7.3.7  Newsroom</w:t>
      </w:r>
    </w:p>
    <w:p>
      <w:pPr>
        <w:pStyle w:val="ListParagraph"/>
        <w:numPr>
          <w:ilvl w:val="0"/>
          <w:numId w:val="2"/>
        </w:numPr>
        <w:spacing w:after="40" w:before="40" w:line="280"/>
      </w:pPr>
      <w:r>
        <w:rPr>
          <w:rFonts w:ascii="Calibri" w:cs="Calibri" w:eastAsia="Calibri" w:hAnsi="Calibri"/>
          <w:sz w:val="22"/>
          <w:szCs w:val="22"/>
        </w:rPr>
        <w:t xml:space="preserve">/newsroom — Latest releases.</w:t>
      </w:r>
    </w:p>
    <w:p>
      <w:pPr>
        <w:pStyle w:val="ListParagraph"/>
        <w:numPr>
          <w:ilvl w:val="0"/>
          <w:numId w:val="2"/>
        </w:numPr>
        <w:spacing w:after="40" w:before="40" w:line="280"/>
      </w:pPr>
      <w:r>
        <w:rPr>
          <w:rFonts w:ascii="Calibri" w:cs="Calibri" w:eastAsia="Calibri" w:hAnsi="Calibri"/>
          <w:sz w:val="22"/>
          <w:szCs w:val="22"/>
        </w:rPr>
        <w:t xml:space="preserve">/newsroom/press-releases</w:t>
      </w:r>
    </w:p>
    <w:p>
      <w:pPr>
        <w:pStyle w:val="ListParagraph"/>
        <w:numPr>
          <w:ilvl w:val="0"/>
          <w:numId w:val="2"/>
        </w:numPr>
        <w:spacing w:after="40" w:before="40" w:line="280"/>
      </w:pPr>
      <w:r>
        <w:rPr>
          <w:rFonts w:ascii="Calibri" w:cs="Calibri" w:eastAsia="Calibri" w:hAnsi="Calibri"/>
          <w:sz w:val="22"/>
          <w:szCs w:val="22"/>
        </w:rPr>
        <w:t xml:space="preserve">/newsroom/viewpoints — Long-form executive bylines.</w:t>
      </w:r>
    </w:p>
    <w:p>
      <w:pPr>
        <w:pStyle w:val="ListParagraph"/>
        <w:numPr>
          <w:ilvl w:val="0"/>
          <w:numId w:val="2"/>
        </w:numPr>
        <w:spacing w:after="40" w:before="40" w:line="280"/>
      </w:pPr>
      <w:r>
        <w:rPr>
          <w:rFonts w:ascii="Calibri" w:cs="Calibri" w:eastAsia="Calibri" w:hAnsi="Calibri"/>
          <w:sz w:val="22"/>
          <w:szCs w:val="22"/>
        </w:rPr>
        <w:t xml:space="preserve">/newsroom/mission-stories</w:t>
      </w:r>
    </w:p>
    <w:p>
      <w:pPr>
        <w:pStyle w:val="ListParagraph"/>
        <w:numPr>
          <w:ilvl w:val="0"/>
          <w:numId w:val="2"/>
        </w:numPr>
        <w:spacing w:after="40" w:before="40" w:line="280"/>
      </w:pPr>
      <w:r>
        <w:rPr>
          <w:rFonts w:ascii="Calibri" w:cs="Calibri" w:eastAsia="Calibri" w:hAnsi="Calibri"/>
          <w:sz w:val="22"/>
          <w:szCs w:val="22"/>
        </w:rPr>
        <w:t xml:space="preserve">/newsroom/events</w:t>
      </w:r>
    </w:p>
    <w:p>
      <w:pPr>
        <w:pStyle w:val="ListParagraph"/>
        <w:numPr>
          <w:ilvl w:val="0"/>
          <w:numId w:val="2"/>
        </w:numPr>
        <w:spacing w:after="40" w:before="40" w:line="280"/>
      </w:pPr>
      <w:r>
        <w:rPr>
          <w:rFonts w:ascii="Calibri" w:cs="Calibri" w:eastAsia="Calibri" w:hAnsi="Calibri"/>
          <w:sz w:val="22"/>
          <w:szCs w:val="22"/>
        </w:rPr>
        <w:t xml:space="preserve">/newsroom/media-kit — Logos, executive headshots, factsheets.</w:t>
      </w:r>
    </w:p>
    <w:p>
      <w:pPr>
        <w:pStyle w:val="ListParagraph"/>
        <w:numPr>
          <w:ilvl w:val="0"/>
          <w:numId w:val="2"/>
        </w:numPr>
        <w:spacing w:after="40" w:before="40" w:line="280"/>
      </w:pPr>
      <w:r>
        <w:rPr>
          <w:rFonts w:ascii="Calibri" w:cs="Calibri" w:eastAsia="Calibri" w:hAnsi="Calibri"/>
          <w:sz w:val="22"/>
          <w:szCs w:val="22"/>
        </w:rPr>
        <w:t xml:space="preserve">/newsroom/contact — Press enquiry form.</w:t>
      </w:r>
    </w:p>
    <w:p>
      <w:pPr>
        <w:pStyle w:val="Heading4"/>
        <w:spacing w:after="80" w:before="160"/>
      </w:pPr>
      <w:r>
        <w:rPr>
          <w:rFonts w:ascii="Calibri" w:cs="Calibri" w:eastAsia="Calibri" w:hAnsi="Calibri"/>
          <w:b/>
          <w:bCs/>
          <w:color w:val="5B6573"/>
          <w:sz w:val="22"/>
          <w:szCs w:val="22"/>
        </w:rPr>
        <w:t xml:space="preserve">7.3.8  Utility Layer</w:t>
      </w:r>
    </w:p>
    <w:p>
      <w:pPr>
        <w:pStyle w:val="ListParagraph"/>
        <w:numPr>
          <w:ilvl w:val="0"/>
          <w:numId w:val="2"/>
        </w:numPr>
        <w:spacing w:after="40" w:before="40" w:line="280"/>
      </w:pPr>
      <w:r>
        <w:rPr>
          <w:rFonts w:ascii="Calibri" w:cs="Calibri" w:eastAsia="Calibri" w:hAnsi="Calibri"/>
          <w:sz w:val="22"/>
          <w:szCs w:val="22"/>
        </w:rPr>
        <w:t xml:space="preserve">/search — Site-wide search.</w:t>
      </w:r>
    </w:p>
    <w:p>
      <w:pPr>
        <w:pStyle w:val="ListParagraph"/>
        <w:numPr>
          <w:ilvl w:val="0"/>
          <w:numId w:val="2"/>
        </w:numPr>
        <w:spacing w:after="40" w:before="40" w:line="280"/>
      </w:pPr>
      <w:r>
        <w:rPr>
          <w:rFonts w:ascii="Calibri" w:cs="Calibri" w:eastAsia="Calibri" w:hAnsi="Calibri"/>
          <w:sz w:val="22"/>
          <w:szCs w:val="22"/>
        </w:rPr>
        <w:t xml:space="preserve">/sitemap.xml, /robots.txt, /humans.txt</w:t>
      </w:r>
    </w:p>
    <w:p>
      <w:pPr>
        <w:pStyle w:val="ListParagraph"/>
        <w:numPr>
          <w:ilvl w:val="0"/>
          <w:numId w:val="2"/>
        </w:numPr>
        <w:spacing w:after="40" w:before="40" w:line="280"/>
      </w:pPr>
      <w:r>
        <w:rPr>
          <w:rFonts w:ascii="Calibri" w:cs="Calibri" w:eastAsia="Calibri" w:hAnsi="Calibri"/>
          <w:sz w:val="22"/>
          <w:szCs w:val="22"/>
        </w:rPr>
        <w:t xml:space="preserve">/legal/terms</w:t>
      </w:r>
    </w:p>
    <w:p>
      <w:pPr>
        <w:pStyle w:val="ListParagraph"/>
        <w:numPr>
          <w:ilvl w:val="0"/>
          <w:numId w:val="2"/>
        </w:numPr>
        <w:spacing w:after="40" w:before="40" w:line="280"/>
      </w:pPr>
      <w:r>
        <w:rPr>
          <w:rFonts w:ascii="Calibri" w:cs="Calibri" w:eastAsia="Calibri" w:hAnsi="Calibri"/>
          <w:sz w:val="22"/>
          <w:szCs w:val="22"/>
        </w:rPr>
        <w:t xml:space="preserve">/legal/privacy</w:t>
      </w:r>
    </w:p>
    <w:p>
      <w:pPr>
        <w:pStyle w:val="ListParagraph"/>
        <w:numPr>
          <w:ilvl w:val="0"/>
          <w:numId w:val="2"/>
        </w:numPr>
        <w:spacing w:after="40" w:before="40" w:line="280"/>
      </w:pPr>
      <w:r>
        <w:rPr>
          <w:rFonts w:ascii="Calibri" w:cs="Calibri" w:eastAsia="Calibri" w:hAnsi="Calibri"/>
          <w:sz w:val="22"/>
          <w:szCs w:val="22"/>
        </w:rPr>
        <w:t xml:space="preserve">/legal/cookies</w:t>
      </w:r>
    </w:p>
    <w:p>
      <w:pPr>
        <w:pStyle w:val="ListParagraph"/>
        <w:numPr>
          <w:ilvl w:val="0"/>
          <w:numId w:val="2"/>
        </w:numPr>
        <w:spacing w:after="40" w:before="40" w:line="280"/>
      </w:pPr>
      <w:r>
        <w:rPr>
          <w:rFonts w:ascii="Calibri" w:cs="Calibri" w:eastAsia="Calibri" w:hAnsi="Calibri"/>
          <w:sz w:val="22"/>
          <w:szCs w:val="22"/>
        </w:rPr>
        <w:t xml:space="preserve">/legal/whistleblower</w:t>
      </w:r>
    </w:p>
    <w:p>
      <w:pPr>
        <w:pStyle w:val="ListParagraph"/>
        <w:numPr>
          <w:ilvl w:val="0"/>
          <w:numId w:val="2"/>
        </w:numPr>
        <w:spacing w:after="40" w:before="40" w:line="280"/>
      </w:pPr>
      <w:r>
        <w:rPr>
          <w:rFonts w:ascii="Calibri" w:cs="Calibri" w:eastAsia="Calibri" w:hAnsi="Calibri"/>
          <w:sz w:val="22"/>
          <w:szCs w:val="22"/>
        </w:rPr>
        <w:t xml:space="preserve">/legal/disclaimer</w:t>
      </w:r>
    </w:p>
    <w:p>
      <w:pPr>
        <w:pStyle w:val="ListParagraph"/>
        <w:numPr>
          <w:ilvl w:val="0"/>
          <w:numId w:val="2"/>
        </w:numPr>
        <w:spacing w:after="40" w:before="40" w:line="280"/>
      </w:pPr>
      <w:r>
        <w:rPr>
          <w:rFonts w:ascii="Calibri" w:cs="Calibri" w:eastAsia="Calibri" w:hAnsi="Calibri"/>
          <w:sz w:val="22"/>
          <w:szCs w:val="22"/>
        </w:rPr>
        <w:t xml:space="preserve">/accessibility — Accessibility statement and feedback channel.</w:t>
      </w:r>
    </w:p>
    <w:p>
      <w:pPr>
        <w:pStyle w:val="ListParagraph"/>
        <w:numPr>
          <w:ilvl w:val="0"/>
          <w:numId w:val="2"/>
        </w:numPr>
        <w:spacing w:after="40" w:before="40" w:line="280"/>
      </w:pPr>
      <w:r>
        <w:rPr>
          <w:rFonts w:ascii="Calibri" w:cs="Calibri" w:eastAsia="Calibri" w:hAnsi="Calibri"/>
          <w:sz w:val="22"/>
          <w:szCs w:val="22"/>
        </w:rPr>
        <w:t xml:space="preserve">/contact — Master contact router.</w:t>
      </w:r>
    </w:p>
    <w:p>
      <w:r>
        <w:br w:type="page"/>
      </w:r>
    </w:p>
    <w:p>
      <w:pPr>
        <w:pStyle w:val="Heading1"/>
        <w:spacing w:after="180" w:before="360"/>
      </w:pPr>
      <w:r>
        <w:rPr>
          <w:rFonts w:ascii="Cambria" w:cs="Cambria" w:eastAsia="Cambria" w:hAnsi="Cambria"/>
          <w:b/>
          <w:bCs/>
          <w:color w:val="1B3A5C"/>
          <w:sz w:val="36"/>
          <w:szCs w:val="36"/>
        </w:rPr>
        <w:t xml:space="preserve">8.  User Personas &amp; Journey Mapping</w:t>
      </w:r>
    </w:p>
    <w:p>
      <w:pPr>
        <w:pStyle w:val="Heading3"/>
        <w:spacing w:after="100" w:before="200"/>
      </w:pPr>
      <w:r>
        <w:rPr>
          <w:rFonts w:ascii="Cambria" w:cs="Cambria" w:eastAsia="Cambria" w:hAnsi="Cambria"/>
          <w:b/>
          <w:bCs/>
          <w:color w:val="0064DC"/>
          <w:sz w:val="24"/>
          <w:szCs w:val="24"/>
        </w:rPr>
        <w:t xml:space="preserve">8.1  Primary Personas</w:t>
      </w:r>
    </w:p>
    <w:p>
      <w:pPr>
        <w:spacing w:after="60" w:before="60" w:line="300"/>
        <w:jc w:val="both"/>
      </w:pPr>
      <w:r>
        <w:rPr>
          <w:rFonts w:ascii="Calibri" w:cs="Calibri" w:eastAsia="Calibri" w:hAnsi="Calibri"/>
          <w:sz w:val="22"/>
          <w:szCs w:val="22"/>
        </w:rPr>
        <w:t xml:space="preserve">Six primary personas drive the Master Website experience design. Each persona is mapped to a corresponding journey, instrumented for measurement, and traced to specific KPIs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rPr>
          <w:tblHeader/>
        </w:trPr>
        <w:tc>
          <w:tcPr>
            <w:tcW w:type="dxa" w:w="19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Persona</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Profile</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Top Tasks</w:t>
            </w:r>
          </w:p>
        </w:tc>
        <w:tc>
          <w:tcPr>
            <w:tcW w:type="dxa" w:w="26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Success Signal</w:t>
            </w:r>
          </w:p>
        </w:tc>
      </w:tr>
      <w:tr>
        <w:trPr>
          <w:tblHeader w:val="false"/>
        </w:trPr>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Institutional Investor / Analyst</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Domestic / global investor evaluating the Group for capital deployment.</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Read Strategic Roadmap, view financial highlights, download disclosures, contact IR.</w:t>
            </w:r>
          </w:p>
        </w:tc>
        <w:tc>
          <w:tcPr>
            <w:tcW w:type="dxa" w:w="2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Submits IR enquiry; downloads investor pack.</w:t>
            </w:r>
          </w:p>
        </w:tc>
      </w:tr>
      <w:tr>
        <w:trPr>
          <w:tblHeader w:val="false"/>
        </w:trPr>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Government / Regulator</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Ministry official, regulator, PSU procurement officer.</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Verify Group identity, locate empanelment information, retrieve governance disclosures.</w:t>
            </w:r>
          </w:p>
        </w:tc>
        <w:tc>
          <w:tcPr>
            <w:tcW w:type="dxa" w:w="2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Reaches the right entity via routing.</w:t>
            </w:r>
          </w:p>
        </w:tc>
      </w:tr>
      <w:tr>
        <w:trPr>
          <w:tblHeader w:val="false"/>
        </w:trPr>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Vendor / Supplier</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Industrial supplier seeking to enrol with the Group.</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Read “One Brand — One Vendor” policy, register intent, route to subsidiary portal.</w:t>
            </w:r>
          </w:p>
        </w:tc>
        <w:tc>
          <w:tcPr>
            <w:tcW w:type="dxa" w:w="2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Completes vendor intake; receives onboarding email.</w:t>
            </w:r>
          </w:p>
        </w:tc>
      </w:tr>
      <w:tr>
        <w:trPr>
          <w:tblHeader w:val="false"/>
        </w:trPr>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Buyer / OEM</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Industrial buyer evaluating Jigisha products and services.</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Browse capability, read sector pages, route to relevant subsidiary buyer portal.</w:t>
            </w:r>
          </w:p>
        </w:tc>
        <w:tc>
          <w:tcPr>
            <w:tcW w:type="dxa" w:w="2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Routes into the buyer portal.</w:t>
            </w:r>
          </w:p>
        </w:tc>
      </w:tr>
      <w:tr>
        <w:trPr>
          <w:tblHeader w:val="false"/>
        </w:trPr>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Talent</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Mid-to-senior leader or specialist evaluating Jigisha for employment.</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Read culture and leadership, view openings, apply.</w:t>
            </w:r>
          </w:p>
        </w:tc>
        <w:tc>
          <w:tcPr>
            <w:tcW w:type="dxa" w:w="2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Submits application; tracked in ATS.</w:t>
            </w:r>
          </w:p>
        </w:tc>
      </w:tr>
      <w:tr>
        <w:trPr>
          <w:tblHeader w:val="false"/>
        </w:trPr>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 Public</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Reporter, citizen, mission beneficiary.</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Find latest news, download media kit, find mission impact.</w:t>
            </w:r>
          </w:p>
        </w:tc>
        <w:tc>
          <w:tcPr>
            <w:tcW w:type="dxa" w:w="2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enquiry submitted; media kit downloaded.</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8.2  Journey Map — Institutional Investor</w:t>
      </w:r>
    </w:p>
    <w:p>
      <w:pPr>
        <w:pStyle w:val="ListParagraph"/>
        <w:numPr>
          <w:ilvl w:val="0"/>
          <w:numId w:val="3"/>
        </w:numPr>
        <w:spacing w:after="40" w:before="40" w:line="280"/>
      </w:pPr>
      <w:r>
        <w:rPr>
          <w:rFonts w:ascii="Calibri" w:cs="Calibri" w:eastAsia="Calibri" w:hAnsi="Calibri"/>
          <w:sz w:val="22"/>
          <w:szCs w:val="22"/>
        </w:rPr>
        <w:t xml:space="preserve">Awareness: Investor receives an IR teaser; lands on /investors.</w:t>
      </w:r>
    </w:p>
    <w:p>
      <w:pPr>
        <w:pStyle w:val="ListParagraph"/>
        <w:numPr>
          <w:ilvl w:val="0"/>
          <w:numId w:val="3"/>
        </w:numPr>
        <w:spacing w:after="40" w:before="40" w:line="280"/>
      </w:pPr>
      <w:r>
        <w:rPr>
          <w:rFonts w:ascii="Calibri" w:cs="Calibri" w:eastAsia="Calibri" w:hAnsi="Calibri"/>
          <w:sz w:val="22"/>
          <w:szCs w:val="22"/>
        </w:rPr>
        <w:t xml:space="preserve">Orientation: Reviews KPI tiles — revenue trajectory, valuation, footprint.</w:t>
      </w:r>
    </w:p>
    <w:p>
      <w:pPr>
        <w:pStyle w:val="ListParagraph"/>
        <w:numPr>
          <w:ilvl w:val="0"/>
          <w:numId w:val="3"/>
        </w:numPr>
        <w:spacing w:after="40" w:before="40" w:line="280"/>
      </w:pPr>
      <w:r>
        <w:rPr>
          <w:rFonts w:ascii="Calibri" w:cs="Calibri" w:eastAsia="Calibri" w:hAnsi="Calibri"/>
          <w:sz w:val="22"/>
          <w:szCs w:val="22"/>
        </w:rPr>
        <w:t xml:space="preserve">Evaluation: Drills into /investors/strategic-roadmap and /investors/financial-highlights.</w:t>
      </w:r>
    </w:p>
    <w:p>
      <w:pPr>
        <w:pStyle w:val="ListParagraph"/>
        <w:numPr>
          <w:ilvl w:val="0"/>
          <w:numId w:val="3"/>
        </w:numPr>
        <w:spacing w:after="40" w:before="40" w:line="280"/>
      </w:pPr>
      <w:r>
        <w:rPr>
          <w:rFonts w:ascii="Calibri" w:cs="Calibri" w:eastAsia="Calibri" w:hAnsi="Calibri"/>
          <w:sz w:val="22"/>
          <w:szCs w:val="22"/>
        </w:rPr>
        <w:t xml:space="preserve">Validation: Cross-checks /group/governance and /group/leadership.</w:t>
      </w:r>
    </w:p>
    <w:p>
      <w:pPr>
        <w:pStyle w:val="ListParagraph"/>
        <w:numPr>
          <w:ilvl w:val="0"/>
          <w:numId w:val="3"/>
        </w:numPr>
        <w:spacing w:after="40" w:before="40" w:line="280"/>
      </w:pPr>
      <w:r>
        <w:rPr>
          <w:rFonts w:ascii="Calibri" w:cs="Calibri" w:eastAsia="Calibri" w:hAnsi="Calibri"/>
          <w:sz w:val="22"/>
          <w:szCs w:val="22"/>
        </w:rPr>
        <w:t xml:space="preserve">Engagement: Submits enquiry on /investors/contact; receives confirmation; routed to IR officer.</w:t>
      </w:r>
    </w:p>
    <w:p>
      <w:pPr>
        <w:pStyle w:val="ListParagraph"/>
        <w:numPr>
          <w:ilvl w:val="0"/>
          <w:numId w:val="3"/>
        </w:numPr>
        <w:spacing w:after="40" w:before="40" w:line="280"/>
      </w:pPr>
      <w:r>
        <w:rPr>
          <w:rFonts w:ascii="Calibri" w:cs="Calibri" w:eastAsia="Calibri" w:hAnsi="Calibri"/>
          <w:sz w:val="22"/>
          <w:szCs w:val="22"/>
        </w:rPr>
        <w:t xml:space="preserve">Conversion: IR officer engages directly; investor enters the funnel.</w:t>
      </w:r>
    </w:p>
    <w:p>
      <w:pPr>
        <w:pStyle w:val="Heading3"/>
        <w:spacing w:after="100" w:before="200"/>
      </w:pPr>
      <w:r>
        <w:rPr>
          <w:rFonts w:ascii="Cambria" w:cs="Cambria" w:eastAsia="Cambria" w:hAnsi="Cambria"/>
          <w:b/>
          <w:bCs/>
          <w:color w:val="0064DC"/>
          <w:sz w:val="24"/>
          <w:szCs w:val="24"/>
        </w:rPr>
        <w:t xml:space="preserve">8.3  Journey Map — Vendor</w:t>
      </w:r>
    </w:p>
    <w:p>
      <w:pPr>
        <w:pStyle w:val="ListParagraph"/>
        <w:numPr>
          <w:ilvl w:val="0"/>
          <w:numId w:val="3"/>
        </w:numPr>
        <w:spacing w:after="40" w:before="40" w:line="280"/>
      </w:pPr>
      <w:r>
        <w:rPr>
          <w:rFonts w:ascii="Calibri" w:cs="Calibri" w:eastAsia="Calibri" w:hAnsi="Calibri"/>
          <w:sz w:val="22"/>
          <w:szCs w:val="22"/>
        </w:rPr>
        <w:t xml:space="preserve">Awareness: Vendor finds Jigisha through search or referral; lands on /partners/vendors.</w:t>
      </w:r>
    </w:p>
    <w:p>
      <w:pPr>
        <w:pStyle w:val="ListParagraph"/>
        <w:numPr>
          <w:ilvl w:val="0"/>
          <w:numId w:val="3"/>
        </w:numPr>
        <w:spacing w:after="40" w:before="40" w:line="280"/>
      </w:pPr>
      <w:r>
        <w:rPr>
          <w:rFonts w:ascii="Calibri" w:cs="Calibri" w:eastAsia="Calibri" w:hAnsi="Calibri"/>
          <w:sz w:val="22"/>
          <w:szCs w:val="22"/>
        </w:rPr>
        <w:t xml:space="preserve">Orientation: Reads “One Brand — One Vendor” policy; sees the 72 verticals served.</w:t>
      </w:r>
    </w:p>
    <w:p>
      <w:pPr>
        <w:pStyle w:val="ListParagraph"/>
        <w:numPr>
          <w:ilvl w:val="0"/>
          <w:numId w:val="3"/>
        </w:numPr>
        <w:spacing w:after="40" w:before="40" w:line="280"/>
      </w:pPr>
      <w:r>
        <w:rPr>
          <w:rFonts w:ascii="Calibri" w:cs="Calibri" w:eastAsia="Calibri" w:hAnsi="Calibri"/>
          <w:sz w:val="22"/>
          <w:szCs w:val="22"/>
        </w:rPr>
        <w:t xml:space="preserve">Evaluation: Reads category-specific guidance; identifies the matching subsidiary.</w:t>
      </w:r>
    </w:p>
    <w:p>
      <w:pPr>
        <w:pStyle w:val="ListParagraph"/>
        <w:numPr>
          <w:ilvl w:val="0"/>
          <w:numId w:val="3"/>
        </w:numPr>
        <w:spacing w:after="40" w:before="40" w:line="280"/>
      </w:pPr>
      <w:r>
        <w:rPr>
          <w:rFonts w:ascii="Calibri" w:cs="Calibri" w:eastAsia="Calibri" w:hAnsi="Calibri"/>
          <w:sz w:val="22"/>
          <w:szCs w:val="22"/>
        </w:rPr>
        <w:t xml:space="preserve">Action: Submits the vendor intake form, choosing category and entity.</w:t>
      </w:r>
    </w:p>
    <w:p>
      <w:pPr>
        <w:pStyle w:val="ListParagraph"/>
        <w:numPr>
          <w:ilvl w:val="0"/>
          <w:numId w:val="3"/>
        </w:numPr>
        <w:spacing w:after="40" w:before="40" w:line="280"/>
      </w:pPr>
      <w:r>
        <w:rPr>
          <w:rFonts w:ascii="Calibri" w:cs="Calibri" w:eastAsia="Calibri" w:hAnsi="Calibri"/>
          <w:sz w:val="22"/>
          <w:szCs w:val="22"/>
        </w:rPr>
        <w:t xml:space="preserve">Routing: System routes to the correct subsidiary CRM and the vendor receives an onboarding link to the subsidiary vendor portal.</w:t>
      </w:r>
    </w:p>
    <w:p>
      <w:pPr>
        <w:pStyle w:val="ListParagraph"/>
        <w:numPr>
          <w:ilvl w:val="0"/>
          <w:numId w:val="3"/>
        </w:numPr>
        <w:spacing w:after="40" w:before="40" w:line="280"/>
      </w:pPr>
      <w:r>
        <w:rPr>
          <w:rFonts w:ascii="Calibri" w:cs="Calibri" w:eastAsia="Calibri" w:hAnsi="Calibri"/>
          <w:sz w:val="22"/>
          <w:szCs w:val="22"/>
        </w:rPr>
        <w:t xml:space="preserve">Conversion: Vendor completes onboarding outside the Master Website.</w:t>
      </w:r>
    </w:p>
    <w:p>
      <w:pPr>
        <w:pStyle w:val="Heading3"/>
        <w:spacing w:after="100" w:before="200"/>
      </w:pPr>
      <w:r>
        <w:rPr>
          <w:rFonts w:ascii="Cambria" w:cs="Cambria" w:eastAsia="Cambria" w:hAnsi="Cambria"/>
          <w:b/>
          <w:bCs/>
          <w:color w:val="0064DC"/>
          <w:sz w:val="24"/>
          <w:szCs w:val="24"/>
        </w:rPr>
        <w:t xml:space="preserve">8.4  Journey Map — Talent</w:t>
      </w:r>
    </w:p>
    <w:p>
      <w:pPr>
        <w:pStyle w:val="ListParagraph"/>
        <w:numPr>
          <w:ilvl w:val="0"/>
          <w:numId w:val="3"/>
        </w:numPr>
        <w:spacing w:after="40" w:before="40" w:line="280"/>
      </w:pPr>
      <w:r>
        <w:rPr>
          <w:rFonts w:ascii="Calibri" w:cs="Calibri" w:eastAsia="Calibri" w:hAnsi="Calibri"/>
          <w:sz w:val="22"/>
          <w:szCs w:val="22"/>
        </w:rPr>
        <w:t xml:space="preserve">Awareness: Candidate searches for “work at Jigisha” or follows a campus referral.</w:t>
      </w:r>
    </w:p>
    <w:p>
      <w:pPr>
        <w:pStyle w:val="ListParagraph"/>
        <w:numPr>
          <w:ilvl w:val="0"/>
          <w:numId w:val="3"/>
        </w:numPr>
        <w:spacing w:after="40" w:before="40" w:line="280"/>
      </w:pPr>
      <w:r>
        <w:rPr>
          <w:rFonts w:ascii="Calibri" w:cs="Calibri" w:eastAsia="Calibri" w:hAnsi="Calibri"/>
          <w:sz w:val="22"/>
          <w:szCs w:val="22"/>
        </w:rPr>
        <w:t xml:space="preserve">Orientation: Reads /careers, /careers/leadership-development.</w:t>
      </w:r>
    </w:p>
    <w:p>
      <w:pPr>
        <w:pStyle w:val="ListParagraph"/>
        <w:numPr>
          <w:ilvl w:val="0"/>
          <w:numId w:val="3"/>
        </w:numPr>
        <w:spacing w:after="40" w:before="40" w:line="280"/>
      </w:pPr>
      <w:r>
        <w:rPr>
          <w:rFonts w:ascii="Calibri" w:cs="Calibri" w:eastAsia="Calibri" w:hAnsi="Calibri"/>
          <w:sz w:val="22"/>
          <w:szCs w:val="22"/>
        </w:rPr>
        <w:t xml:space="preserve">Evaluation: Browses /careers/openings (federated from ATS).</w:t>
      </w:r>
    </w:p>
    <w:p>
      <w:pPr>
        <w:pStyle w:val="ListParagraph"/>
        <w:numPr>
          <w:ilvl w:val="0"/>
          <w:numId w:val="3"/>
        </w:numPr>
        <w:spacing w:after="40" w:before="40" w:line="280"/>
      </w:pPr>
      <w:r>
        <w:rPr>
          <w:rFonts w:ascii="Calibri" w:cs="Calibri" w:eastAsia="Calibri" w:hAnsi="Calibri"/>
          <w:sz w:val="22"/>
          <w:szCs w:val="22"/>
        </w:rPr>
        <w:t xml:space="preserve">Action: Submits an application directly tied to a specific opening, or via /careers/apply for general intake.</w:t>
      </w:r>
    </w:p>
    <w:p>
      <w:pPr>
        <w:pStyle w:val="ListParagraph"/>
        <w:numPr>
          <w:ilvl w:val="0"/>
          <w:numId w:val="3"/>
        </w:numPr>
        <w:spacing w:after="40" w:before="40" w:line="280"/>
      </w:pPr>
      <w:r>
        <w:rPr>
          <w:rFonts w:ascii="Calibri" w:cs="Calibri" w:eastAsia="Calibri" w:hAnsi="Calibri"/>
          <w:sz w:val="22"/>
          <w:szCs w:val="22"/>
        </w:rPr>
        <w:t xml:space="preserve">Routing: Application is forwarded to the correct subsidiary ATS pipeline.</w:t>
      </w:r>
    </w:p>
    <w:p>
      <w:pPr>
        <w:pStyle w:val="ListParagraph"/>
        <w:numPr>
          <w:ilvl w:val="0"/>
          <w:numId w:val="3"/>
        </w:numPr>
        <w:spacing w:after="40" w:before="40" w:line="280"/>
      </w:pPr>
      <w:r>
        <w:rPr>
          <w:rFonts w:ascii="Calibri" w:cs="Calibri" w:eastAsia="Calibri" w:hAnsi="Calibri"/>
          <w:sz w:val="22"/>
          <w:szCs w:val="22"/>
        </w:rPr>
        <w:t xml:space="preserve">Conversion: Candidate progresses through the hiring funnel.</w:t>
      </w:r>
    </w:p>
    <w:p>
      <w:pPr>
        <w:pStyle w:val="Heading3"/>
        <w:spacing w:after="100" w:before="200"/>
      </w:pPr>
      <w:r>
        <w:rPr>
          <w:rFonts w:ascii="Cambria" w:cs="Cambria" w:eastAsia="Cambria" w:hAnsi="Cambria"/>
          <w:b/>
          <w:bCs/>
          <w:color w:val="0064DC"/>
          <w:sz w:val="24"/>
          <w:szCs w:val="24"/>
        </w:rPr>
        <w:t xml:space="preserve">8.5  Accessibility &amp; Inclusion in Journeys</w:t>
      </w:r>
    </w:p>
    <w:p>
      <w:pPr>
        <w:spacing w:after="60" w:before="60" w:line="300"/>
        <w:jc w:val="both"/>
      </w:pPr>
      <w:r>
        <w:rPr>
          <w:rFonts w:ascii="Calibri" w:cs="Calibri" w:eastAsia="Calibri" w:hAnsi="Calibri"/>
          <w:sz w:val="22"/>
          <w:szCs w:val="22"/>
        </w:rPr>
        <w:t xml:space="preserve">All journeys are designed to function fully under WCAG 2.1 AA, with keyboard-only and screen-reader pathways verified by manual audit. Form errors, focus states and live regions are specified in Section 19.</w:t>
      </w:r>
    </w:p>
    <w:p>
      <w:r>
        <w:br w:type="page"/>
      </w:r>
    </w:p>
    <w:p>
      <w:pPr>
        <w:pStyle w:val="Heading1"/>
        <w:spacing w:after="180" w:before="360"/>
      </w:pPr>
      <w:r>
        <w:rPr>
          <w:rFonts w:ascii="Cambria" w:cs="Cambria" w:eastAsia="Cambria" w:hAnsi="Cambria"/>
          <w:b/>
          <w:bCs/>
          <w:color w:val="1B3A5C"/>
          <w:sz w:val="36"/>
          <w:szCs w:val="36"/>
        </w:rPr>
        <w:t xml:space="preserve">9.  Design System &amp; Visual Identity</w:t>
      </w:r>
    </w:p>
    <w:p>
      <w:pPr>
        <w:pStyle w:val="Heading3"/>
        <w:spacing w:after="100" w:before="200"/>
      </w:pPr>
      <w:r>
        <w:rPr>
          <w:rFonts w:ascii="Cambria" w:cs="Cambria" w:eastAsia="Cambria" w:hAnsi="Cambria"/>
          <w:b/>
          <w:bCs/>
          <w:color w:val="0064DC"/>
          <w:sz w:val="24"/>
          <w:szCs w:val="24"/>
        </w:rPr>
        <w:t xml:space="preserve">9.1  Brand Foundation</w:t>
      </w:r>
    </w:p>
    <w:p>
      <w:pPr>
        <w:spacing w:after="60" w:before="60" w:line="300"/>
        <w:jc w:val="both"/>
      </w:pPr>
      <w:r>
        <w:rPr>
          <w:rFonts w:ascii="Calibri" w:cs="Calibri" w:eastAsia="Calibri" w:hAnsi="Calibri"/>
          <w:sz w:val="22"/>
          <w:szCs w:val="22"/>
        </w:rPr>
        <w:t xml:space="preserve">The Master Website inherits the Group brand foundation established in Brand Identity Guideline v2 and applies it through a coherent system of design tokens, components and patterns. The brand voice is formal, confident and civilizational — calibrated to the Group’s positioning as an Industrial Universe.</w:t>
      </w:r>
    </w:p>
    <w:p>
      <w:pPr>
        <w:pStyle w:val="Heading3"/>
        <w:spacing w:after="100" w:before="200"/>
      </w:pPr>
      <w:r>
        <w:rPr>
          <w:rFonts w:ascii="Cambria" w:cs="Cambria" w:eastAsia="Cambria" w:hAnsi="Cambria"/>
          <w:b/>
          <w:bCs/>
          <w:color w:val="0064DC"/>
          <w:sz w:val="24"/>
          <w:szCs w:val="24"/>
        </w:rPr>
        <w:t xml:space="preserve">9.2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Token</w:t>
            </w:r>
          </w:p>
        </w:tc>
        <w:tc>
          <w:tcPr>
            <w:tcW w:type="dxa" w:w="17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Hex</w:t>
            </w:r>
          </w:p>
        </w:tc>
        <w:tc>
          <w:tcPr>
            <w:tcW w:type="dxa" w:w="17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Usage</w:t>
            </w:r>
          </w:p>
        </w:tc>
        <w:tc>
          <w:tcPr>
            <w:tcW w:type="dxa" w:w="35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Notes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--brand-navy</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#1B3A5C</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Primary surfaces, headers, body of authority</w:t>
            </w:r>
          </w:p>
        </w:tc>
        <w:tc>
          <w:tcPr>
            <w:tcW w:type="dxa" w:w="3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Dominant brand colour</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--brand-gold</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#C8A041</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Accents, dividers, badges</w:t>
            </w:r>
          </w:p>
        </w:tc>
        <w:tc>
          <w:tcPr>
            <w:tcW w:type="dxa" w:w="3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Use sparingly for emphasis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--brand-saffron</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#FF7A1A</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Highlight, civic / mission accents</w:t>
            </w:r>
          </w:p>
        </w:tc>
        <w:tc>
          <w:tcPr>
            <w:tcW w:type="dxa" w:w="3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Cultural anchor</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--brand-accent</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#0064DC</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Interactive elements, links, CTAs</w:t>
            </w:r>
          </w:p>
        </w:tc>
        <w:tc>
          <w:tcPr>
            <w:tcW w:type="dxa" w:w="3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Operational accent</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--ink-primary</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#0E1A2A</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Body text</w:t>
            </w:r>
          </w:p>
        </w:tc>
        <w:tc>
          <w:tcPr>
            <w:tcW w:type="dxa" w:w="3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WCAG AAA on white</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--ink-secondary</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#5B6573</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Captions, secondary copy</w:t>
            </w:r>
          </w:p>
        </w:tc>
        <w:tc>
          <w:tcPr>
            <w:tcW w:type="dxa" w:w="3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WCAG AA on white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--surface-1</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#FFFFFF</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Default surface</w:t>
            </w:r>
          </w:p>
        </w:tc>
        <w:tc>
          <w:tcPr>
            <w:tcW w:type="dxa" w:w="3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Page background</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--surface-2</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#F4F6FA</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Section banding</w:t>
            </w:r>
          </w:p>
        </w:tc>
        <w:tc>
          <w:tcPr>
            <w:tcW w:type="dxa" w:w="3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Soft elevation</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--surface-3</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#EAF1F8</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Cards / tiles</w:t>
            </w:r>
          </w:p>
        </w:tc>
        <w:tc>
          <w:tcPr>
            <w:tcW w:type="dxa" w:w="3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Card surface</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--border-subtle</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#B9C6D6</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Hairlines, dividers, table borders</w:t>
            </w:r>
          </w:p>
        </w:tc>
        <w:tc>
          <w:tcPr>
            <w:tcW w:type="dxa" w:w="3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Quiet structure</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9.3  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Token</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Typeface</w:t>
            </w:r>
          </w:p>
        </w:tc>
        <w:tc>
          <w:tcPr>
            <w:tcW w:type="dxa" w:w="22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Role</w:t>
            </w:r>
          </w:p>
        </w:tc>
        <w:tc>
          <w:tcPr>
            <w:tcW w:type="dxa" w:w="23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Fallback</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--font-display</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DM Serif Display</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H1 / hero</w:t>
            </w:r>
          </w:p>
        </w:tc>
        <w:tc>
          <w:tcPr>
            <w:tcW w:type="dxa" w:w="2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Cambria, Georgia, serif</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--font-heading</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Outfit</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H2–H4</w:t>
            </w:r>
          </w:p>
        </w:tc>
        <w:tc>
          <w:tcPr>
            <w:tcW w:type="dxa" w:w="2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Inter, system-ui, sans-serif</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--font-body</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Outfit</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Body, UI</w:t>
            </w:r>
          </w:p>
        </w:tc>
        <w:tc>
          <w:tcPr>
            <w:tcW w:type="dxa" w:w="2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Inter, system-ui, sans-serif</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--font-mono</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JetBrains Mono</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Code, technical</w:t>
            </w:r>
          </w:p>
        </w:tc>
        <w:tc>
          <w:tcPr>
            <w:tcW w:type="dxa" w:w="2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Menlo, Consolas, monospace</w:t>
            </w:r>
          </w:p>
        </w:tc>
      </w:tr>
    </w:tbl>
    <w:p>
      <w:pPr>
        <w:spacing w:after="120" w:before="120"/>
      </w:pPr>
      <w:r>
        <w:t xml:space="preserve"/>
      </w:r>
    </w:p>
    <w:p>
      <w:pPr>
        <w:spacing w:after="60" w:before="60" w:line="300"/>
        <w:jc w:val="both"/>
      </w:pPr>
      <w:r>
        <w:rPr>
          <w:rFonts w:ascii="Calibri" w:cs="Calibri" w:eastAsia="Calibri" w:hAnsi="Calibri"/>
          <w:sz w:val="22"/>
          <w:szCs w:val="22"/>
        </w:rPr>
        <w:t xml:space="preserve">A modular type scale is established with a 1.250 ratio anchored at 16px base. Line heights are tuned to 1.5 for body and 1.2 for headings. All headings carry tracking adjustments calibrated for the chosen typefaces. The full scale is recorded in the design system documentation accompanying this DPR.</w:t>
      </w:r>
    </w:p>
    <w:p>
      <w:pPr>
        <w:pStyle w:val="Heading3"/>
        <w:spacing w:after="100" w:before="200"/>
      </w:pPr>
      <w:r>
        <w:rPr>
          <w:rFonts w:ascii="Cambria" w:cs="Cambria" w:eastAsia="Cambria" w:hAnsi="Cambria"/>
          <w:b/>
          <w:bCs/>
          <w:color w:val="0064DC"/>
          <w:sz w:val="24"/>
          <w:szCs w:val="24"/>
        </w:rPr>
        <w:t xml:space="preserve">9.4  Spacing, Radius, Elevation</w:t>
      </w:r>
    </w:p>
    <w:p>
      <w:pPr>
        <w:pStyle w:val="ListParagraph"/>
        <w:numPr>
          <w:ilvl w:val="0"/>
          <w:numId w:val="2"/>
        </w:numPr>
        <w:spacing w:after="40" w:before="40" w:line="280"/>
      </w:pPr>
      <w:r>
        <w:rPr>
          <w:rFonts w:ascii="Calibri" w:cs="Calibri" w:eastAsia="Calibri" w:hAnsi="Calibri"/>
          <w:sz w:val="22"/>
          <w:szCs w:val="22"/>
        </w:rPr>
        <w:t xml:space="preserve">Spacing scale: 4, 8, 12, 16, 24, 32, 48, 64, 96, 128 px.</w:t>
      </w:r>
    </w:p>
    <w:p>
      <w:pPr>
        <w:pStyle w:val="ListParagraph"/>
        <w:numPr>
          <w:ilvl w:val="0"/>
          <w:numId w:val="2"/>
        </w:numPr>
        <w:spacing w:after="40" w:before="40" w:line="280"/>
      </w:pPr>
      <w:r>
        <w:rPr>
          <w:rFonts w:ascii="Calibri" w:cs="Calibri" w:eastAsia="Calibri" w:hAnsi="Calibri"/>
          <w:sz w:val="22"/>
          <w:szCs w:val="22"/>
        </w:rPr>
        <w:t xml:space="preserve">Radius scale: 0, 4, 8, 12, 16, 24, 9999 (pill); default radius 8 for cards, 12 for hero modules.</w:t>
      </w:r>
    </w:p>
    <w:p>
      <w:pPr>
        <w:pStyle w:val="ListParagraph"/>
        <w:numPr>
          <w:ilvl w:val="0"/>
          <w:numId w:val="2"/>
        </w:numPr>
        <w:spacing w:after="40" w:before="40" w:line="280"/>
      </w:pPr>
      <w:r>
        <w:rPr>
          <w:rFonts w:ascii="Calibri" w:cs="Calibri" w:eastAsia="Calibri" w:hAnsi="Calibri"/>
          <w:sz w:val="22"/>
          <w:szCs w:val="22"/>
        </w:rPr>
        <w:t xml:space="preserve">Elevation: a four-step shadow ladder — e0 (none), e1 (subtle card), e2 (modal), e3 (floating).</w:t>
      </w:r>
    </w:p>
    <w:p>
      <w:pPr>
        <w:pStyle w:val="ListParagraph"/>
        <w:numPr>
          <w:ilvl w:val="0"/>
          <w:numId w:val="2"/>
        </w:numPr>
        <w:spacing w:after="40" w:before="40" w:line="280"/>
      </w:pPr>
      <w:r>
        <w:rPr>
          <w:rFonts w:ascii="Calibri" w:cs="Calibri" w:eastAsia="Calibri" w:hAnsi="Calibri"/>
          <w:sz w:val="22"/>
          <w:szCs w:val="22"/>
        </w:rPr>
        <w:t xml:space="preserve">Motion: 120ms (micro), 240ms (component), 360ms (page-level transition); easing standardised on cubic-bezier(.2,.8,.2,1).</w:t>
      </w:r>
    </w:p>
    <w:p>
      <w:pPr>
        <w:pStyle w:val="Heading3"/>
        <w:spacing w:after="100" w:before="200"/>
      </w:pPr>
      <w:r>
        <w:rPr>
          <w:rFonts w:ascii="Cambria" w:cs="Cambria" w:eastAsia="Cambria" w:hAnsi="Cambria"/>
          <w:b/>
          <w:bCs/>
          <w:color w:val="0064DC"/>
          <w:sz w:val="24"/>
          <w:szCs w:val="24"/>
        </w:rPr>
        <w:t xml:space="preserve">9.5  Component Library</w:t>
      </w:r>
    </w:p>
    <w:p>
      <w:pPr>
        <w:spacing w:after="60" w:before="60" w:line="300"/>
        <w:jc w:val="both"/>
      </w:pPr>
      <w:r>
        <w:rPr>
          <w:rFonts w:ascii="Calibri" w:cs="Calibri" w:eastAsia="Calibri" w:hAnsi="Calibri"/>
          <w:sz w:val="22"/>
          <w:szCs w:val="22"/>
        </w:rPr>
        <w:t xml:space="preserve">The Master Website ships with a tightly governed component library. Components are versioned, documented in Storybook, and reviewed quarterly. The launch components are listed below with their primary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Component</w:t>
            </w:r>
          </w:p>
        </w:tc>
        <w:tc>
          <w:tcPr>
            <w:tcW w:type="dxa" w:w="69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Primary Use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Hero (Full / Split)</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narrative hero on home, sector, mission and entity pages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KPI Tile</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Investor and mission KPI surfacing</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Stat Strip</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Compact 3–6 metric strip</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Card</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Standardised subsidiary overview tile linking to entity page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Sector Tile</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Sector-led navigation card</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Mission Card</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Mission summary with charter link</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Leadership Tile</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Leader portrait, designation, link to bio</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Card</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Headline, date, source, link to release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Disclosure Row</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Document title, date, format, download</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Form Group</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Composable form layout (single, two-column, three-column)</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Tabs / Accordion</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Long-form content compaction</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Timeline</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history, mission impact</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Pull-quote</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bylines and viewpoints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Footer Cluster</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Multi-column footer with subsidiary links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Cookie Consent</w:t>
            </w:r>
          </w:p>
        </w:tc>
        <w:tc>
          <w:tcPr>
            <w:tcW w:type="dxa" w:w="6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Region-aware consent banner</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Search Field</w:t>
            </w:r>
          </w:p>
        </w:tc>
        <w:tc>
          <w:tcPr>
            <w:tcW w:type="dxa" w:w="6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Site-wide search with predictive suggestions</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9.6  Iconography &amp; Imagery</w:t>
      </w:r>
    </w:p>
    <w:p>
      <w:pPr>
        <w:pStyle w:val="ListParagraph"/>
        <w:numPr>
          <w:ilvl w:val="0"/>
          <w:numId w:val="2"/>
        </w:numPr>
        <w:spacing w:after="40" w:before="40" w:line="280"/>
      </w:pPr>
      <w:r>
        <w:rPr>
          <w:rFonts w:ascii="Calibri" w:cs="Calibri" w:eastAsia="Calibri" w:hAnsi="Calibri"/>
          <w:sz w:val="22"/>
          <w:szCs w:val="22"/>
        </w:rPr>
        <w:t xml:space="preserve">Icons drawn from a single set (Phosphor or Lucide), tinted to brand tokens, exported as SVG sprites.</w:t>
      </w:r>
    </w:p>
    <w:p>
      <w:pPr>
        <w:pStyle w:val="ListParagraph"/>
        <w:numPr>
          <w:ilvl w:val="0"/>
          <w:numId w:val="2"/>
        </w:numPr>
        <w:spacing w:after="40" w:before="40" w:line="280"/>
      </w:pPr>
      <w:r>
        <w:rPr>
          <w:rFonts w:ascii="Calibri" w:cs="Calibri" w:eastAsia="Calibri" w:hAnsi="Calibri"/>
          <w:sz w:val="22"/>
          <w:szCs w:val="22"/>
        </w:rPr>
        <w:t xml:space="preserve">Photography is documentary and dignified — industrial scale, infrastructure, people at work, mission beneficiaries.</w:t>
      </w:r>
    </w:p>
    <w:p>
      <w:pPr>
        <w:pStyle w:val="ListParagraph"/>
        <w:numPr>
          <w:ilvl w:val="0"/>
          <w:numId w:val="2"/>
        </w:numPr>
        <w:spacing w:after="40" w:before="40" w:line="280"/>
      </w:pPr>
      <w:r>
        <w:rPr>
          <w:rFonts w:ascii="Calibri" w:cs="Calibri" w:eastAsia="Calibri" w:hAnsi="Calibri"/>
          <w:sz w:val="22"/>
          <w:szCs w:val="22"/>
        </w:rPr>
        <w:t xml:space="preserve">Illustration grammar is restrained, geometric, oriented to industrial themes; saffron used sparingly for civic/mission accents.</w:t>
      </w:r>
    </w:p>
    <w:p>
      <w:pPr>
        <w:pStyle w:val="ListParagraph"/>
        <w:numPr>
          <w:ilvl w:val="0"/>
          <w:numId w:val="2"/>
        </w:numPr>
        <w:spacing w:after="40" w:before="40" w:line="280"/>
      </w:pPr>
      <w:r>
        <w:rPr>
          <w:rFonts w:ascii="Calibri" w:cs="Calibri" w:eastAsia="Calibri" w:hAnsi="Calibri"/>
          <w:sz w:val="22"/>
          <w:szCs w:val="22"/>
        </w:rPr>
        <w:t xml:space="preserve">All imagery served as AVIF / WebP with JPEG fallback; explicit width and height attributes; lazy loading below the fold.</w:t>
      </w:r>
    </w:p>
    <w:p>
      <w:pPr>
        <w:pStyle w:val="Heading3"/>
        <w:spacing w:after="100" w:before="200"/>
      </w:pPr>
      <w:r>
        <w:rPr>
          <w:rFonts w:ascii="Cambria" w:cs="Cambria" w:eastAsia="Cambria" w:hAnsi="Cambria"/>
          <w:b/>
          <w:bCs/>
          <w:color w:val="0064DC"/>
          <w:sz w:val="24"/>
          <w:szCs w:val="24"/>
        </w:rPr>
        <w:t xml:space="preserve">9.7  Logo &amp; Lock-up Usage</w:t>
      </w:r>
    </w:p>
    <w:p>
      <w:pPr>
        <w:spacing w:after="60" w:before="60" w:line="300"/>
        <w:jc w:val="both"/>
      </w:pPr>
      <w:r>
        <w:rPr>
          <w:rFonts w:ascii="Calibri" w:cs="Calibri" w:eastAsia="Calibri" w:hAnsi="Calibri"/>
          <w:sz w:val="22"/>
          <w:szCs w:val="22"/>
        </w:rPr>
        <w:t xml:space="preserve">The Master Website hosts the Group logo with a defined clear space and minimum size. Subsidiary brand lock-ups (e.g., JEEPL POWER, TERRA, EARTHGUARD) are presented in a controlled lockup grid and linked through to entity pages. The Brand &amp; Communications team owns the asset library and approves all uses.</w:t>
      </w:r>
    </w:p>
    <w:p>
      <w:r>
        <w:br w:type="page"/>
      </w:r>
    </w:p>
    <w:p>
      <w:pPr>
        <w:pStyle w:val="Heading1"/>
        <w:spacing w:after="180" w:before="360"/>
      </w:pPr>
      <w:r>
        <w:rPr>
          <w:rFonts w:ascii="Cambria" w:cs="Cambria" w:eastAsia="Cambria" w:hAnsi="Cambria"/>
          <w:b/>
          <w:bCs/>
          <w:color w:val="1B3A5C"/>
          <w:sz w:val="36"/>
          <w:szCs w:val="36"/>
        </w:rPr>
        <w:t xml:space="preserve">10.  UI/UX Specifications &amp; Interaction Design</w:t>
      </w:r>
    </w:p>
    <w:p>
      <w:pPr>
        <w:pStyle w:val="Heading3"/>
        <w:spacing w:after="100" w:before="200"/>
      </w:pPr>
      <w:r>
        <w:rPr>
          <w:rFonts w:ascii="Cambria" w:cs="Cambria" w:eastAsia="Cambria" w:hAnsi="Cambria"/>
          <w:b/>
          <w:bCs/>
          <w:color w:val="0064DC"/>
          <w:sz w:val="24"/>
          <w:szCs w:val="24"/>
        </w:rPr>
        <w:t xml:space="preserve">10.1  Page-Type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Page Type</w:t>
            </w:r>
          </w:p>
        </w:tc>
        <w:tc>
          <w:tcPr>
            <w:tcW w:type="dxa" w:w="22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Count at Launch</w:t>
            </w:r>
          </w:p>
        </w:tc>
        <w:tc>
          <w:tcPr>
            <w:tcW w:type="dxa" w:w="47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Description</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Narrative</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9</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About, leadership, governance, values, history, footprint, structure, ESG, contact</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Sector Page</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16</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One per sector listed in Section 7.3.2</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Capability Page</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One per capability listed in Section 7.3.2</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Page</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23</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One per entity, standardised template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Mission Page</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Six missions + umbrella + impact</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Investor Page</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7</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 Section 7.3.4</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Partners Page</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7</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 Section 7.3.5</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Careers Page</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 Section 7.3.6</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Newsroom Page</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7</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 Section 7.3.7</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Article / Release</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Indef.</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Article template (single)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Form / Intake</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Investor, partner, vendor, buyer, career, press, contact, whistleblower</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Utility Page</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 Section 7.3.8</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10.2  Layout System</w:t>
      </w:r>
    </w:p>
    <w:p>
      <w:pPr>
        <w:pStyle w:val="ListParagraph"/>
        <w:numPr>
          <w:ilvl w:val="0"/>
          <w:numId w:val="2"/>
        </w:numPr>
        <w:spacing w:after="40" w:before="40" w:line="280"/>
      </w:pPr>
      <w:r>
        <w:rPr>
          <w:rFonts w:ascii="Calibri" w:cs="Calibri" w:eastAsia="Calibri" w:hAnsi="Calibri"/>
          <w:sz w:val="22"/>
          <w:szCs w:val="22"/>
        </w:rPr>
        <w:t xml:space="preserve">Twelve-column responsive grid with 24/16/8 px gutters at desktop / tablet / mobile breakpoints.</w:t>
      </w:r>
    </w:p>
    <w:p>
      <w:pPr>
        <w:pStyle w:val="ListParagraph"/>
        <w:numPr>
          <w:ilvl w:val="0"/>
          <w:numId w:val="2"/>
        </w:numPr>
        <w:spacing w:after="40" w:before="40" w:line="280"/>
      </w:pPr>
      <w:r>
        <w:rPr>
          <w:rFonts w:ascii="Calibri" w:cs="Calibri" w:eastAsia="Calibri" w:hAnsi="Calibri"/>
          <w:sz w:val="22"/>
          <w:szCs w:val="22"/>
        </w:rPr>
        <w:t xml:space="preserve">Maximum content width of 1280 px for narrative pages; 1440 px for hero sections.</w:t>
      </w:r>
    </w:p>
    <w:p>
      <w:pPr>
        <w:pStyle w:val="ListParagraph"/>
        <w:numPr>
          <w:ilvl w:val="0"/>
          <w:numId w:val="2"/>
        </w:numPr>
        <w:spacing w:after="40" w:before="40" w:line="280"/>
      </w:pPr>
      <w:r>
        <w:rPr>
          <w:rFonts w:ascii="Calibri" w:cs="Calibri" w:eastAsia="Calibri" w:hAnsi="Calibri"/>
          <w:sz w:val="22"/>
          <w:szCs w:val="22"/>
        </w:rPr>
        <w:t xml:space="preserve">Full-width breakout pattern enabled where editorial calls for edge-to-edge canvas; technique documented in the Frontend Standards (width:100vw with calc breakout).</w:t>
      </w:r>
    </w:p>
    <w:p>
      <w:pPr>
        <w:pStyle w:val="ListParagraph"/>
        <w:numPr>
          <w:ilvl w:val="0"/>
          <w:numId w:val="2"/>
        </w:numPr>
        <w:spacing w:after="40" w:before="40" w:line="280"/>
      </w:pPr>
      <w:r>
        <w:rPr>
          <w:rFonts w:ascii="Calibri" w:cs="Calibri" w:eastAsia="Calibri" w:hAnsi="Calibri"/>
          <w:sz w:val="22"/>
          <w:szCs w:val="22"/>
        </w:rPr>
        <w:t xml:space="preserve">Mobile-first build with progressive enhancement; touch targets ≥ 44 × 44 px.</w:t>
      </w:r>
    </w:p>
    <w:p>
      <w:pPr>
        <w:pStyle w:val="ListParagraph"/>
        <w:numPr>
          <w:ilvl w:val="0"/>
          <w:numId w:val="2"/>
        </w:numPr>
        <w:spacing w:after="40" w:before="40" w:line="280"/>
      </w:pPr>
      <w:r>
        <w:rPr>
          <w:rFonts w:ascii="Calibri" w:cs="Calibri" w:eastAsia="Calibri" w:hAnsi="Calibri"/>
          <w:sz w:val="22"/>
          <w:szCs w:val="22"/>
        </w:rPr>
        <w:t xml:space="preserve">Sticky primary navigation with secondary in-page navigation on long pages.</w:t>
      </w:r>
    </w:p>
    <w:p>
      <w:pPr>
        <w:pStyle w:val="Heading3"/>
        <w:spacing w:after="100" w:before="200"/>
      </w:pPr>
      <w:r>
        <w:rPr>
          <w:rFonts w:ascii="Cambria" w:cs="Cambria" w:eastAsia="Cambria" w:hAnsi="Cambria"/>
          <w:b/>
          <w:bCs/>
          <w:color w:val="0064DC"/>
          <w:sz w:val="24"/>
          <w:szCs w:val="24"/>
        </w:rPr>
        <w:t xml:space="preserve">10.3  Interaction Patterns</w:t>
      </w:r>
    </w:p>
    <w:p>
      <w:pPr>
        <w:pStyle w:val="ListParagraph"/>
        <w:numPr>
          <w:ilvl w:val="0"/>
          <w:numId w:val="2"/>
        </w:numPr>
        <w:spacing w:after="40" w:before="40" w:line="280"/>
      </w:pPr>
      <w:r>
        <w:rPr>
          <w:rFonts w:ascii="Calibri" w:cs="Calibri" w:eastAsia="Calibri" w:hAnsi="Calibri"/>
          <w:sz w:val="22"/>
          <w:szCs w:val="22"/>
        </w:rPr>
        <w:t xml:space="preserve">Hover states are subtle (opacity, underline reveal) and never the only affordance.</w:t>
      </w:r>
    </w:p>
    <w:p>
      <w:pPr>
        <w:pStyle w:val="ListParagraph"/>
        <w:numPr>
          <w:ilvl w:val="0"/>
          <w:numId w:val="2"/>
        </w:numPr>
        <w:spacing w:after="40" w:before="40" w:line="280"/>
      </w:pPr>
      <w:r>
        <w:rPr>
          <w:rFonts w:ascii="Calibri" w:cs="Calibri" w:eastAsia="Calibri" w:hAnsi="Calibri"/>
          <w:sz w:val="22"/>
          <w:szCs w:val="22"/>
        </w:rPr>
        <w:t xml:space="preserve">Focus-visible rings are 2 px solid Accent Blue with a 2 px offset; never removed.</w:t>
      </w:r>
    </w:p>
    <w:p>
      <w:pPr>
        <w:pStyle w:val="ListParagraph"/>
        <w:numPr>
          <w:ilvl w:val="0"/>
          <w:numId w:val="2"/>
        </w:numPr>
        <w:spacing w:after="40" w:before="40" w:line="280"/>
      </w:pPr>
      <w:r>
        <w:rPr>
          <w:rFonts w:ascii="Calibri" w:cs="Calibri" w:eastAsia="Calibri" w:hAnsi="Calibri"/>
          <w:sz w:val="22"/>
          <w:szCs w:val="22"/>
        </w:rPr>
        <w:t xml:space="preserve">Scroll-triggered reveals use IntersectionObserver with a CSS-based fallback, in line with the JS/CSS fallback pattern (3-second setTimeout safety net).</w:t>
      </w:r>
    </w:p>
    <w:p>
      <w:pPr>
        <w:pStyle w:val="ListParagraph"/>
        <w:numPr>
          <w:ilvl w:val="0"/>
          <w:numId w:val="2"/>
        </w:numPr>
        <w:spacing w:after="40" w:before="40" w:line="280"/>
      </w:pPr>
      <w:r>
        <w:rPr>
          <w:rFonts w:ascii="Calibri" w:cs="Calibri" w:eastAsia="Calibri" w:hAnsi="Calibri"/>
          <w:sz w:val="22"/>
          <w:szCs w:val="22"/>
        </w:rPr>
        <w:t xml:space="preserve">Forms surface inline, accessible error messages tied to the input via aria-describedby; required fields are marked both visually and programmatically.</w:t>
      </w:r>
    </w:p>
    <w:p>
      <w:pPr>
        <w:pStyle w:val="ListParagraph"/>
        <w:numPr>
          <w:ilvl w:val="0"/>
          <w:numId w:val="2"/>
        </w:numPr>
        <w:spacing w:after="40" w:before="40" w:line="280"/>
      </w:pPr>
      <w:r>
        <w:rPr>
          <w:rFonts w:ascii="Calibri" w:cs="Calibri" w:eastAsia="Calibri" w:hAnsi="Calibri"/>
          <w:sz w:val="22"/>
          <w:szCs w:val="22"/>
        </w:rPr>
        <w:t xml:space="preserve">Navigation is keyboard-traversable; the skip-link is the first focusable element on every page.</w:t>
      </w:r>
    </w:p>
    <w:p>
      <w:pPr>
        <w:pStyle w:val="Heading3"/>
        <w:spacing w:after="100" w:before="200"/>
      </w:pPr>
      <w:r>
        <w:rPr>
          <w:rFonts w:ascii="Cambria" w:cs="Cambria" w:eastAsia="Cambria" w:hAnsi="Cambria"/>
          <w:b/>
          <w:bCs/>
          <w:color w:val="0064DC"/>
          <w:sz w:val="24"/>
          <w:szCs w:val="24"/>
        </w:rPr>
        <w:t xml:space="preserve">10.4  Wireframe &amp; Prototype Workflow</w:t>
      </w:r>
    </w:p>
    <w:p>
      <w:pPr>
        <w:pStyle w:val="ListParagraph"/>
        <w:numPr>
          <w:ilvl w:val="0"/>
          <w:numId w:val="2"/>
        </w:numPr>
        <w:spacing w:after="40" w:before="40" w:line="280"/>
      </w:pPr>
      <w:r>
        <w:rPr>
          <w:rFonts w:ascii="Calibri" w:cs="Calibri" w:eastAsia="Calibri" w:hAnsi="Calibri"/>
          <w:sz w:val="22"/>
          <w:szCs w:val="22"/>
        </w:rPr>
        <w:t xml:space="preserve">Low-fi wireframes for all 12 page types in Figma.</w:t>
      </w:r>
    </w:p>
    <w:p>
      <w:pPr>
        <w:pStyle w:val="ListParagraph"/>
        <w:numPr>
          <w:ilvl w:val="0"/>
          <w:numId w:val="2"/>
        </w:numPr>
        <w:spacing w:after="40" w:before="40" w:line="280"/>
      </w:pPr>
      <w:r>
        <w:rPr>
          <w:rFonts w:ascii="Calibri" w:cs="Calibri" w:eastAsia="Calibri" w:hAnsi="Calibri"/>
          <w:sz w:val="22"/>
          <w:szCs w:val="22"/>
        </w:rPr>
        <w:t xml:space="preserve">Hi-fi mockups for hero/landing, subsidiary, mission, investor, careers, newsroom and at least one form page.</w:t>
      </w:r>
    </w:p>
    <w:p>
      <w:pPr>
        <w:pStyle w:val="ListParagraph"/>
        <w:numPr>
          <w:ilvl w:val="0"/>
          <w:numId w:val="2"/>
        </w:numPr>
        <w:spacing w:after="40" w:before="40" w:line="280"/>
      </w:pPr>
      <w:r>
        <w:rPr>
          <w:rFonts w:ascii="Calibri" w:cs="Calibri" w:eastAsia="Calibri" w:hAnsi="Calibri"/>
          <w:sz w:val="22"/>
          <w:szCs w:val="22"/>
        </w:rPr>
        <w:t xml:space="preserve">Interactive prototype with primary user flows for the Investor, Vendor, and Talent journeys.</w:t>
      </w:r>
    </w:p>
    <w:p>
      <w:pPr>
        <w:pStyle w:val="ListParagraph"/>
        <w:numPr>
          <w:ilvl w:val="0"/>
          <w:numId w:val="2"/>
        </w:numPr>
        <w:spacing w:after="40" w:before="40" w:line="280"/>
      </w:pPr>
      <w:r>
        <w:rPr>
          <w:rFonts w:ascii="Calibri" w:cs="Calibri" w:eastAsia="Calibri" w:hAnsi="Calibri"/>
          <w:sz w:val="22"/>
          <w:szCs w:val="22"/>
        </w:rPr>
        <w:t xml:space="preserve">Design QA performed on staging before development hand-off; pixel-checked at desktop, tablet, mobile, and a 320-px narrow phone breakpoint.</w:t>
      </w:r>
    </w:p>
    <w:p>
      <w:r>
        <w:br w:type="page"/>
      </w:r>
    </w:p>
    <w:p>
      <w:pPr>
        <w:pStyle w:val="Heading1"/>
        <w:spacing w:after="180" w:before="360"/>
      </w:pPr>
      <w:r>
        <w:rPr>
          <w:rFonts w:ascii="Cambria" w:cs="Cambria" w:eastAsia="Cambria" w:hAnsi="Cambria"/>
          <w:b/>
          <w:bCs/>
          <w:color w:val="1B3A5C"/>
          <w:sz w:val="36"/>
          <w:szCs w:val="36"/>
        </w:rPr>
        <w:t xml:space="preserve">11.  Functional Requirements (Module-wise)</w:t>
      </w:r>
    </w:p>
    <w:p>
      <w:pPr>
        <w:pStyle w:val="Heading3"/>
        <w:spacing w:after="100" w:before="200"/>
      </w:pPr>
      <w:r>
        <w:rPr>
          <w:rFonts w:ascii="Cambria" w:cs="Cambria" w:eastAsia="Cambria" w:hAnsi="Cambria"/>
          <w:b/>
          <w:bCs/>
          <w:color w:val="0064DC"/>
          <w:sz w:val="24"/>
          <w:szCs w:val="24"/>
        </w:rPr>
        <w:t xml:space="preserve">11.1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Module</w:t>
            </w:r>
          </w:p>
        </w:tc>
        <w:tc>
          <w:tcPr>
            <w:tcW w:type="dxa" w:w="71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Description</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M1 — CMS Core</w:t>
            </w:r>
          </w:p>
        </w:tc>
        <w:tc>
          <w:tcPr>
            <w:tcW w:type="dxa" w:w="7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WordPress 6.x with custom blocks; editorial workflow; multi-language scaffold.</w:t>
            </w:r>
          </w:p>
        </w:tc>
      </w:tr>
      <w:tr>
        <w:trPr>
          <w:tblHeader w:val="false"/>
        </w:trPr>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M2 — Identity &amp; Routing</w:t>
            </w:r>
          </w:p>
        </w:tc>
        <w:tc>
          <w:tcPr>
            <w:tcW w:type="dxa" w:w="7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Global header, footer, mega-menu, audience switcher, breadcrumbs.</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M3 — Subsidiary Hub</w:t>
            </w:r>
          </w:p>
        </w:tc>
        <w:tc>
          <w:tcPr>
            <w:tcW w:type="dxa" w:w="7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Standardised entity overview page with cross-links.</w:t>
            </w:r>
          </w:p>
        </w:tc>
      </w:tr>
      <w:tr>
        <w:trPr>
          <w:tblHeader w:val="false"/>
        </w:trPr>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M4 — Investor Relations</w:t>
            </w:r>
          </w:p>
        </w:tc>
        <w:tc>
          <w:tcPr>
            <w:tcW w:type="dxa" w:w="7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KPI tiles, document library, governance pages, IR contact.</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M5 — Mission Centre</w:t>
            </w:r>
          </w:p>
        </w:tc>
        <w:tc>
          <w:tcPr>
            <w:tcW w:type="dxa" w:w="7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Six-mission portfolio with impact dashboards.</w:t>
            </w:r>
          </w:p>
        </w:tc>
      </w:tr>
      <w:tr>
        <w:trPr>
          <w:tblHeader w:val="false"/>
        </w:trPr>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M6 — Partner Intake</w:t>
            </w:r>
          </w:p>
        </w:tc>
        <w:tc>
          <w:tcPr>
            <w:tcW w:type="dxa" w:w="7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Vendor / buyer / channel / government routing forms.</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M7 — Careers</w:t>
            </w:r>
          </w:p>
        </w:tc>
        <w:tc>
          <w:tcPr>
            <w:tcW w:type="dxa" w:w="7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Federated openings list, application forms, ATS integration.</w:t>
            </w:r>
          </w:p>
        </w:tc>
      </w:tr>
      <w:tr>
        <w:trPr>
          <w:tblHeader w:val="false"/>
        </w:trPr>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M8 — Newsroom</w:t>
            </w:r>
          </w:p>
        </w:tc>
        <w:tc>
          <w:tcPr>
            <w:tcW w:type="dxa" w:w="7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releases, viewpoints, media kit, events.</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M9 — Search</w:t>
            </w:r>
          </w:p>
        </w:tc>
        <w:tc>
          <w:tcPr>
            <w:tcW w:type="dxa" w:w="7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Site-wide search with weighted indexing.</w:t>
            </w:r>
          </w:p>
        </w:tc>
      </w:tr>
      <w:tr>
        <w:trPr>
          <w:tblHeader w:val="false"/>
        </w:trPr>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M10 — Forms &amp; Routing</w:t>
            </w:r>
          </w:p>
        </w:tc>
        <w:tc>
          <w:tcPr>
            <w:tcW w:type="dxa" w:w="7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Form layer with classification and CRM routing.</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M11 — Multi-language</w:t>
            </w:r>
          </w:p>
        </w:tc>
        <w:tc>
          <w:tcPr>
            <w:tcW w:type="dxa" w:w="7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Translation memory, language switcher, hreflang tags.</w:t>
            </w:r>
          </w:p>
        </w:tc>
      </w:tr>
      <w:tr>
        <w:trPr>
          <w:tblHeader w:val="false"/>
        </w:trPr>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M12 — Analytics &amp; Tagging</w:t>
            </w:r>
          </w:p>
        </w:tc>
        <w:tc>
          <w:tcPr>
            <w:tcW w:type="dxa" w:w="7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GA4, GTM, server-log instrumentation, event taxonomy.</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M13 — Accessibility &amp; Compliance</w:t>
            </w:r>
          </w:p>
        </w:tc>
        <w:tc>
          <w:tcPr>
            <w:tcW w:type="dxa" w:w="7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Accessibility statement, cookie banner, consent log, whistleblower portal.</w:t>
            </w:r>
          </w:p>
        </w:tc>
      </w:tr>
      <w:tr>
        <w:trPr>
          <w:tblHeader w:val="false"/>
        </w:trPr>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M14 — Operations</w:t>
            </w:r>
          </w:p>
        </w:tc>
        <w:tc>
          <w:tcPr>
            <w:tcW w:type="dxa" w:w="7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Caching, CDN, WAF, monitoring, backups, DR drills.</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11.2  M1 — CMS Core</w:t>
      </w:r>
    </w:p>
    <w:p>
      <w:pPr>
        <w:pStyle w:val="ListParagraph"/>
        <w:numPr>
          <w:ilvl w:val="0"/>
          <w:numId w:val="2"/>
        </w:numPr>
        <w:spacing w:after="40" w:before="40" w:line="280"/>
      </w:pPr>
      <w:r>
        <w:rPr>
          <w:rFonts w:ascii="Calibri" w:cs="Calibri" w:eastAsia="Calibri" w:hAnsi="Calibri"/>
          <w:sz w:val="22"/>
          <w:szCs w:val="22"/>
        </w:rPr>
        <w:t xml:space="preserve">WordPress 6.x with the Induscity Child theme, hardened per the Group security baseline.</w:t>
      </w:r>
    </w:p>
    <w:p>
      <w:pPr>
        <w:pStyle w:val="ListParagraph"/>
        <w:numPr>
          <w:ilvl w:val="0"/>
          <w:numId w:val="2"/>
        </w:numPr>
        <w:spacing w:after="40" w:before="40" w:line="280"/>
      </w:pPr>
      <w:r>
        <w:rPr>
          <w:rFonts w:ascii="Calibri" w:cs="Calibri" w:eastAsia="Calibri" w:hAnsi="Calibri"/>
          <w:sz w:val="22"/>
          <w:szCs w:val="22"/>
        </w:rPr>
        <w:t xml:space="preserve">Custom Gutenberg block library covering the components listed in Section 9.5.</w:t>
      </w:r>
    </w:p>
    <w:p>
      <w:pPr>
        <w:pStyle w:val="ListParagraph"/>
        <w:numPr>
          <w:ilvl w:val="0"/>
          <w:numId w:val="2"/>
        </w:numPr>
        <w:spacing w:after="40" w:before="40" w:line="280"/>
      </w:pPr>
      <w:r>
        <w:rPr>
          <w:rFonts w:ascii="Calibri" w:cs="Calibri" w:eastAsia="Calibri" w:hAnsi="Calibri"/>
          <w:sz w:val="22"/>
          <w:szCs w:val="22"/>
        </w:rPr>
        <w:t xml:space="preserve">Page type templates: Group Narrative, Sector, Capability, Subsidiary, Mission, Investor, Partners, Careers, Newsroom, Article, Form, Utility.</w:t>
      </w:r>
    </w:p>
    <w:p>
      <w:pPr>
        <w:pStyle w:val="ListParagraph"/>
        <w:numPr>
          <w:ilvl w:val="0"/>
          <w:numId w:val="2"/>
        </w:numPr>
        <w:spacing w:after="40" w:before="40" w:line="280"/>
      </w:pPr>
      <w:r>
        <w:rPr>
          <w:rFonts w:ascii="Calibri" w:cs="Calibri" w:eastAsia="Calibri" w:hAnsi="Calibri"/>
          <w:sz w:val="22"/>
          <w:szCs w:val="22"/>
        </w:rPr>
        <w:t xml:space="preserve">Editorial workflow: Draft → Review → Legal Review (where applicable) → Approve → Schedule → Publish.</w:t>
      </w:r>
    </w:p>
    <w:p>
      <w:pPr>
        <w:pStyle w:val="ListParagraph"/>
        <w:numPr>
          <w:ilvl w:val="0"/>
          <w:numId w:val="2"/>
        </w:numPr>
        <w:spacing w:after="40" w:before="40" w:line="280"/>
      </w:pPr>
      <w:r>
        <w:rPr>
          <w:rFonts w:ascii="Calibri" w:cs="Calibri" w:eastAsia="Calibri" w:hAnsi="Calibri"/>
          <w:sz w:val="22"/>
          <w:szCs w:val="22"/>
        </w:rPr>
        <w:t xml:space="preserve">Versioning: every published page retains the last 50 revisions; revisions are diff-viewable in the editor.</w:t>
      </w:r>
    </w:p>
    <w:p>
      <w:pPr>
        <w:pStyle w:val="ListParagraph"/>
        <w:numPr>
          <w:ilvl w:val="0"/>
          <w:numId w:val="2"/>
        </w:numPr>
        <w:spacing w:after="40" w:before="40" w:line="280"/>
      </w:pPr>
      <w:r>
        <w:rPr>
          <w:rFonts w:ascii="Calibri" w:cs="Calibri" w:eastAsia="Calibri" w:hAnsi="Calibri"/>
          <w:sz w:val="22"/>
          <w:szCs w:val="22"/>
        </w:rPr>
        <w:t xml:space="preserve">Editorial roles: Author, Editor, Legal Reviewer, Publisher, Site Administrator. Roles are mapped to capabilities; the matrix is recorded in the operations runbook.</w:t>
      </w:r>
    </w:p>
    <w:p>
      <w:pPr>
        <w:pStyle w:val="ListParagraph"/>
        <w:numPr>
          <w:ilvl w:val="0"/>
          <w:numId w:val="2"/>
        </w:numPr>
        <w:spacing w:after="40" w:before="40" w:line="280"/>
      </w:pPr>
      <w:r>
        <w:rPr>
          <w:rFonts w:ascii="Calibri" w:cs="Calibri" w:eastAsia="Calibri" w:hAnsi="Calibri"/>
          <w:sz w:val="22"/>
          <w:szCs w:val="22"/>
        </w:rPr>
        <w:t xml:space="preserve">Media library: organised by section; AVIF / WebP / SVG accepted; PDFs limited to declared categories (disclosures, charters, media kit).</w:t>
      </w:r>
    </w:p>
    <w:p>
      <w:pPr>
        <w:pStyle w:val="ListParagraph"/>
        <w:numPr>
          <w:ilvl w:val="0"/>
          <w:numId w:val="2"/>
        </w:numPr>
        <w:spacing w:after="40" w:before="40" w:line="280"/>
      </w:pPr>
      <w:r>
        <w:rPr>
          <w:rFonts w:ascii="Calibri" w:cs="Calibri" w:eastAsia="Calibri" w:hAnsi="Calibri"/>
          <w:sz w:val="22"/>
          <w:szCs w:val="22"/>
        </w:rPr>
        <w:t xml:space="preserve">Editorial dashboard widgets: “Pages awaiting review”, “Scheduled publications”, “Content older than 12 months”, “Broken links”.</w:t>
      </w:r>
    </w:p>
    <w:p>
      <w:pPr>
        <w:pStyle w:val="Heading3"/>
        <w:spacing w:after="100" w:before="200"/>
      </w:pPr>
      <w:r>
        <w:rPr>
          <w:rFonts w:ascii="Cambria" w:cs="Cambria" w:eastAsia="Cambria" w:hAnsi="Cambria"/>
          <w:b/>
          <w:bCs/>
          <w:color w:val="0064DC"/>
          <w:sz w:val="24"/>
          <w:szCs w:val="24"/>
        </w:rPr>
        <w:t xml:space="preserve">11.3  M2 — Identity &amp; Routing</w:t>
      </w:r>
    </w:p>
    <w:p>
      <w:pPr>
        <w:pStyle w:val="ListParagraph"/>
        <w:numPr>
          <w:ilvl w:val="0"/>
          <w:numId w:val="2"/>
        </w:numPr>
        <w:spacing w:after="40" w:before="40" w:line="280"/>
      </w:pPr>
      <w:r>
        <w:rPr>
          <w:rFonts w:ascii="Calibri" w:cs="Calibri" w:eastAsia="Calibri" w:hAnsi="Calibri"/>
          <w:sz w:val="22"/>
          <w:szCs w:val="22"/>
        </w:rPr>
        <w:t xml:space="preserve">Global header with logo lock-up, primary nav (7 items), search, language switcher, and a persistent “Contact” CTA.</w:t>
      </w:r>
    </w:p>
    <w:p>
      <w:pPr>
        <w:pStyle w:val="ListParagraph"/>
        <w:numPr>
          <w:ilvl w:val="0"/>
          <w:numId w:val="2"/>
        </w:numPr>
        <w:spacing w:after="40" w:before="40" w:line="280"/>
      </w:pPr>
      <w:r>
        <w:rPr>
          <w:rFonts w:ascii="Calibri" w:cs="Calibri" w:eastAsia="Calibri" w:hAnsi="Calibri"/>
          <w:sz w:val="22"/>
          <w:szCs w:val="22"/>
        </w:rPr>
        <w:t xml:space="preserve">Mega-menu surfaces the seven primary sections with a curated set of children and a featured tile per section.</w:t>
      </w:r>
    </w:p>
    <w:p>
      <w:pPr>
        <w:pStyle w:val="ListParagraph"/>
        <w:numPr>
          <w:ilvl w:val="0"/>
          <w:numId w:val="2"/>
        </w:numPr>
        <w:spacing w:after="40" w:before="40" w:line="280"/>
      </w:pPr>
      <w:r>
        <w:rPr>
          <w:rFonts w:ascii="Calibri" w:cs="Calibri" w:eastAsia="Calibri" w:hAnsi="Calibri"/>
          <w:sz w:val="22"/>
          <w:szCs w:val="22"/>
        </w:rPr>
        <w:t xml:space="preserve">Audience switcher (utility row): Investors / Partners / Vendors / Buyers / Talent / Media.</w:t>
      </w:r>
    </w:p>
    <w:p>
      <w:pPr>
        <w:pStyle w:val="ListParagraph"/>
        <w:numPr>
          <w:ilvl w:val="0"/>
          <w:numId w:val="2"/>
        </w:numPr>
        <w:spacing w:after="40" w:before="40" w:line="280"/>
      </w:pPr>
      <w:r>
        <w:rPr>
          <w:rFonts w:ascii="Calibri" w:cs="Calibri" w:eastAsia="Calibri" w:hAnsi="Calibri"/>
          <w:sz w:val="22"/>
          <w:szCs w:val="22"/>
        </w:rPr>
        <w:t xml:space="preserve">Breadcrumbs on every non-home page; structured data marked up via schema.org BreadcrumbList.</w:t>
      </w:r>
    </w:p>
    <w:p>
      <w:pPr>
        <w:pStyle w:val="ListParagraph"/>
        <w:numPr>
          <w:ilvl w:val="0"/>
          <w:numId w:val="2"/>
        </w:numPr>
        <w:spacing w:after="40" w:before="40" w:line="280"/>
      </w:pPr>
      <w:r>
        <w:rPr>
          <w:rFonts w:ascii="Calibri" w:cs="Calibri" w:eastAsia="Calibri" w:hAnsi="Calibri"/>
          <w:sz w:val="22"/>
          <w:szCs w:val="22"/>
        </w:rPr>
        <w:t xml:space="preserve">Footer with three structural columns: subsidiaries (top 6 with “View all 23”), missions, governance &amp; legal, plus a social row and accessibility / sitemap utility.</w:t>
      </w:r>
    </w:p>
    <w:p>
      <w:pPr>
        <w:pStyle w:val="Heading3"/>
        <w:spacing w:after="100" w:before="200"/>
      </w:pPr>
      <w:r>
        <w:rPr>
          <w:rFonts w:ascii="Cambria" w:cs="Cambria" w:eastAsia="Cambria" w:hAnsi="Cambria"/>
          <w:b/>
          <w:bCs/>
          <w:color w:val="0064DC"/>
          <w:sz w:val="24"/>
          <w:szCs w:val="24"/>
        </w:rPr>
        <w:t xml:space="preserve">11.4  M3 — Subsidiary Hub</w:t>
      </w:r>
    </w:p>
    <w:p>
      <w:pPr>
        <w:pStyle w:val="ListParagraph"/>
        <w:numPr>
          <w:ilvl w:val="0"/>
          <w:numId w:val="2"/>
        </w:numPr>
        <w:spacing w:after="40" w:before="40" w:line="280"/>
      </w:pPr>
      <w:r>
        <w:rPr>
          <w:rFonts w:ascii="Calibri" w:cs="Calibri" w:eastAsia="Calibri" w:hAnsi="Calibri"/>
          <w:sz w:val="22"/>
          <w:szCs w:val="22"/>
        </w:rPr>
        <w:t xml:space="preserve">/industrial-universe portfolio page with map, sector filter, capability filter, search.</w:t>
      </w:r>
    </w:p>
    <w:p>
      <w:pPr>
        <w:pStyle w:val="ListParagraph"/>
        <w:numPr>
          <w:ilvl w:val="0"/>
          <w:numId w:val="2"/>
        </w:numPr>
        <w:spacing w:after="40" w:before="40" w:line="280"/>
      </w:pPr>
      <w:r>
        <w:rPr>
          <w:rFonts w:ascii="Calibri" w:cs="Calibri" w:eastAsia="Calibri" w:hAnsi="Calibri"/>
          <w:sz w:val="22"/>
          <w:szCs w:val="22"/>
        </w:rPr>
        <w:t xml:space="preserve">Per-entity overview page (×23) with a standardised template: descriptor, mandate, leadership, signature offerings, recent news, link to entity property.</w:t>
      </w:r>
    </w:p>
    <w:p>
      <w:pPr>
        <w:pStyle w:val="ListParagraph"/>
        <w:numPr>
          <w:ilvl w:val="0"/>
          <w:numId w:val="2"/>
        </w:numPr>
        <w:spacing w:after="40" w:before="40" w:line="280"/>
      </w:pPr>
      <w:r>
        <w:rPr>
          <w:rFonts w:ascii="Calibri" w:cs="Calibri" w:eastAsia="Calibri" w:hAnsi="Calibri"/>
          <w:sz w:val="22"/>
          <w:szCs w:val="22"/>
        </w:rPr>
        <w:t xml:space="preserve">Sector and capability views aggregating subsidiary cards by category.</w:t>
      </w:r>
    </w:p>
    <w:p>
      <w:pPr>
        <w:pStyle w:val="ListParagraph"/>
        <w:numPr>
          <w:ilvl w:val="0"/>
          <w:numId w:val="2"/>
        </w:numPr>
        <w:spacing w:after="40" w:before="40" w:line="280"/>
      </w:pPr>
      <w:r>
        <w:rPr>
          <w:rFonts w:ascii="Calibri" w:cs="Calibri" w:eastAsia="Calibri" w:hAnsi="Calibri"/>
          <w:sz w:val="22"/>
          <w:szCs w:val="22"/>
        </w:rPr>
        <w:t xml:space="preserve">Cross-link discipline: each entity overview links to /group/structure, the relevant /missions/* page, and the /partners/vendors and /partners/buyers entry points.</w:t>
      </w:r>
    </w:p>
    <w:p>
      <w:pPr>
        <w:pStyle w:val="Heading3"/>
        <w:spacing w:after="100" w:before="200"/>
      </w:pPr>
      <w:r>
        <w:rPr>
          <w:rFonts w:ascii="Cambria" w:cs="Cambria" w:eastAsia="Cambria" w:hAnsi="Cambria"/>
          <w:b/>
          <w:bCs/>
          <w:color w:val="0064DC"/>
          <w:sz w:val="24"/>
          <w:szCs w:val="24"/>
        </w:rPr>
        <w:t xml:space="preserve">11.5  M4 — Investor Relations</w:t>
      </w:r>
    </w:p>
    <w:p>
      <w:pPr>
        <w:pStyle w:val="ListParagraph"/>
        <w:numPr>
          <w:ilvl w:val="0"/>
          <w:numId w:val="2"/>
        </w:numPr>
        <w:spacing w:after="40" w:before="40" w:line="280"/>
      </w:pPr>
      <w:r>
        <w:rPr>
          <w:rFonts w:ascii="Calibri" w:cs="Calibri" w:eastAsia="Calibri" w:hAnsi="Calibri"/>
          <w:sz w:val="22"/>
          <w:szCs w:val="22"/>
        </w:rPr>
        <w:t xml:space="preserve">Investor home with at-a-glance tiles: Y1 / Y5 / Y10 revenue, Y10 SOTP, footprint, employment.</w:t>
      </w:r>
    </w:p>
    <w:p>
      <w:pPr>
        <w:pStyle w:val="ListParagraph"/>
        <w:numPr>
          <w:ilvl w:val="0"/>
          <w:numId w:val="2"/>
        </w:numPr>
        <w:spacing w:after="40" w:before="40" w:line="280"/>
      </w:pPr>
      <w:r>
        <w:rPr>
          <w:rFonts w:ascii="Calibri" w:cs="Calibri" w:eastAsia="Calibri" w:hAnsi="Calibri"/>
          <w:sz w:val="22"/>
          <w:szCs w:val="22"/>
        </w:rPr>
        <w:t xml:space="preserve">Strategic Roadmap visual with a download to the underlying PDF where Legal &amp; Compliance permits.</w:t>
      </w:r>
    </w:p>
    <w:p>
      <w:pPr>
        <w:pStyle w:val="ListParagraph"/>
        <w:numPr>
          <w:ilvl w:val="0"/>
          <w:numId w:val="2"/>
        </w:numPr>
        <w:spacing w:after="40" w:before="40" w:line="280"/>
      </w:pPr>
      <w:r>
        <w:rPr>
          <w:rFonts w:ascii="Calibri" w:cs="Calibri" w:eastAsia="Calibri" w:hAnsi="Calibri"/>
          <w:sz w:val="22"/>
          <w:szCs w:val="22"/>
        </w:rPr>
        <w:t xml:space="preserve">Financial Highlights surface (subject to disclosure cadence) with consolidated and segment views.</w:t>
      </w:r>
    </w:p>
    <w:p>
      <w:pPr>
        <w:pStyle w:val="ListParagraph"/>
        <w:numPr>
          <w:ilvl w:val="0"/>
          <w:numId w:val="2"/>
        </w:numPr>
        <w:spacing w:after="40" w:before="40" w:line="280"/>
      </w:pPr>
      <w:r>
        <w:rPr>
          <w:rFonts w:ascii="Calibri" w:cs="Calibri" w:eastAsia="Calibri" w:hAnsi="Calibri"/>
          <w:sz w:val="22"/>
          <w:szCs w:val="22"/>
        </w:rPr>
        <w:t xml:space="preserve">Governance section: board members, committees, charters, code of conduct, related-party policy, whistleblower policy.</w:t>
      </w:r>
    </w:p>
    <w:p>
      <w:pPr>
        <w:pStyle w:val="ListParagraph"/>
        <w:numPr>
          <w:ilvl w:val="0"/>
          <w:numId w:val="2"/>
        </w:numPr>
        <w:spacing w:after="40" w:before="40" w:line="280"/>
      </w:pPr>
      <w:r>
        <w:rPr>
          <w:rFonts w:ascii="Calibri" w:cs="Calibri" w:eastAsia="Calibri" w:hAnsi="Calibri"/>
          <w:sz w:val="22"/>
          <w:szCs w:val="22"/>
        </w:rPr>
        <w:t xml:space="preserve">Disclosures library: dated, categorised, downloadable; each item carries a checksum for tamper-evidence.</w:t>
      </w:r>
    </w:p>
    <w:p>
      <w:pPr>
        <w:pStyle w:val="ListParagraph"/>
        <w:numPr>
          <w:ilvl w:val="0"/>
          <w:numId w:val="2"/>
        </w:numPr>
        <w:spacing w:after="40" w:before="40" w:line="280"/>
      </w:pPr>
      <w:r>
        <w:rPr>
          <w:rFonts w:ascii="Calibri" w:cs="Calibri" w:eastAsia="Calibri" w:hAnsi="Calibri"/>
          <w:sz w:val="22"/>
          <w:szCs w:val="22"/>
        </w:rPr>
        <w:t xml:space="preserve">Fundraise tombstone (subject to legal review) summarising the planned ₹500–850 Crore fundraise window.</w:t>
      </w:r>
    </w:p>
    <w:p>
      <w:pPr>
        <w:pStyle w:val="ListParagraph"/>
        <w:numPr>
          <w:ilvl w:val="0"/>
          <w:numId w:val="2"/>
        </w:numPr>
        <w:spacing w:after="40" w:before="40" w:line="280"/>
      </w:pPr>
      <w:r>
        <w:rPr>
          <w:rFonts w:ascii="Calibri" w:cs="Calibri" w:eastAsia="Calibri" w:hAnsi="Calibri"/>
          <w:sz w:val="22"/>
          <w:szCs w:val="22"/>
        </w:rPr>
        <w:t xml:space="preserve">IR enquiry form routed to the IR officer; tracked in CRM with response SLA.</w:t>
      </w:r>
    </w:p>
    <w:p>
      <w:pPr>
        <w:pStyle w:val="Heading3"/>
        <w:spacing w:after="100" w:before="200"/>
      </w:pPr>
      <w:r>
        <w:rPr>
          <w:rFonts w:ascii="Cambria" w:cs="Cambria" w:eastAsia="Cambria" w:hAnsi="Cambria"/>
          <w:b/>
          <w:bCs/>
          <w:color w:val="0064DC"/>
          <w:sz w:val="24"/>
          <w:szCs w:val="24"/>
        </w:rPr>
        <w:t xml:space="preserve">11.6  M5 — Mission Centre</w:t>
      </w:r>
    </w:p>
    <w:p>
      <w:pPr>
        <w:pStyle w:val="ListParagraph"/>
        <w:numPr>
          <w:ilvl w:val="0"/>
          <w:numId w:val="2"/>
        </w:numPr>
        <w:spacing w:after="40" w:before="40" w:line="280"/>
      </w:pPr>
      <w:r>
        <w:rPr>
          <w:rFonts w:ascii="Calibri" w:cs="Calibri" w:eastAsia="Calibri" w:hAnsi="Calibri"/>
          <w:sz w:val="22"/>
          <w:szCs w:val="22"/>
        </w:rPr>
        <w:t xml:space="preserve">Umbrella overview presenting all six missions and the umbrella charter.</w:t>
      </w:r>
    </w:p>
    <w:p>
      <w:pPr>
        <w:pStyle w:val="ListParagraph"/>
        <w:numPr>
          <w:ilvl w:val="0"/>
          <w:numId w:val="2"/>
        </w:numPr>
        <w:spacing w:after="40" w:before="40" w:line="280"/>
      </w:pPr>
      <w:r>
        <w:rPr>
          <w:rFonts w:ascii="Calibri" w:cs="Calibri" w:eastAsia="Calibri" w:hAnsi="Calibri"/>
          <w:sz w:val="22"/>
          <w:szCs w:val="22"/>
        </w:rPr>
        <w:t xml:space="preserve">Per-mission page with charter, KPIs, beneficiary stories, partners, and downloadable DPR (where authorised).</w:t>
      </w:r>
    </w:p>
    <w:p>
      <w:pPr>
        <w:pStyle w:val="ListParagraph"/>
        <w:numPr>
          <w:ilvl w:val="0"/>
          <w:numId w:val="2"/>
        </w:numPr>
        <w:spacing w:after="40" w:before="40" w:line="280"/>
      </w:pPr>
      <w:r>
        <w:rPr>
          <w:rFonts w:ascii="Calibri" w:cs="Calibri" w:eastAsia="Calibri" w:hAnsi="Calibri"/>
          <w:sz w:val="22"/>
          <w:szCs w:val="22"/>
        </w:rPr>
        <w:t xml:space="preserve">Impact dashboard with monthly snapshots: farmers served, jobs created, forex saved, exports facilitated, etc.</w:t>
      </w:r>
    </w:p>
    <w:p>
      <w:pPr>
        <w:pStyle w:val="Heading3"/>
        <w:spacing w:after="100" w:before="200"/>
      </w:pPr>
      <w:r>
        <w:rPr>
          <w:rFonts w:ascii="Cambria" w:cs="Cambria" w:eastAsia="Cambria" w:hAnsi="Cambria"/>
          <w:b/>
          <w:bCs/>
          <w:color w:val="0064DC"/>
          <w:sz w:val="24"/>
          <w:szCs w:val="24"/>
        </w:rPr>
        <w:t xml:space="preserve">11.7  M6 — Partner Intake</w:t>
      </w:r>
    </w:p>
    <w:p>
      <w:pPr>
        <w:pStyle w:val="ListParagraph"/>
        <w:numPr>
          <w:ilvl w:val="0"/>
          <w:numId w:val="2"/>
        </w:numPr>
        <w:spacing w:after="40" w:before="40" w:line="280"/>
      </w:pPr>
      <w:r>
        <w:rPr>
          <w:rFonts w:ascii="Calibri" w:cs="Calibri" w:eastAsia="Calibri" w:hAnsi="Calibri"/>
          <w:sz w:val="22"/>
          <w:szCs w:val="22"/>
        </w:rPr>
        <w:t xml:space="preserve">“One Brand — One Vendor” narrative on /partners/vendors.</w:t>
      </w:r>
    </w:p>
    <w:p>
      <w:pPr>
        <w:pStyle w:val="ListParagraph"/>
        <w:numPr>
          <w:ilvl w:val="0"/>
          <w:numId w:val="2"/>
        </w:numPr>
        <w:spacing w:after="40" w:before="40" w:line="280"/>
      </w:pPr>
      <w:r>
        <w:rPr>
          <w:rFonts w:ascii="Calibri" w:cs="Calibri" w:eastAsia="Calibri" w:hAnsi="Calibri"/>
          <w:sz w:val="22"/>
          <w:szCs w:val="22"/>
        </w:rPr>
        <w:t xml:space="preserve">Vendor intake form: organisation, category, capability, certifications, references; classified to the matching subsidiary.</w:t>
      </w:r>
    </w:p>
    <w:p>
      <w:pPr>
        <w:pStyle w:val="ListParagraph"/>
        <w:numPr>
          <w:ilvl w:val="0"/>
          <w:numId w:val="2"/>
        </w:numPr>
        <w:spacing w:after="40" w:before="40" w:line="280"/>
      </w:pPr>
      <w:r>
        <w:rPr>
          <w:rFonts w:ascii="Calibri" w:cs="Calibri" w:eastAsia="Calibri" w:hAnsi="Calibri"/>
          <w:sz w:val="22"/>
          <w:szCs w:val="22"/>
        </w:rPr>
        <w:t xml:space="preserve">Buyer intake form: industry, requirement, geography, volume; classified and routed.</w:t>
      </w:r>
    </w:p>
    <w:p>
      <w:pPr>
        <w:pStyle w:val="ListParagraph"/>
        <w:numPr>
          <w:ilvl w:val="0"/>
          <w:numId w:val="2"/>
        </w:numPr>
        <w:spacing w:after="40" w:before="40" w:line="280"/>
      </w:pPr>
      <w:r>
        <w:rPr>
          <w:rFonts w:ascii="Calibri" w:cs="Calibri" w:eastAsia="Calibri" w:hAnsi="Calibri"/>
          <w:sz w:val="22"/>
          <w:szCs w:val="22"/>
        </w:rPr>
        <w:t xml:space="preserve">Channel partner intake form for distribution and reseller intent.</w:t>
      </w:r>
    </w:p>
    <w:p>
      <w:pPr>
        <w:pStyle w:val="ListParagraph"/>
        <w:numPr>
          <w:ilvl w:val="0"/>
          <w:numId w:val="2"/>
        </w:numPr>
        <w:spacing w:after="40" w:before="40" w:line="280"/>
      </w:pPr>
      <w:r>
        <w:rPr>
          <w:rFonts w:ascii="Calibri" w:cs="Calibri" w:eastAsia="Calibri" w:hAnsi="Calibri"/>
          <w:sz w:val="22"/>
          <w:szCs w:val="22"/>
        </w:rPr>
        <w:t xml:space="preserve">Government / multilateral intake form for ministries, PSUs, and multilaterals.</w:t>
      </w:r>
    </w:p>
    <w:p>
      <w:pPr>
        <w:pStyle w:val="Heading3"/>
        <w:spacing w:after="100" w:before="200"/>
      </w:pPr>
      <w:r>
        <w:rPr>
          <w:rFonts w:ascii="Cambria" w:cs="Cambria" w:eastAsia="Cambria" w:hAnsi="Cambria"/>
          <w:b/>
          <w:bCs/>
          <w:color w:val="0064DC"/>
          <w:sz w:val="24"/>
          <w:szCs w:val="24"/>
        </w:rPr>
        <w:t xml:space="preserve">11.8  M7 — Careers</w:t>
      </w:r>
    </w:p>
    <w:p>
      <w:pPr>
        <w:pStyle w:val="ListParagraph"/>
        <w:numPr>
          <w:ilvl w:val="0"/>
          <w:numId w:val="2"/>
        </w:numPr>
        <w:spacing w:after="40" w:before="40" w:line="280"/>
      </w:pPr>
      <w:r>
        <w:rPr>
          <w:rFonts w:ascii="Calibri" w:cs="Calibri" w:eastAsia="Calibri" w:hAnsi="Calibri"/>
          <w:sz w:val="22"/>
          <w:szCs w:val="22"/>
        </w:rPr>
        <w:t xml:space="preserve">Why Jigisha narrative, leadership development programme (ALPHA) overview.</w:t>
      </w:r>
    </w:p>
    <w:p>
      <w:pPr>
        <w:pStyle w:val="ListParagraph"/>
        <w:numPr>
          <w:ilvl w:val="0"/>
          <w:numId w:val="2"/>
        </w:numPr>
        <w:spacing w:after="40" w:before="40" w:line="280"/>
      </w:pPr>
      <w:r>
        <w:rPr>
          <w:rFonts w:ascii="Calibri" w:cs="Calibri" w:eastAsia="Calibri" w:hAnsi="Calibri"/>
          <w:sz w:val="22"/>
          <w:szCs w:val="22"/>
        </w:rPr>
        <w:t xml:space="preserve">Federated openings list pulling live roles from the ATS across all 23 entities; filterable by entity, function, location.</w:t>
      </w:r>
    </w:p>
    <w:p>
      <w:pPr>
        <w:pStyle w:val="ListParagraph"/>
        <w:numPr>
          <w:ilvl w:val="0"/>
          <w:numId w:val="2"/>
        </w:numPr>
        <w:spacing w:after="40" w:before="40" w:line="280"/>
      </w:pPr>
      <w:r>
        <w:rPr>
          <w:rFonts w:ascii="Calibri" w:cs="Calibri" w:eastAsia="Calibri" w:hAnsi="Calibri"/>
          <w:sz w:val="22"/>
          <w:szCs w:val="22"/>
        </w:rPr>
        <w:t xml:space="preserve">Per-role detail page with apply CTA; structured data for JobPosting.</w:t>
      </w:r>
    </w:p>
    <w:p>
      <w:pPr>
        <w:pStyle w:val="ListParagraph"/>
        <w:numPr>
          <w:ilvl w:val="0"/>
          <w:numId w:val="2"/>
        </w:numPr>
        <w:spacing w:after="40" w:before="40" w:line="280"/>
      </w:pPr>
      <w:r>
        <w:rPr>
          <w:rFonts w:ascii="Calibri" w:cs="Calibri" w:eastAsia="Calibri" w:hAnsi="Calibri"/>
          <w:sz w:val="22"/>
          <w:szCs w:val="22"/>
        </w:rPr>
        <w:t xml:space="preserve">Generic application form for unsolicited applications, classified and routed.</w:t>
      </w:r>
    </w:p>
    <w:p>
      <w:pPr>
        <w:pStyle w:val="Heading3"/>
        <w:spacing w:after="100" w:before="200"/>
      </w:pPr>
      <w:r>
        <w:rPr>
          <w:rFonts w:ascii="Cambria" w:cs="Cambria" w:eastAsia="Cambria" w:hAnsi="Cambria"/>
          <w:b/>
          <w:bCs/>
          <w:color w:val="0064DC"/>
          <w:sz w:val="24"/>
          <w:szCs w:val="24"/>
        </w:rPr>
        <w:t xml:space="preserve">11.9  M8 — Newsroom</w:t>
      </w:r>
    </w:p>
    <w:p>
      <w:pPr>
        <w:pStyle w:val="ListParagraph"/>
        <w:numPr>
          <w:ilvl w:val="0"/>
          <w:numId w:val="2"/>
        </w:numPr>
        <w:spacing w:after="40" w:before="40" w:line="280"/>
      </w:pPr>
      <w:r>
        <w:rPr>
          <w:rFonts w:ascii="Calibri" w:cs="Calibri" w:eastAsia="Calibri" w:hAnsi="Calibri"/>
          <w:sz w:val="22"/>
          <w:szCs w:val="22"/>
        </w:rPr>
        <w:t xml:space="preserve">Press release index with filters by year, entity, sector, mission.</w:t>
      </w:r>
    </w:p>
    <w:p>
      <w:pPr>
        <w:pStyle w:val="ListParagraph"/>
        <w:numPr>
          <w:ilvl w:val="0"/>
          <w:numId w:val="2"/>
        </w:numPr>
        <w:spacing w:after="40" w:before="40" w:line="280"/>
      </w:pPr>
      <w:r>
        <w:rPr>
          <w:rFonts w:ascii="Calibri" w:cs="Calibri" w:eastAsia="Calibri" w:hAnsi="Calibri"/>
          <w:sz w:val="22"/>
          <w:szCs w:val="22"/>
        </w:rPr>
        <w:t xml:space="preserve">Long-form viewpoint articles authored by leadership.</w:t>
      </w:r>
    </w:p>
    <w:p>
      <w:pPr>
        <w:pStyle w:val="ListParagraph"/>
        <w:numPr>
          <w:ilvl w:val="0"/>
          <w:numId w:val="2"/>
        </w:numPr>
        <w:spacing w:after="40" w:before="40" w:line="280"/>
      </w:pPr>
      <w:r>
        <w:rPr>
          <w:rFonts w:ascii="Calibri" w:cs="Calibri" w:eastAsia="Calibri" w:hAnsi="Calibri"/>
          <w:sz w:val="22"/>
          <w:szCs w:val="22"/>
        </w:rPr>
        <w:t xml:space="preserve">Mission stories presenting beneficiary narratives.</w:t>
      </w:r>
    </w:p>
    <w:p>
      <w:pPr>
        <w:pStyle w:val="ListParagraph"/>
        <w:numPr>
          <w:ilvl w:val="0"/>
          <w:numId w:val="2"/>
        </w:numPr>
        <w:spacing w:after="40" w:before="40" w:line="280"/>
      </w:pPr>
      <w:r>
        <w:rPr>
          <w:rFonts w:ascii="Calibri" w:cs="Calibri" w:eastAsia="Calibri" w:hAnsi="Calibri"/>
          <w:sz w:val="22"/>
          <w:szCs w:val="22"/>
        </w:rPr>
        <w:t xml:space="preserve">Events calendar with structured data for Event.</w:t>
      </w:r>
    </w:p>
    <w:p>
      <w:pPr>
        <w:pStyle w:val="ListParagraph"/>
        <w:numPr>
          <w:ilvl w:val="0"/>
          <w:numId w:val="2"/>
        </w:numPr>
        <w:spacing w:after="40" w:before="40" w:line="280"/>
      </w:pPr>
      <w:r>
        <w:rPr>
          <w:rFonts w:ascii="Calibri" w:cs="Calibri" w:eastAsia="Calibri" w:hAnsi="Calibri"/>
          <w:sz w:val="22"/>
          <w:szCs w:val="22"/>
        </w:rPr>
        <w:t xml:space="preserve">Media kit with logos, headshots, factsheet PDF, executive bios.</w:t>
      </w:r>
    </w:p>
    <w:p>
      <w:pPr>
        <w:pStyle w:val="Heading3"/>
        <w:spacing w:after="100" w:before="200"/>
      </w:pPr>
      <w:r>
        <w:rPr>
          <w:rFonts w:ascii="Cambria" w:cs="Cambria" w:eastAsia="Cambria" w:hAnsi="Cambria"/>
          <w:b/>
          <w:bCs/>
          <w:color w:val="0064DC"/>
          <w:sz w:val="24"/>
          <w:szCs w:val="24"/>
        </w:rPr>
        <w:t xml:space="preserve">11.10  M9 — Search</w:t>
      </w:r>
    </w:p>
    <w:p>
      <w:pPr>
        <w:pStyle w:val="ListParagraph"/>
        <w:numPr>
          <w:ilvl w:val="0"/>
          <w:numId w:val="2"/>
        </w:numPr>
        <w:spacing w:after="40" w:before="40" w:line="280"/>
      </w:pPr>
      <w:r>
        <w:rPr>
          <w:rFonts w:ascii="Calibri" w:cs="Calibri" w:eastAsia="Calibri" w:hAnsi="Calibri"/>
          <w:sz w:val="22"/>
          <w:szCs w:val="22"/>
        </w:rPr>
        <w:t xml:space="preserve">Site-wide search using a hosted index (Elasticsearch / OpenSearch); weights applied for entity, mission, investor and newsroom content.</w:t>
      </w:r>
    </w:p>
    <w:p>
      <w:pPr>
        <w:pStyle w:val="ListParagraph"/>
        <w:numPr>
          <w:ilvl w:val="0"/>
          <w:numId w:val="2"/>
        </w:numPr>
        <w:spacing w:after="40" w:before="40" w:line="280"/>
      </w:pPr>
      <w:r>
        <w:rPr>
          <w:rFonts w:ascii="Calibri" w:cs="Calibri" w:eastAsia="Calibri" w:hAnsi="Calibri"/>
          <w:sz w:val="22"/>
          <w:szCs w:val="22"/>
        </w:rPr>
        <w:t xml:space="preserve">Predictive suggestions in the header search field; “No results” state with curated alternatives.</w:t>
      </w:r>
    </w:p>
    <w:p>
      <w:pPr>
        <w:pStyle w:val="ListParagraph"/>
        <w:numPr>
          <w:ilvl w:val="0"/>
          <w:numId w:val="2"/>
        </w:numPr>
        <w:spacing w:after="40" w:before="40" w:line="280"/>
      </w:pPr>
      <w:r>
        <w:rPr>
          <w:rFonts w:ascii="Calibri" w:cs="Calibri" w:eastAsia="Calibri" w:hAnsi="Calibri"/>
          <w:sz w:val="22"/>
          <w:szCs w:val="22"/>
        </w:rPr>
        <w:t xml:space="preserve">Search analytics fed into GA4 to inform content strategy.</w:t>
      </w:r>
    </w:p>
    <w:p>
      <w:pPr>
        <w:pStyle w:val="Heading3"/>
        <w:spacing w:after="100" w:before="200"/>
      </w:pPr>
      <w:r>
        <w:rPr>
          <w:rFonts w:ascii="Cambria" w:cs="Cambria" w:eastAsia="Cambria" w:hAnsi="Cambria"/>
          <w:b/>
          <w:bCs/>
          <w:color w:val="0064DC"/>
          <w:sz w:val="24"/>
          <w:szCs w:val="24"/>
        </w:rPr>
        <w:t xml:space="preserve">11.11  M10 — Forms &amp; Routing</w:t>
      </w:r>
    </w:p>
    <w:p>
      <w:pPr>
        <w:pStyle w:val="ListParagraph"/>
        <w:numPr>
          <w:ilvl w:val="0"/>
          <w:numId w:val="2"/>
        </w:numPr>
        <w:spacing w:after="40" w:before="40" w:line="280"/>
      </w:pPr>
      <w:r>
        <w:rPr>
          <w:rFonts w:ascii="Calibri" w:cs="Calibri" w:eastAsia="Calibri" w:hAnsi="Calibri"/>
          <w:sz w:val="22"/>
          <w:szCs w:val="22"/>
        </w:rPr>
        <w:t xml:space="preserve">Eight forms (per Section 6.1) built on a shared form layer with consistent validation and error UX.</w:t>
      </w:r>
    </w:p>
    <w:p>
      <w:pPr>
        <w:pStyle w:val="ListParagraph"/>
        <w:numPr>
          <w:ilvl w:val="0"/>
          <w:numId w:val="2"/>
        </w:numPr>
        <w:spacing w:after="40" w:before="40" w:line="280"/>
      </w:pPr>
      <w:r>
        <w:rPr>
          <w:rFonts w:ascii="Calibri" w:cs="Calibri" w:eastAsia="Calibri" w:hAnsi="Calibri"/>
          <w:sz w:val="22"/>
          <w:szCs w:val="22"/>
        </w:rPr>
        <w:t xml:space="preserve">Server-side classification engine assigning each submission to entity, function and priority.</w:t>
      </w:r>
    </w:p>
    <w:p>
      <w:pPr>
        <w:pStyle w:val="ListParagraph"/>
        <w:numPr>
          <w:ilvl w:val="0"/>
          <w:numId w:val="2"/>
        </w:numPr>
        <w:spacing w:after="40" w:before="40" w:line="280"/>
      </w:pPr>
      <w:r>
        <w:rPr>
          <w:rFonts w:ascii="Calibri" w:cs="Calibri" w:eastAsia="Calibri" w:hAnsi="Calibri"/>
          <w:sz w:val="22"/>
          <w:szCs w:val="22"/>
        </w:rPr>
        <w:t xml:space="preserve">Routing into JGC CRM via secure REST endpoint; a fallback queue handles temporary CRM unavailability.</w:t>
      </w:r>
    </w:p>
    <w:p>
      <w:pPr>
        <w:pStyle w:val="ListParagraph"/>
        <w:numPr>
          <w:ilvl w:val="0"/>
          <w:numId w:val="2"/>
        </w:numPr>
        <w:spacing w:after="40" w:before="40" w:line="280"/>
      </w:pPr>
      <w:r>
        <w:rPr>
          <w:rFonts w:ascii="Calibri" w:cs="Calibri" w:eastAsia="Calibri" w:hAnsi="Calibri"/>
          <w:sz w:val="22"/>
          <w:szCs w:val="22"/>
        </w:rPr>
        <w:t xml:space="preserve">Honeypot, time-trap and reCAPTCHA Enterprise applied; PII handling per Section 18.</w:t>
      </w:r>
    </w:p>
    <w:p>
      <w:pPr>
        <w:pStyle w:val="Heading3"/>
        <w:spacing w:after="100" w:before="200"/>
      </w:pPr>
      <w:r>
        <w:rPr>
          <w:rFonts w:ascii="Cambria" w:cs="Cambria" w:eastAsia="Cambria" w:hAnsi="Cambria"/>
          <w:b/>
          <w:bCs/>
          <w:color w:val="0064DC"/>
          <w:sz w:val="24"/>
          <w:szCs w:val="24"/>
        </w:rPr>
        <w:t xml:space="preserve">11.12  M11 — Multi-language</w:t>
      </w:r>
    </w:p>
    <w:p>
      <w:pPr>
        <w:pStyle w:val="ListParagraph"/>
        <w:numPr>
          <w:ilvl w:val="0"/>
          <w:numId w:val="2"/>
        </w:numPr>
        <w:spacing w:after="40" w:before="40" w:line="280"/>
      </w:pPr>
      <w:r>
        <w:rPr>
          <w:rFonts w:ascii="Calibri" w:cs="Calibri" w:eastAsia="Calibri" w:hAnsi="Calibri"/>
          <w:sz w:val="22"/>
          <w:szCs w:val="22"/>
        </w:rPr>
        <w:t xml:space="preserve">English at launch; Hindi and Gujarati in Phase 2; Marathi and Tamil in Phase 3.</w:t>
      </w:r>
    </w:p>
    <w:p>
      <w:pPr>
        <w:pStyle w:val="ListParagraph"/>
        <w:numPr>
          <w:ilvl w:val="0"/>
          <w:numId w:val="2"/>
        </w:numPr>
        <w:spacing w:after="40" w:before="40" w:line="280"/>
      </w:pPr>
      <w:r>
        <w:rPr>
          <w:rFonts w:ascii="Calibri" w:cs="Calibri" w:eastAsia="Calibri" w:hAnsi="Calibri"/>
          <w:sz w:val="22"/>
          <w:szCs w:val="22"/>
        </w:rPr>
        <w:t xml:space="preserve">Translation memory shared across the digital estate to ensure consistency of brand and statutory phrasing.</w:t>
      </w:r>
    </w:p>
    <w:p>
      <w:pPr>
        <w:pStyle w:val="ListParagraph"/>
        <w:numPr>
          <w:ilvl w:val="0"/>
          <w:numId w:val="2"/>
        </w:numPr>
        <w:spacing w:after="40" w:before="40" w:line="280"/>
      </w:pPr>
      <w:r>
        <w:rPr>
          <w:rFonts w:ascii="Calibri" w:cs="Calibri" w:eastAsia="Calibri" w:hAnsi="Calibri"/>
          <w:sz w:val="22"/>
          <w:szCs w:val="22"/>
        </w:rPr>
        <w:t xml:space="preserve">Language switcher with hreflang tags and per-locale URL paths (/hi, /gu, etc.).</w:t>
      </w:r>
    </w:p>
    <w:p>
      <w:pPr>
        <w:pStyle w:val="ListParagraph"/>
        <w:numPr>
          <w:ilvl w:val="0"/>
          <w:numId w:val="2"/>
        </w:numPr>
        <w:spacing w:after="40" w:before="40" w:line="280"/>
      </w:pPr>
      <w:r>
        <w:rPr>
          <w:rFonts w:ascii="Calibri" w:cs="Calibri" w:eastAsia="Calibri" w:hAnsi="Calibri"/>
          <w:sz w:val="22"/>
          <w:szCs w:val="22"/>
        </w:rPr>
        <w:t xml:space="preserve">Right-to-left readiness deferred to a later phase if Urdu is added.</w:t>
      </w:r>
    </w:p>
    <w:p>
      <w:pPr>
        <w:pStyle w:val="Heading3"/>
        <w:spacing w:after="100" w:before="200"/>
      </w:pPr>
      <w:r>
        <w:rPr>
          <w:rFonts w:ascii="Cambria" w:cs="Cambria" w:eastAsia="Cambria" w:hAnsi="Cambria"/>
          <w:b/>
          <w:bCs/>
          <w:color w:val="0064DC"/>
          <w:sz w:val="24"/>
          <w:szCs w:val="24"/>
        </w:rPr>
        <w:t xml:space="preserve">11.13  M12 — Analytics &amp; Tagging</w:t>
      </w:r>
    </w:p>
    <w:p>
      <w:pPr>
        <w:pStyle w:val="ListParagraph"/>
        <w:numPr>
          <w:ilvl w:val="0"/>
          <w:numId w:val="2"/>
        </w:numPr>
        <w:spacing w:after="40" w:before="40" w:line="280"/>
      </w:pPr>
      <w:r>
        <w:rPr>
          <w:rFonts w:ascii="Calibri" w:cs="Calibri" w:eastAsia="Calibri" w:hAnsi="Calibri"/>
          <w:sz w:val="22"/>
          <w:szCs w:val="22"/>
        </w:rPr>
        <w:t xml:space="preserve">GA4 with measurement protocol; events scoped to journey milestones (View Investor KPIs, Submit Vendor Intake, etc.).</w:t>
      </w:r>
    </w:p>
    <w:p>
      <w:pPr>
        <w:pStyle w:val="ListParagraph"/>
        <w:numPr>
          <w:ilvl w:val="0"/>
          <w:numId w:val="2"/>
        </w:numPr>
        <w:spacing w:after="40" w:before="40" w:line="280"/>
      </w:pPr>
      <w:r>
        <w:rPr>
          <w:rFonts w:ascii="Calibri" w:cs="Calibri" w:eastAsia="Calibri" w:hAnsi="Calibri"/>
          <w:sz w:val="22"/>
          <w:szCs w:val="22"/>
        </w:rPr>
        <w:t xml:space="preserve">Google Tag Manager as the tag governance plane; consent-aware loading.</w:t>
      </w:r>
    </w:p>
    <w:p>
      <w:pPr>
        <w:pStyle w:val="ListParagraph"/>
        <w:numPr>
          <w:ilvl w:val="0"/>
          <w:numId w:val="2"/>
        </w:numPr>
        <w:spacing w:after="40" w:before="40" w:line="280"/>
      </w:pPr>
      <w:r>
        <w:rPr>
          <w:rFonts w:ascii="Calibri" w:cs="Calibri" w:eastAsia="Calibri" w:hAnsi="Calibri"/>
          <w:sz w:val="22"/>
          <w:szCs w:val="22"/>
        </w:rPr>
        <w:t xml:space="preserve">Server-side log enrichment for non-PII attribution analytics.</w:t>
      </w:r>
    </w:p>
    <w:p>
      <w:pPr>
        <w:pStyle w:val="ListParagraph"/>
        <w:numPr>
          <w:ilvl w:val="0"/>
          <w:numId w:val="2"/>
        </w:numPr>
        <w:spacing w:after="40" w:before="40" w:line="280"/>
      </w:pPr>
      <w:r>
        <w:rPr>
          <w:rFonts w:ascii="Calibri" w:cs="Calibri" w:eastAsia="Calibri" w:hAnsi="Calibri"/>
          <w:sz w:val="22"/>
          <w:szCs w:val="22"/>
        </w:rPr>
        <w:t xml:space="preserve">Event taxonomy documented as Annexure B and frozen at launch.</w:t>
      </w:r>
    </w:p>
    <w:p>
      <w:pPr>
        <w:pStyle w:val="Heading3"/>
        <w:spacing w:after="100" w:before="200"/>
      </w:pPr>
      <w:r>
        <w:rPr>
          <w:rFonts w:ascii="Cambria" w:cs="Cambria" w:eastAsia="Cambria" w:hAnsi="Cambria"/>
          <w:b/>
          <w:bCs/>
          <w:color w:val="0064DC"/>
          <w:sz w:val="24"/>
          <w:szCs w:val="24"/>
        </w:rPr>
        <w:t xml:space="preserve">11.14  M13 — Accessibility &amp; Compliance</w:t>
      </w:r>
    </w:p>
    <w:p>
      <w:pPr>
        <w:pStyle w:val="ListParagraph"/>
        <w:numPr>
          <w:ilvl w:val="0"/>
          <w:numId w:val="2"/>
        </w:numPr>
        <w:spacing w:after="40" w:before="40" w:line="280"/>
      </w:pPr>
      <w:r>
        <w:rPr>
          <w:rFonts w:ascii="Calibri" w:cs="Calibri" w:eastAsia="Calibri" w:hAnsi="Calibri"/>
          <w:sz w:val="22"/>
          <w:szCs w:val="22"/>
        </w:rPr>
        <w:t xml:space="preserve">Accessibility statement at /accessibility with feedback channel.</w:t>
      </w:r>
    </w:p>
    <w:p>
      <w:pPr>
        <w:pStyle w:val="ListParagraph"/>
        <w:numPr>
          <w:ilvl w:val="0"/>
          <w:numId w:val="2"/>
        </w:numPr>
        <w:spacing w:after="40" w:before="40" w:line="280"/>
      </w:pPr>
      <w:r>
        <w:rPr>
          <w:rFonts w:ascii="Calibri" w:cs="Calibri" w:eastAsia="Calibri" w:hAnsi="Calibri"/>
          <w:sz w:val="22"/>
          <w:szCs w:val="22"/>
        </w:rPr>
        <w:t xml:space="preserve">Region-aware cookie consent banner; consent log retained for evidentiary purposes.</w:t>
      </w:r>
    </w:p>
    <w:p>
      <w:pPr>
        <w:pStyle w:val="ListParagraph"/>
        <w:numPr>
          <w:ilvl w:val="0"/>
          <w:numId w:val="2"/>
        </w:numPr>
        <w:spacing w:after="40" w:before="40" w:line="280"/>
      </w:pPr>
      <w:r>
        <w:rPr>
          <w:rFonts w:ascii="Calibri" w:cs="Calibri" w:eastAsia="Calibri" w:hAnsi="Calibri"/>
          <w:sz w:val="22"/>
          <w:szCs w:val="22"/>
        </w:rPr>
        <w:t xml:space="preserve">Whistleblower portal at /legal/whistleblower with anonymous submission and chain-of-custody.</w:t>
      </w:r>
    </w:p>
    <w:p>
      <w:pPr>
        <w:pStyle w:val="Heading3"/>
        <w:spacing w:after="100" w:before="200"/>
      </w:pPr>
      <w:r>
        <w:rPr>
          <w:rFonts w:ascii="Cambria" w:cs="Cambria" w:eastAsia="Cambria" w:hAnsi="Cambria"/>
          <w:b/>
          <w:bCs/>
          <w:color w:val="0064DC"/>
          <w:sz w:val="24"/>
          <w:szCs w:val="24"/>
        </w:rPr>
        <w:t xml:space="preserve">11.15  M14 — Operations</w:t>
      </w:r>
    </w:p>
    <w:p>
      <w:pPr>
        <w:pStyle w:val="ListParagraph"/>
        <w:numPr>
          <w:ilvl w:val="0"/>
          <w:numId w:val="2"/>
        </w:numPr>
        <w:spacing w:after="40" w:before="40" w:line="280"/>
      </w:pPr>
      <w:r>
        <w:rPr>
          <w:rFonts w:ascii="Calibri" w:cs="Calibri" w:eastAsia="Calibri" w:hAnsi="Calibri"/>
          <w:sz w:val="22"/>
          <w:szCs w:val="22"/>
        </w:rPr>
        <w:t xml:space="preserve">Caching: Redis page cache with intelligent invalidation on publish; Cloudflare edge cache.</w:t>
      </w:r>
    </w:p>
    <w:p>
      <w:pPr>
        <w:pStyle w:val="ListParagraph"/>
        <w:numPr>
          <w:ilvl w:val="0"/>
          <w:numId w:val="2"/>
        </w:numPr>
        <w:spacing w:after="40" w:before="40" w:line="280"/>
      </w:pPr>
      <w:r>
        <w:rPr>
          <w:rFonts w:ascii="Calibri" w:cs="Calibri" w:eastAsia="Calibri" w:hAnsi="Calibri"/>
          <w:sz w:val="22"/>
          <w:szCs w:val="22"/>
        </w:rPr>
        <w:t xml:space="preserve">CDN: Cloudflare with HTTP/3, Brotli compression, image optimisation, automatic minification.</w:t>
      </w:r>
    </w:p>
    <w:p>
      <w:pPr>
        <w:pStyle w:val="ListParagraph"/>
        <w:numPr>
          <w:ilvl w:val="0"/>
          <w:numId w:val="2"/>
        </w:numPr>
        <w:spacing w:after="40" w:before="40" w:line="280"/>
      </w:pPr>
      <w:r>
        <w:rPr>
          <w:rFonts w:ascii="Calibri" w:cs="Calibri" w:eastAsia="Calibri" w:hAnsi="Calibri"/>
          <w:sz w:val="22"/>
          <w:szCs w:val="22"/>
        </w:rPr>
        <w:t xml:space="preserve">WAF: Cloudflare WAF with custom rule set tuned to OWASP Top 10.</w:t>
      </w:r>
    </w:p>
    <w:p>
      <w:pPr>
        <w:pStyle w:val="ListParagraph"/>
        <w:numPr>
          <w:ilvl w:val="0"/>
          <w:numId w:val="2"/>
        </w:numPr>
        <w:spacing w:after="40" w:before="40" w:line="280"/>
      </w:pPr>
      <w:r>
        <w:rPr>
          <w:rFonts w:ascii="Calibri" w:cs="Calibri" w:eastAsia="Calibri" w:hAnsi="Calibri"/>
          <w:sz w:val="22"/>
          <w:szCs w:val="22"/>
        </w:rPr>
        <w:t xml:space="preserve">Monitoring: synthetic checks every 60 seconds, RUM via GA4 / Web Vitals, error tracking via Sentry.</w:t>
      </w:r>
    </w:p>
    <w:p>
      <w:pPr>
        <w:pStyle w:val="ListParagraph"/>
        <w:numPr>
          <w:ilvl w:val="0"/>
          <w:numId w:val="2"/>
        </w:numPr>
        <w:spacing w:after="40" w:before="40" w:line="280"/>
      </w:pPr>
      <w:r>
        <w:rPr>
          <w:rFonts w:ascii="Calibri" w:cs="Calibri" w:eastAsia="Calibri" w:hAnsi="Calibri"/>
          <w:sz w:val="22"/>
          <w:szCs w:val="22"/>
        </w:rPr>
        <w:t xml:space="preserve">Backups: hourly application snapshot, daily DB snapshot, 30-day retention, weekly full restore drill.</w:t>
      </w:r>
    </w:p>
    <w:p>
      <w:pPr>
        <w:pStyle w:val="ListParagraph"/>
        <w:numPr>
          <w:ilvl w:val="0"/>
          <w:numId w:val="2"/>
        </w:numPr>
        <w:spacing w:after="40" w:before="40" w:line="280"/>
      </w:pPr>
      <w:r>
        <w:rPr>
          <w:rFonts w:ascii="Calibri" w:cs="Calibri" w:eastAsia="Calibri" w:hAnsi="Calibri"/>
          <w:sz w:val="22"/>
          <w:szCs w:val="22"/>
        </w:rPr>
        <w:t xml:space="preserve">DR: warm standby in Azure India, RPO 15 minutes, RTO 60 minutes.</w:t>
      </w:r>
    </w:p>
    <w:p>
      <w:r>
        <w:br w:type="page"/>
      </w:r>
    </w:p>
    <w:p>
      <w:pPr>
        <w:pStyle w:val="Heading1"/>
        <w:spacing w:after="180" w:before="360"/>
      </w:pPr>
      <w:r>
        <w:rPr>
          <w:rFonts w:ascii="Cambria" w:cs="Cambria" w:eastAsia="Cambria" w:hAnsi="Cambria"/>
          <w:b/>
          <w:bCs/>
          <w:color w:val="1B3A5C"/>
          <w:sz w:val="36"/>
          <w:szCs w:val="36"/>
        </w:rPr>
        <w:t xml:space="preserve">12.  Non-Functional Requirements</w:t>
      </w:r>
    </w:p>
    <w:p>
      <w:pPr>
        <w:pStyle w:val="Heading3"/>
        <w:spacing w:after="100" w:before="200"/>
      </w:pPr>
      <w:r>
        <w:rPr>
          <w:rFonts w:ascii="Cambria" w:cs="Cambria" w:eastAsia="Cambria" w:hAnsi="Cambria"/>
          <w:b/>
          <w:bCs/>
          <w:color w:val="0064DC"/>
          <w:sz w:val="24"/>
          <w:szCs w:val="24"/>
        </w:rPr>
        <w:t xml:space="preserve">12.1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NFR</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Target</w:t>
            </w:r>
          </w:p>
        </w:tc>
        <w:tc>
          <w:tcPr>
            <w:tcW w:type="dxa" w:w="45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Measurement</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Largest Contentful Paint (LCP) P75 mobile</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2.5 sec</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Vitals (CrUX, RUM)</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Interaction to Next Paint (INP) P75 mobile</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200 ms</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Vitals (RUM)</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Cumulative Layout Shift (CLS)</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0.1</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Vitals (RUM)</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Time to First Byte (TTFB)</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350 ms (cached); &lt; 800 ms (uncached)</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Server logs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Page Weight (HTML+CSS+JS, gzipped)</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350 KB</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Bundle audit</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Image Weight (above the fold)</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200 KB</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Asset audit</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JavaScript Bundle (route)</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&lt; 180 KB gzipped</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Bundle audit</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12.2  Scalability</w:t>
      </w:r>
    </w:p>
    <w:p>
      <w:pPr>
        <w:pStyle w:val="ListParagraph"/>
        <w:numPr>
          <w:ilvl w:val="0"/>
          <w:numId w:val="2"/>
        </w:numPr>
        <w:spacing w:after="40" w:before="40" w:line="280"/>
      </w:pPr>
      <w:r>
        <w:rPr>
          <w:rFonts w:ascii="Calibri" w:cs="Calibri" w:eastAsia="Calibri" w:hAnsi="Calibri"/>
          <w:sz w:val="22"/>
          <w:szCs w:val="22"/>
        </w:rPr>
        <w:t xml:space="preserve">Architecture must absorb 5× baseline traffic without redesign.</w:t>
      </w:r>
    </w:p>
    <w:p>
      <w:pPr>
        <w:pStyle w:val="ListParagraph"/>
        <w:numPr>
          <w:ilvl w:val="0"/>
          <w:numId w:val="2"/>
        </w:numPr>
        <w:spacing w:after="40" w:before="40" w:line="280"/>
      </w:pPr>
      <w:r>
        <w:rPr>
          <w:rFonts w:ascii="Calibri" w:cs="Calibri" w:eastAsia="Calibri" w:hAnsi="Calibri"/>
          <w:sz w:val="22"/>
          <w:szCs w:val="22"/>
        </w:rPr>
        <w:t xml:space="preserve">Stateless application tier behind a load balancer; horizontally scalable.</w:t>
      </w:r>
    </w:p>
    <w:p>
      <w:pPr>
        <w:pStyle w:val="ListParagraph"/>
        <w:numPr>
          <w:ilvl w:val="0"/>
          <w:numId w:val="2"/>
        </w:numPr>
        <w:spacing w:after="40" w:before="40" w:line="280"/>
      </w:pPr>
      <w:r>
        <w:rPr>
          <w:rFonts w:ascii="Calibri" w:cs="Calibri" w:eastAsia="Calibri" w:hAnsi="Calibri"/>
          <w:sz w:val="22"/>
          <w:szCs w:val="22"/>
        </w:rPr>
        <w:t xml:space="preserve">Read replicas for the primary database with automatic failover.</w:t>
      </w:r>
    </w:p>
    <w:p>
      <w:pPr>
        <w:pStyle w:val="ListParagraph"/>
        <w:numPr>
          <w:ilvl w:val="0"/>
          <w:numId w:val="2"/>
        </w:numPr>
        <w:spacing w:after="40" w:before="40" w:line="280"/>
      </w:pPr>
      <w:r>
        <w:rPr>
          <w:rFonts w:ascii="Calibri" w:cs="Calibri" w:eastAsia="Calibri" w:hAnsi="Calibri"/>
          <w:sz w:val="22"/>
          <w:szCs w:val="22"/>
        </w:rPr>
        <w:t xml:space="preserve">CDN absorbs at least 90% of static asset traffic.</w:t>
      </w:r>
    </w:p>
    <w:p>
      <w:pPr>
        <w:pStyle w:val="Heading3"/>
        <w:spacing w:after="100" w:before="200"/>
      </w:pPr>
      <w:r>
        <w:rPr>
          <w:rFonts w:ascii="Cambria" w:cs="Cambria" w:eastAsia="Cambria" w:hAnsi="Cambria"/>
          <w:b/>
          <w:bCs/>
          <w:color w:val="0064DC"/>
          <w:sz w:val="24"/>
          <w:szCs w:val="24"/>
        </w:rPr>
        <w:t xml:space="preserve">12.3  Availability</w:t>
      </w:r>
    </w:p>
    <w:p>
      <w:pPr>
        <w:pStyle w:val="ListParagraph"/>
        <w:numPr>
          <w:ilvl w:val="0"/>
          <w:numId w:val="2"/>
        </w:numPr>
        <w:spacing w:after="40" w:before="40" w:line="280"/>
      </w:pPr>
      <w:r>
        <w:rPr>
          <w:rFonts w:ascii="Calibri" w:cs="Calibri" w:eastAsia="Calibri" w:hAnsi="Calibri"/>
          <w:sz w:val="22"/>
          <w:szCs w:val="22"/>
        </w:rPr>
        <w:t xml:space="preserve">Steady-state availability target 99.95% measured monthly, excluding declared maintenance windows.</w:t>
      </w:r>
    </w:p>
    <w:p>
      <w:pPr>
        <w:pStyle w:val="ListParagraph"/>
        <w:numPr>
          <w:ilvl w:val="0"/>
          <w:numId w:val="2"/>
        </w:numPr>
        <w:spacing w:after="40" w:before="40" w:line="280"/>
      </w:pPr>
      <w:r>
        <w:rPr>
          <w:rFonts w:ascii="Calibri" w:cs="Calibri" w:eastAsia="Calibri" w:hAnsi="Calibri"/>
          <w:sz w:val="22"/>
          <w:szCs w:val="22"/>
        </w:rPr>
        <w:t xml:space="preserve">Maintenance windows scheduled outside business hours and announced 72 hours in advance.</w:t>
      </w:r>
    </w:p>
    <w:p>
      <w:pPr>
        <w:pStyle w:val="ListParagraph"/>
        <w:numPr>
          <w:ilvl w:val="0"/>
          <w:numId w:val="2"/>
        </w:numPr>
        <w:spacing w:after="40" w:before="40" w:line="280"/>
      </w:pPr>
      <w:r>
        <w:rPr>
          <w:rFonts w:ascii="Calibri" w:cs="Calibri" w:eastAsia="Calibri" w:hAnsi="Calibri"/>
          <w:sz w:val="22"/>
          <w:szCs w:val="22"/>
        </w:rPr>
        <w:t xml:space="preserve">Regional failover to Azure India warm DR in line with the DR plan in Section 15.</w:t>
      </w:r>
    </w:p>
    <w:p>
      <w:pPr>
        <w:pStyle w:val="Heading3"/>
        <w:spacing w:after="100" w:before="200"/>
      </w:pPr>
      <w:r>
        <w:rPr>
          <w:rFonts w:ascii="Cambria" w:cs="Cambria" w:eastAsia="Cambria" w:hAnsi="Cambria"/>
          <w:b/>
          <w:bCs/>
          <w:color w:val="0064DC"/>
          <w:sz w:val="24"/>
          <w:szCs w:val="24"/>
        </w:rPr>
        <w:t xml:space="preserve">12.4  Security</w:t>
      </w:r>
    </w:p>
    <w:p>
      <w:pPr>
        <w:pStyle w:val="ListParagraph"/>
        <w:numPr>
          <w:ilvl w:val="0"/>
          <w:numId w:val="2"/>
        </w:numPr>
        <w:spacing w:after="40" w:before="40" w:line="280"/>
      </w:pPr>
      <w:r>
        <w:rPr>
          <w:rFonts w:ascii="Calibri" w:cs="Calibri" w:eastAsia="Calibri" w:hAnsi="Calibri"/>
          <w:sz w:val="22"/>
          <w:szCs w:val="22"/>
        </w:rPr>
        <w:t xml:space="preserve">OWASP Top 10 coverage validated through SAST in CI and DAST against staging.</w:t>
      </w:r>
    </w:p>
    <w:p>
      <w:pPr>
        <w:pStyle w:val="ListParagraph"/>
        <w:numPr>
          <w:ilvl w:val="0"/>
          <w:numId w:val="2"/>
        </w:numPr>
        <w:spacing w:after="40" w:before="40" w:line="280"/>
      </w:pPr>
      <w:r>
        <w:rPr>
          <w:rFonts w:ascii="Calibri" w:cs="Calibri" w:eastAsia="Calibri" w:hAnsi="Calibri"/>
          <w:sz w:val="22"/>
          <w:szCs w:val="22"/>
        </w:rPr>
        <w:t xml:space="preserve">All traffic over TLS 1.3 with HSTS preload.</w:t>
      </w:r>
    </w:p>
    <w:p>
      <w:pPr>
        <w:pStyle w:val="ListParagraph"/>
        <w:numPr>
          <w:ilvl w:val="0"/>
          <w:numId w:val="2"/>
        </w:numPr>
        <w:spacing w:after="40" w:before="40" w:line="280"/>
      </w:pPr>
      <w:r>
        <w:rPr>
          <w:rFonts w:ascii="Calibri" w:cs="Calibri" w:eastAsia="Calibri" w:hAnsi="Calibri"/>
          <w:sz w:val="22"/>
          <w:szCs w:val="22"/>
        </w:rPr>
        <w:t xml:space="preserve">Content Security Policy with strict-dynamic for scripts; subresource integrity for third-party assets.</w:t>
      </w:r>
    </w:p>
    <w:p>
      <w:pPr>
        <w:pStyle w:val="ListParagraph"/>
        <w:numPr>
          <w:ilvl w:val="0"/>
          <w:numId w:val="2"/>
        </w:numPr>
        <w:spacing w:after="40" w:before="40" w:line="280"/>
      </w:pPr>
      <w:r>
        <w:rPr>
          <w:rFonts w:ascii="Calibri" w:cs="Calibri" w:eastAsia="Calibri" w:hAnsi="Calibri"/>
          <w:sz w:val="22"/>
          <w:szCs w:val="22"/>
        </w:rPr>
        <w:t xml:space="preserve">Secrets in a managed vault (AWS Secrets Manager); never committed to repositories.</w:t>
      </w:r>
    </w:p>
    <w:p>
      <w:pPr>
        <w:pStyle w:val="ListParagraph"/>
        <w:numPr>
          <w:ilvl w:val="0"/>
          <w:numId w:val="2"/>
        </w:numPr>
        <w:spacing w:after="40" w:before="40" w:line="280"/>
      </w:pPr>
      <w:r>
        <w:rPr>
          <w:rFonts w:ascii="Calibri" w:cs="Calibri" w:eastAsia="Calibri" w:hAnsi="Calibri"/>
          <w:sz w:val="22"/>
          <w:szCs w:val="22"/>
        </w:rPr>
        <w:t xml:space="preserve">Quarterly third-party VA/PT; remediation SLA of 30 days for High and 7 days for Critical findings.</w:t>
      </w:r>
    </w:p>
    <w:p>
      <w:pPr>
        <w:pStyle w:val="Heading3"/>
        <w:spacing w:after="100" w:before="200"/>
      </w:pPr>
      <w:r>
        <w:rPr>
          <w:rFonts w:ascii="Cambria" w:cs="Cambria" w:eastAsia="Cambria" w:hAnsi="Cambria"/>
          <w:b/>
          <w:bCs/>
          <w:color w:val="0064DC"/>
          <w:sz w:val="24"/>
          <w:szCs w:val="24"/>
        </w:rPr>
        <w:t xml:space="preserve">12.5  Privacy &amp; Data Protection</w:t>
      </w:r>
    </w:p>
    <w:p>
      <w:pPr>
        <w:pStyle w:val="ListParagraph"/>
        <w:numPr>
          <w:ilvl w:val="0"/>
          <w:numId w:val="2"/>
        </w:numPr>
        <w:spacing w:after="40" w:before="40" w:line="280"/>
      </w:pPr>
      <w:r>
        <w:rPr>
          <w:rFonts w:ascii="Calibri" w:cs="Calibri" w:eastAsia="Calibri" w:hAnsi="Calibri"/>
          <w:sz w:val="22"/>
          <w:szCs w:val="22"/>
        </w:rPr>
        <w:t xml:space="preserve">DPDPA 2023 alignment: lawful basis identified for each processing purpose; consent captured where required; data subject rights workflow operational.</w:t>
      </w:r>
    </w:p>
    <w:p>
      <w:pPr>
        <w:pStyle w:val="ListParagraph"/>
        <w:numPr>
          <w:ilvl w:val="0"/>
          <w:numId w:val="2"/>
        </w:numPr>
        <w:spacing w:after="40" w:before="40" w:line="280"/>
      </w:pPr>
      <w:r>
        <w:rPr>
          <w:rFonts w:ascii="Calibri" w:cs="Calibri" w:eastAsia="Calibri" w:hAnsi="Calibri"/>
          <w:sz w:val="22"/>
          <w:szCs w:val="22"/>
        </w:rPr>
        <w:t xml:space="preserve">Data minimisation: form fields collect only what is necessary for routing or response.</w:t>
      </w:r>
    </w:p>
    <w:p>
      <w:pPr>
        <w:pStyle w:val="ListParagraph"/>
        <w:numPr>
          <w:ilvl w:val="0"/>
          <w:numId w:val="2"/>
        </w:numPr>
        <w:spacing w:after="40" w:before="40" w:line="280"/>
      </w:pPr>
      <w:r>
        <w:rPr>
          <w:rFonts w:ascii="Calibri" w:cs="Calibri" w:eastAsia="Calibri" w:hAnsi="Calibri"/>
          <w:sz w:val="22"/>
          <w:szCs w:val="22"/>
        </w:rPr>
        <w:t xml:space="preserve">Retention policy: marketing leads 24 months; investor enquiries 84 months; whistleblower disclosures per legal advice.</w:t>
      </w:r>
    </w:p>
    <w:p>
      <w:pPr>
        <w:pStyle w:val="Heading3"/>
        <w:spacing w:after="100" w:before="200"/>
      </w:pPr>
      <w:r>
        <w:rPr>
          <w:rFonts w:ascii="Cambria" w:cs="Cambria" w:eastAsia="Cambria" w:hAnsi="Cambria"/>
          <w:b/>
          <w:bCs/>
          <w:color w:val="0064DC"/>
          <w:sz w:val="24"/>
          <w:szCs w:val="24"/>
        </w:rPr>
        <w:t xml:space="preserve">12.6  Maintainability</w:t>
      </w:r>
    </w:p>
    <w:p>
      <w:pPr>
        <w:pStyle w:val="ListParagraph"/>
        <w:numPr>
          <w:ilvl w:val="0"/>
          <w:numId w:val="2"/>
        </w:numPr>
        <w:spacing w:after="40" w:before="40" w:line="280"/>
      </w:pPr>
      <w:r>
        <w:rPr>
          <w:rFonts w:ascii="Calibri" w:cs="Calibri" w:eastAsia="Calibri" w:hAnsi="Calibri"/>
          <w:sz w:val="22"/>
          <w:szCs w:val="22"/>
        </w:rPr>
        <w:t xml:space="preserve">All custom code under Git with branch protection; trunk-based development.</w:t>
      </w:r>
    </w:p>
    <w:p>
      <w:pPr>
        <w:pStyle w:val="ListParagraph"/>
        <w:numPr>
          <w:ilvl w:val="0"/>
          <w:numId w:val="2"/>
        </w:numPr>
        <w:spacing w:after="40" w:before="40" w:line="280"/>
      </w:pPr>
      <w:r>
        <w:rPr>
          <w:rFonts w:ascii="Calibri" w:cs="Calibri" w:eastAsia="Calibri" w:hAnsi="Calibri"/>
          <w:sz w:val="22"/>
          <w:szCs w:val="22"/>
        </w:rPr>
        <w:t xml:space="preserve">Mandatory peer review and CI checks (lint, type-check, unit tests, accessibility tests, bundle budget).</w:t>
      </w:r>
    </w:p>
    <w:p>
      <w:pPr>
        <w:pStyle w:val="ListParagraph"/>
        <w:numPr>
          <w:ilvl w:val="0"/>
          <w:numId w:val="2"/>
        </w:numPr>
        <w:spacing w:after="40" w:before="40" w:line="280"/>
      </w:pPr>
      <w:r>
        <w:rPr>
          <w:rFonts w:ascii="Calibri" w:cs="Calibri" w:eastAsia="Calibri" w:hAnsi="Calibri"/>
          <w:sz w:val="22"/>
          <w:szCs w:val="22"/>
        </w:rPr>
        <w:t xml:space="preserve">Architecture Decision Records (ADRs) for non-trivial choices.</w:t>
      </w:r>
    </w:p>
    <w:p>
      <w:pPr>
        <w:pStyle w:val="Heading3"/>
        <w:spacing w:after="100" w:before="200"/>
      </w:pPr>
      <w:r>
        <w:rPr>
          <w:rFonts w:ascii="Cambria" w:cs="Cambria" w:eastAsia="Cambria" w:hAnsi="Cambria"/>
          <w:b/>
          <w:bCs/>
          <w:color w:val="0064DC"/>
          <w:sz w:val="24"/>
          <w:szCs w:val="24"/>
        </w:rPr>
        <w:t xml:space="preserve">12.7  Portability</w:t>
      </w:r>
    </w:p>
    <w:p>
      <w:pPr>
        <w:pStyle w:val="ListParagraph"/>
        <w:numPr>
          <w:ilvl w:val="0"/>
          <w:numId w:val="2"/>
        </w:numPr>
        <w:spacing w:after="40" w:before="40" w:line="280"/>
      </w:pPr>
      <w:r>
        <w:rPr>
          <w:rFonts w:ascii="Calibri" w:cs="Calibri" w:eastAsia="Calibri" w:hAnsi="Calibri"/>
          <w:sz w:val="22"/>
          <w:szCs w:val="22"/>
        </w:rPr>
        <w:t xml:space="preserve">Infrastructure as code (Terraform) for provisioning; reproducible environment per region.</w:t>
      </w:r>
    </w:p>
    <w:p>
      <w:pPr>
        <w:pStyle w:val="ListParagraph"/>
        <w:numPr>
          <w:ilvl w:val="0"/>
          <w:numId w:val="2"/>
        </w:numPr>
        <w:spacing w:after="40" w:before="40" w:line="280"/>
      </w:pPr>
      <w:r>
        <w:rPr>
          <w:rFonts w:ascii="Calibri" w:cs="Calibri" w:eastAsia="Calibri" w:hAnsi="Calibri"/>
          <w:sz w:val="22"/>
          <w:szCs w:val="22"/>
        </w:rPr>
        <w:t xml:space="preserve">Container packaging where feasible for backend services; the WordPress core remains on PHP-FPM with Nginx.</w:t>
      </w:r>
    </w:p>
    <w:p>
      <w:pPr>
        <w:pStyle w:val="Heading3"/>
        <w:spacing w:after="100" w:before="200"/>
      </w:pPr>
      <w:r>
        <w:rPr>
          <w:rFonts w:ascii="Cambria" w:cs="Cambria" w:eastAsia="Cambria" w:hAnsi="Cambria"/>
          <w:b/>
          <w:bCs/>
          <w:color w:val="0064DC"/>
          <w:sz w:val="24"/>
          <w:szCs w:val="24"/>
        </w:rPr>
        <w:t xml:space="preserve">12.8  Observability</w:t>
      </w:r>
    </w:p>
    <w:p>
      <w:pPr>
        <w:pStyle w:val="ListParagraph"/>
        <w:numPr>
          <w:ilvl w:val="0"/>
          <w:numId w:val="2"/>
        </w:numPr>
        <w:spacing w:after="40" w:before="40" w:line="280"/>
      </w:pPr>
      <w:r>
        <w:rPr>
          <w:rFonts w:ascii="Calibri" w:cs="Calibri" w:eastAsia="Calibri" w:hAnsi="Calibri"/>
          <w:sz w:val="22"/>
          <w:szCs w:val="22"/>
        </w:rPr>
        <w:t xml:space="preserve">Structured JSON logging with correlation IDs.</w:t>
      </w:r>
    </w:p>
    <w:p>
      <w:pPr>
        <w:pStyle w:val="ListParagraph"/>
        <w:numPr>
          <w:ilvl w:val="0"/>
          <w:numId w:val="2"/>
        </w:numPr>
        <w:spacing w:after="40" w:before="40" w:line="280"/>
      </w:pPr>
      <w:r>
        <w:rPr>
          <w:rFonts w:ascii="Calibri" w:cs="Calibri" w:eastAsia="Calibri" w:hAnsi="Calibri"/>
          <w:sz w:val="22"/>
          <w:szCs w:val="22"/>
        </w:rPr>
        <w:t xml:space="preserve">Three-pillar telemetry: logs, metrics, traces.</w:t>
      </w:r>
    </w:p>
    <w:p>
      <w:pPr>
        <w:pStyle w:val="ListParagraph"/>
        <w:numPr>
          <w:ilvl w:val="0"/>
          <w:numId w:val="2"/>
        </w:numPr>
        <w:spacing w:after="40" w:before="40" w:line="280"/>
      </w:pPr>
      <w:r>
        <w:rPr>
          <w:rFonts w:ascii="Calibri" w:cs="Calibri" w:eastAsia="Calibri" w:hAnsi="Calibri"/>
          <w:sz w:val="22"/>
          <w:szCs w:val="22"/>
        </w:rPr>
        <w:t xml:space="preserve">Dashboards for editorial throughput, traffic quality, conversion, and security posture.</w:t>
      </w:r>
    </w:p>
    <w:p>
      <w:pPr>
        <w:pStyle w:val="Heading3"/>
        <w:spacing w:after="100" w:before="200"/>
      </w:pPr>
      <w:r>
        <w:rPr>
          <w:rFonts w:ascii="Cambria" w:cs="Cambria" w:eastAsia="Cambria" w:hAnsi="Cambria"/>
          <w:b/>
          <w:bCs/>
          <w:color w:val="0064DC"/>
          <w:sz w:val="24"/>
          <w:szCs w:val="24"/>
        </w:rPr>
        <w:t xml:space="preserve">12.9  Compliance</w:t>
      </w:r>
    </w:p>
    <w:p>
      <w:pPr>
        <w:pStyle w:val="ListParagraph"/>
        <w:numPr>
          <w:ilvl w:val="0"/>
          <w:numId w:val="2"/>
        </w:numPr>
        <w:spacing w:after="40" w:before="40" w:line="280"/>
      </w:pPr>
      <w:r>
        <w:rPr>
          <w:rFonts w:ascii="Calibri" w:cs="Calibri" w:eastAsia="Calibri" w:hAnsi="Calibri"/>
          <w:sz w:val="22"/>
          <w:szCs w:val="22"/>
        </w:rPr>
        <w:t xml:space="preserve">Conformance to ISO 27001 controls (operationally aligned, certification deferred).</w:t>
      </w:r>
    </w:p>
    <w:p>
      <w:pPr>
        <w:pStyle w:val="ListParagraph"/>
        <w:numPr>
          <w:ilvl w:val="0"/>
          <w:numId w:val="2"/>
        </w:numPr>
        <w:spacing w:after="40" w:before="40" w:line="280"/>
      </w:pPr>
      <w:r>
        <w:rPr>
          <w:rFonts w:ascii="Calibri" w:cs="Calibri" w:eastAsia="Calibri" w:hAnsi="Calibri"/>
          <w:sz w:val="22"/>
          <w:szCs w:val="22"/>
        </w:rPr>
        <w:t xml:space="preserve">WCAG 2.1 AA conformance audited by an independent third party.</w:t>
      </w:r>
    </w:p>
    <w:p>
      <w:pPr>
        <w:pStyle w:val="ListParagraph"/>
        <w:numPr>
          <w:ilvl w:val="0"/>
          <w:numId w:val="2"/>
        </w:numPr>
        <w:spacing w:after="40" w:before="40" w:line="280"/>
      </w:pPr>
      <w:r>
        <w:rPr>
          <w:rFonts w:ascii="Calibri" w:cs="Calibri" w:eastAsia="Calibri" w:hAnsi="Calibri"/>
          <w:sz w:val="22"/>
          <w:szCs w:val="22"/>
        </w:rPr>
        <w:t xml:space="preserve">Disclosure-related content under change control with a four-eyes principle.</w:t>
      </w:r>
    </w:p>
    <w:p>
      <w:r>
        <w:br w:type="page"/>
      </w:r>
    </w:p>
    <w:p>
      <w:pPr>
        <w:pStyle w:val="Heading1"/>
        <w:spacing w:after="180" w:before="360"/>
      </w:pPr>
      <w:r>
        <w:rPr>
          <w:rFonts w:ascii="Cambria" w:cs="Cambria" w:eastAsia="Cambria" w:hAnsi="Cambria"/>
          <w:b/>
          <w:bCs/>
          <w:color w:val="1B3A5C"/>
          <w:sz w:val="36"/>
          <w:szCs w:val="36"/>
        </w:rPr>
        <w:t xml:space="preserve">13.  Content Strategy &amp; Editorial Plan</w:t>
      </w:r>
    </w:p>
    <w:p>
      <w:pPr>
        <w:pStyle w:val="Heading3"/>
        <w:spacing w:after="100" w:before="200"/>
      </w:pPr>
      <w:r>
        <w:rPr>
          <w:rFonts w:ascii="Cambria" w:cs="Cambria" w:eastAsia="Cambria" w:hAnsi="Cambria"/>
          <w:b/>
          <w:bCs/>
          <w:color w:val="0064DC"/>
          <w:sz w:val="24"/>
          <w:szCs w:val="24"/>
        </w:rPr>
        <w:t xml:space="preserve">13.1  Voice and Tone</w:t>
      </w:r>
    </w:p>
    <w:p>
      <w:pPr>
        <w:spacing w:after="60" w:before="60" w:line="300"/>
        <w:jc w:val="both"/>
      </w:pPr>
      <w:r>
        <w:rPr>
          <w:rFonts w:ascii="Calibri" w:cs="Calibri" w:eastAsia="Calibri" w:hAnsi="Calibri"/>
          <w:sz w:val="22"/>
          <w:szCs w:val="22"/>
        </w:rPr>
        <w:t xml:space="preserve">The Master Website speaks in a single voice: formal, confident, civilizationally grounded. The voice draws on the Group’s positioning as an Industrial Universe, but does not lapse into hyperbole. Where statutory disclosures intervene, the language reproduces the regulatory filing verbatim. Where editorial latitude exists, the voice is deliberate, plain-spoken and never performative.</w:t>
      </w:r>
    </w:p>
    <w:p>
      <w:pPr>
        <w:pStyle w:val="Heading3"/>
        <w:spacing w:after="100" w:before="200"/>
      </w:pPr>
      <w:r>
        <w:rPr>
          <w:rFonts w:ascii="Cambria" w:cs="Cambria" w:eastAsia="Cambria" w:hAnsi="Cambria"/>
          <w:b/>
          <w:bCs/>
          <w:color w:val="0064DC"/>
          <w:sz w:val="24"/>
          <w:szCs w:val="24"/>
        </w:rPr>
        <w:t xml:space="preserve">13.2  Editorial Pillars</w:t>
      </w:r>
    </w:p>
    <w:p>
      <w:pPr>
        <w:pStyle w:val="ListParagraph"/>
        <w:numPr>
          <w:ilvl w:val="0"/>
          <w:numId w:val="2"/>
        </w:numPr>
        <w:spacing w:after="40" w:before="40" w:line="280"/>
      </w:pPr>
      <w:r>
        <w:rPr>
          <w:rFonts w:ascii="Calibri" w:cs="Calibri" w:eastAsia="Calibri" w:hAnsi="Calibri"/>
          <w:sz w:val="22"/>
          <w:szCs w:val="22"/>
        </w:rPr>
        <w:t xml:space="preserve">Group Identity — who we are, why we exist, what we stand for.</w:t>
      </w:r>
    </w:p>
    <w:p>
      <w:pPr>
        <w:pStyle w:val="ListParagraph"/>
        <w:numPr>
          <w:ilvl w:val="0"/>
          <w:numId w:val="2"/>
        </w:numPr>
        <w:spacing w:after="40" w:before="40" w:line="280"/>
      </w:pPr>
      <w:r>
        <w:rPr>
          <w:rFonts w:ascii="Calibri" w:cs="Calibri" w:eastAsia="Calibri" w:hAnsi="Calibri"/>
          <w:sz w:val="22"/>
          <w:szCs w:val="22"/>
        </w:rPr>
        <w:t xml:space="preserve">Industrial Universe — the 23 entities and how they connect.</w:t>
      </w:r>
    </w:p>
    <w:p>
      <w:pPr>
        <w:pStyle w:val="ListParagraph"/>
        <w:numPr>
          <w:ilvl w:val="0"/>
          <w:numId w:val="2"/>
        </w:numPr>
        <w:spacing w:after="40" w:before="40" w:line="280"/>
      </w:pPr>
      <w:r>
        <w:rPr>
          <w:rFonts w:ascii="Calibri" w:cs="Calibri" w:eastAsia="Calibri" w:hAnsi="Calibri"/>
          <w:sz w:val="22"/>
          <w:szCs w:val="22"/>
        </w:rPr>
        <w:t xml:space="preserve">Mission — the six-mission Mission Gold Bird India portfolio and its impact.</w:t>
      </w:r>
    </w:p>
    <w:p>
      <w:pPr>
        <w:pStyle w:val="ListParagraph"/>
        <w:numPr>
          <w:ilvl w:val="0"/>
          <w:numId w:val="2"/>
        </w:numPr>
        <w:spacing w:after="40" w:before="40" w:line="280"/>
      </w:pPr>
      <w:r>
        <w:rPr>
          <w:rFonts w:ascii="Calibri" w:cs="Calibri" w:eastAsia="Calibri" w:hAnsi="Calibri"/>
          <w:sz w:val="22"/>
          <w:szCs w:val="22"/>
        </w:rPr>
        <w:t xml:space="preserve">Investors — strategy, governance, finance, fundraise, ESG.</w:t>
      </w:r>
    </w:p>
    <w:p>
      <w:pPr>
        <w:pStyle w:val="ListParagraph"/>
        <w:numPr>
          <w:ilvl w:val="0"/>
          <w:numId w:val="2"/>
        </w:numPr>
        <w:spacing w:after="40" w:before="40" w:line="280"/>
      </w:pPr>
      <w:r>
        <w:rPr>
          <w:rFonts w:ascii="Calibri" w:cs="Calibri" w:eastAsia="Calibri" w:hAnsi="Calibri"/>
          <w:sz w:val="22"/>
          <w:szCs w:val="22"/>
        </w:rPr>
        <w:t xml:space="preserve">Capability — sectoral and functional depth across the Group.</w:t>
      </w:r>
    </w:p>
    <w:p>
      <w:pPr>
        <w:pStyle w:val="ListParagraph"/>
        <w:numPr>
          <w:ilvl w:val="0"/>
          <w:numId w:val="2"/>
        </w:numPr>
        <w:spacing w:after="40" w:before="40" w:line="280"/>
      </w:pPr>
      <w:r>
        <w:rPr>
          <w:rFonts w:ascii="Calibri" w:cs="Calibri" w:eastAsia="Calibri" w:hAnsi="Calibri"/>
          <w:sz w:val="22"/>
          <w:szCs w:val="22"/>
        </w:rPr>
        <w:t xml:space="preserve">People — leadership, culture, opportunity.</w:t>
      </w:r>
    </w:p>
    <w:p>
      <w:pPr>
        <w:pStyle w:val="ListParagraph"/>
        <w:numPr>
          <w:ilvl w:val="0"/>
          <w:numId w:val="2"/>
        </w:numPr>
        <w:spacing w:after="40" w:before="40" w:line="280"/>
      </w:pPr>
      <w:r>
        <w:rPr>
          <w:rFonts w:ascii="Calibri" w:cs="Calibri" w:eastAsia="Calibri" w:hAnsi="Calibri"/>
          <w:sz w:val="22"/>
          <w:szCs w:val="22"/>
        </w:rPr>
        <w:t xml:space="preserve">Public Good — mission outcomes, beneficiary stories, ESG narrative.</w:t>
      </w:r>
    </w:p>
    <w:p>
      <w:pPr>
        <w:pStyle w:val="Heading3"/>
        <w:spacing w:after="100" w:before="200"/>
      </w:pPr>
      <w:r>
        <w:rPr>
          <w:rFonts w:ascii="Cambria" w:cs="Cambria" w:eastAsia="Cambria" w:hAnsi="Cambria"/>
          <w:b/>
          <w:bCs/>
          <w:color w:val="0064DC"/>
          <w:sz w:val="24"/>
          <w:szCs w:val="24"/>
        </w:rPr>
        <w:t xml:space="preserve">13.3  Content Inventory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rPr>
          <w:tblHeader/>
        </w:trPr>
        <w:tc>
          <w:tcPr>
            <w:tcW w:type="dxa" w:w="3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Content Type</w:t>
            </w:r>
          </w:p>
        </w:tc>
        <w:tc>
          <w:tcPr>
            <w:tcW w:type="dxa" w:w="17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Count</w:t>
            </w:r>
          </w:p>
        </w:tc>
        <w:tc>
          <w:tcPr>
            <w:tcW w:type="dxa" w:w="43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Notes</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narrative pages</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9</w:t>
            </w:r>
          </w:p>
        </w:tc>
        <w:tc>
          <w:tcPr>
            <w:tcW w:type="dxa" w:w="4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 IA §7.3.1</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Sector pages</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16</w:t>
            </w:r>
          </w:p>
        </w:tc>
        <w:tc>
          <w:tcPr>
            <w:tcW w:type="dxa" w:w="4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One per sector</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Capability pages</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4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One per capability</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pages</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23</w:t>
            </w:r>
          </w:p>
        </w:tc>
        <w:tc>
          <w:tcPr>
            <w:tcW w:type="dxa" w:w="4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One per entity</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Mission pages</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w:t>
            </w:r>
          </w:p>
        </w:tc>
        <w:tc>
          <w:tcPr>
            <w:tcW w:type="dxa" w:w="4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Six missions + umbrella + impact</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Investor pages</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7</w:t>
            </w:r>
          </w:p>
        </w:tc>
        <w:tc>
          <w:tcPr>
            <w:tcW w:type="dxa" w:w="4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 IA §7.3.4</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Partners pages</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7</w:t>
            </w:r>
          </w:p>
        </w:tc>
        <w:tc>
          <w:tcPr>
            <w:tcW w:type="dxa" w:w="4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 IA §7.3.5</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Careers pages</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4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 IA §7.3.6</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Newsroom pages</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7</w:t>
            </w:r>
          </w:p>
        </w:tc>
        <w:tc>
          <w:tcPr>
            <w:tcW w:type="dxa" w:w="4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 IA §7.3.7</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releases (seed)</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12</w:t>
            </w:r>
          </w:p>
        </w:tc>
        <w:tc>
          <w:tcPr>
            <w:tcW w:type="dxa" w:w="4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Backfilled from past announcements</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Viewpoint articles (seed)</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4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One per editorial pillar</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Mission stories (seed)</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12</w:t>
            </w:r>
          </w:p>
        </w:tc>
        <w:tc>
          <w:tcPr>
            <w:tcW w:type="dxa" w:w="4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Two per mission</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Disclosure documents (seed)</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w:t>
            </w:r>
          </w:p>
        </w:tc>
        <w:tc>
          <w:tcPr>
            <w:tcW w:type="dxa" w:w="4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Quarterly + governance documents</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FAQ entries (seed)</w:t>
            </w:r>
          </w:p>
        </w:tc>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40</w:t>
            </w:r>
          </w:p>
        </w:tc>
        <w:tc>
          <w:tcPr>
            <w:tcW w:type="dxa" w:w="43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Investor, partner, vendor, buyer, talent FAQ</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Statutory texts</w:t>
            </w:r>
          </w:p>
        </w:tc>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5</w:t>
            </w:r>
          </w:p>
        </w:tc>
        <w:tc>
          <w:tcPr>
            <w:tcW w:type="dxa" w:w="43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Terms, Privacy, Cookies, Whistleblower, Disclaimer</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13.4  Editorial Workflow</w:t>
      </w:r>
    </w:p>
    <w:p>
      <w:pPr>
        <w:pStyle w:val="ListParagraph"/>
        <w:numPr>
          <w:ilvl w:val="0"/>
          <w:numId w:val="3"/>
        </w:numPr>
        <w:spacing w:after="40" w:before="40" w:line="280"/>
      </w:pPr>
      <w:r>
        <w:rPr>
          <w:rFonts w:ascii="Calibri" w:cs="Calibri" w:eastAsia="Calibri" w:hAnsi="Calibri"/>
          <w:sz w:val="22"/>
          <w:szCs w:val="22"/>
        </w:rPr>
        <w:t xml:space="preserve">Brief: editorial lead writes a one-page brief identifying purpose, audience, KPIs.</w:t>
      </w:r>
    </w:p>
    <w:p>
      <w:pPr>
        <w:pStyle w:val="ListParagraph"/>
        <w:numPr>
          <w:ilvl w:val="0"/>
          <w:numId w:val="3"/>
        </w:numPr>
        <w:spacing w:after="40" w:before="40" w:line="280"/>
      </w:pPr>
      <w:r>
        <w:rPr>
          <w:rFonts w:ascii="Calibri" w:cs="Calibri" w:eastAsia="Calibri" w:hAnsi="Calibri"/>
          <w:sz w:val="22"/>
          <w:szCs w:val="22"/>
        </w:rPr>
        <w:t xml:space="preserve">Author: a primary author drafts to the Style Guide v2.</w:t>
      </w:r>
    </w:p>
    <w:p>
      <w:pPr>
        <w:pStyle w:val="ListParagraph"/>
        <w:numPr>
          <w:ilvl w:val="0"/>
          <w:numId w:val="3"/>
        </w:numPr>
        <w:spacing w:after="40" w:before="40" w:line="280"/>
      </w:pPr>
      <w:r>
        <w:rPr>
          <w:rFonts w:ascii="Calibri" w:cs="Calibri" w:eastAsia="Calibri" w:hAnsi="Calibri"/>
          <w:sz w:val="22"/>
          <w:szCs w:val="22"/>
        </w:rPr>
        <w:t xml:space="preserve">Review: editorial review for clarity, voice and accuracy.</w:t>
      </w:r>
    </w:p>
    <w:p>
      <w:pPr>
        <w:pStyle w:val="ListParagraph"/>
        <w:numPr>
          <w:ilvl w:val="0"/>
          <w:numId w:val="3"/>
        </w:numPr>
        <w:spacing w:after="40" w:before="40" w:line="280"/>
      </w:pPr>
      <w:r>
        <w:rPr>
          <w:rFonts w:ascii="Calibri" w:cs="Calibri" w:eastAsia="Calibri" w:hAnsi="Calibri"/>
          <w:sz w:val="22"/>
          <w:szCs w:val="22"/>
        </w:rPr>
        <w:t xml:space="preserve">Legal Review: where statutory or regulatory content is involved.</w:t>
      </w:r>
    </w:p>
    <w:p>
      <w:pPr>
        <w:pStyle w:val="ListParagraph"/>
        <w:numPr>
          <w:ilvl w:val="0"/>
          <w:numId w:val="3"/>
        </w:numPr>
        <w:spacing w:after="40" w:before="40" w:line="280"/>
      </w:pPr>
      <w:r>
        <w:rPr>
          <w:rFonts w:ascii="Calibri" w:cs="Calibri" w:eastAsia="Calibri" w:hAnsi="Calibri"/>
          <w:sz w:val="22"/>
          <w:szCs w:val="22"/>
        </w:rPr>
        <w:t xml:space="preserve">Approve: programme owner approves; sponsor for major narrative pages.</w:t>
      </w:r>
    </w:p>
    <w:p>
      <w:pPr>
        <w:pStyle w:val="ListParagraph"/>
        <w:numPr>
          <w:ilvl w:val="0"/>
          <w:numId w:val="3"/>
        </w:numPr>
        <w:spacing w:after="40" w:before="40" w:line="280"/>
      </w:pPr>
      <w:r>
        <w:rPr>
          <w:rFonts w:ascii="Calibri" w:cs="Calibri" w:eastAsia="Calibri" w:hAnsi="Calibri"/>
          <w:sz w:val="22"/>
          <w:szCs w:val="22"/>
        </w:rPr>
        <w:t xml:space="preserve">Schedule: scheduled with hreflang and translation tasks if applicable.</w:t>
      </w:r>
    </w:p>
    <w:p>
      <w:pPr>
        <w:pStyle w:val="ListParagraph"/>
        <w:numPr>
          <w:ilvl w:val="0"/>
          <w:numId w:val="3"/>
        </w:numPr>
        <w:spacing w:after="40" w:before="40" w:line="280"/>
      </w:pPr>
      <w:r>
        <w:rPr>
          <w:rFonts w:ascii="Calibri" w:cs="Calibri" w:eastAsia="Calibri" w:hAnsi="Calibri"/>
          <w:sz w:val="22"/>
          <w:szCs w:val="22"/>
        </w:rPr>
        <w:t xml:space="preserve">Publish &amp; Monitor: post-publish review at 7, 30, 90 days against KPIs.</w:t>
      </w:r>
    </w:p>
    <w:p>
      <w:pPr>
        <w:pStyle w:val="Heading3"/>
        <w:spacing w:after="100" w:before="200"/>
      </w:pPr>
      <w:r>
        <w:rPr>
          <w:rFonts w:ascii="Cambria" w:cs="Cambria" w:eastAsia="Cambria" w:hAnsi="Cambria"/>
          <w:b/>
          <w:bCs/>
          <w:color w:val="0064DC"/>
          <w:sz w:val="24"/>
          <w:szCs w:val="24"/>
        </w:rPr>
        <w:t xml:space="preserve">13.5  Editorial Cadence</w:t>
      </w:r>
    </w:p>
    <w:p>
      <w:pPr>
        <w:pStyle w:val="ListParagraph"/>
        <w:numPr>
          <w:ilvl w:val="0"/>
          <w:numId w:val="2"/>
        </w:numPr>
        <w:spacing w:after="40" w:before="40" w:line="280"/>
      </w:pPr>
      <w:r>
        <w:rPr>
          <w:rFonts w:ascii="Calibri" w:cs="Calibri" w:eastAsia="Calibri" w:hAnsi="Calibri"/>
          <w:sz w:val="22"/>
          <w:szCs w:val="22"/>
        </w:rPr>
        <w:t xml:space="preserve">Press release: as events warrant, target 4–6 per month at steady state.</w:t>
      </w:r>
    </w:p>
    <w:p>
      <w:pPr>
        <w:pStyle w:val="ListParagraph"/>
        <w:numPr>
          <w:ilvl w:val="0"/>
          <w:numId w:val="2"/>
        </w:numPr>
        <w:spacing w:after="40" w:before="40" w:line="280"/>
      </w:pPr>
      <w:r>
        <w:rPr>
          <w:rFonts w:ascii="Calibri" w:cs="Calibri" w:eastAsia="Calibri" w:hAnsi="Calibri"/>
          <w:sz w:val="22"/>
          <w:szCs w:val="22"/>
        </w:rPr>
        <w:t xml:space="preserve">Viewpoint article: 2 per month.</w:t>
      </w:r>
    </w:p>
    <w:p>
      <w:pPr>
        <w:pStyle w:val="ListParagraph"/>
        <w:numPr>
          <w:ilvl w:val="0"/>
          <w:numId w:val="2"/>
        </w:numPr>
        <w:spacing w:after="40" w:before="40" w:line="280"/>
      </w:pPr>
      <w:r>
        <w:rPr>
          <w:rFonts w:ascii="Calibri" w:cs="Calibri" w:eastAsia="Calibri" w:hAnsi="Calibri"/>
          <w:sz w:val="22"/>
          <w:szCs w:val="22"/>
        </w:rPr>
        <w:t xml:space="preserve">Mission story: 2 per month.</w:t>
      </w:r>
    </w:p>
    <w:p>
      <w:pPr>
        <w:pStyle w:val="ListParagraph"/>
        <w:numPr>
          <w:ilvl w:val="0"/>
          <w:numId w:val="2"/>
        </w:numPr>
        <w:spacing w:after="40" w:before="40" w:line="280"/>
      </w:pPr>
      <w:r>
        <w:rPr>
          <w:rFonts w:ascii="Calibri" w:cs="Calibri" w:eastAsia="Calibri" w:hAnsi="Calibri"/>
          <w:sz w:val="22"/>
          <w:szCs w:val="22"/>
        </w:rPr>
        <w:t xml:space="preserve">Disclosure: per regulatory cadence.</w:t>
      </w:r>
    </w:p>
    <w:p>
      <w:pPr>
        <w:pStyle w:val="ListParagraph"/>
        <w:numPr>
          <w:ilvl w:val="0"/>
          <w:numId w:val="2"/>
        </w:numPr>
        <w:spacing w:after="40" w:before="40" w:line="280"/>
      </w:pPr>
      <w:r>
        <w:rPr>
          <w:rFonts w:ascii="Calibri" w:cs="Calibri" w:eastAsia="Calibri" w:hAnsi="Calibri"/>
          <w:sz w:val="22"/>
          <w:szCs w:val="22"/>
        </w:rPr>
        <w:t xml:space="preserve">FAQ: rolling updates with weekly publication.</w:t>
      </w:r>
    </w:p>
    <w:p>
      <w:pPr>
        <w:pStyle w:val="Heading3"/>
        <w:spacing w:after="100" w:before="200"/>
      </w:pPr>
      <w:r>
        <w:rPr>
          <w:rFonts w:ascii="Cambria" w:cs="Cambria" w:eastAsia="Cambria" w:hAnsi="Cambria"/>
          <w:b/>
          <w:bCs/>
          <w:color w:val="0064DC"/>
          <w:sz w:val="24"/>
          <w:szCs w:val="24"/>
        </w:rPr>
        <w:t xml:space="preserve">13.6  Translation &amp; Localisation</w:t>
      </w:r>
    </w:p>
    <w:p>
      <w:pPr>
        <w:pStyle w:val="ListParagraph"/>
        <w:numPr>
          <w:ilvl w:val="0"/>
          <w:numId w:val="2"/>
        </w:numPr>
        <w:spacing w:after="40" w:before="40" w:line="280"/>
      </w:pPr>
      <w:r>
        <w:rPr>
          <w:rFonts w:ascii="Calibri" w:cs="Calibri" w:eastAsia="Calibri" w:hAnsi="Calibri"/>
          <w:sz w:val="22"/>
          <w:szCs w:val="22"/>
        </w:rPr>
        <w:t xml:space="preserve">Phase 1 (launch): English. Phase 2: Hindi and Gujarati. Phase 3: Marathi and Tamil.</w:t>
      </w:r>
    </w:p>
    <w:p>
      <w:pPr>
        <w:pStyle w:val="ListParagraph"/>
        <w:numPr>
          <w:ilvl w:val="0"/>
          <w:numId w:val="2"/>
        </w:numPr>
        <w:spacing w:after="40" w:before="40" w:line="280"/>
      </w:pPr>
      <w:r>
        <w:rPr>
          <w:rFonts w:ascii="Calibri" w:cs="Calibri" w:eastAsia="Calibri" w:hAnsi="Calibri"/>
          <w:sz w:val="22"/>
          <w:szCs w:val="22"/>
        </w:rPr>
        <w:t xml:space="preserve">Translation memory shared across the Group digital estate.</w:t>
      </w:r>
    </w:p>
    <w:p>
      <w:pPr>
        <w:pStyle w:val="ListParagraph"/>
        <w:numPr>
          <w:ilvl w:val="0"/>
          <w:numId w:val="2"/>
        </w:numPr>
        <w:spacing w:after="40" w:before="40" w:line="280"/>
      </w:pPr>
      <w:r>
        <w:rPr>
          <w:rFonts w:ascii="Calibri" w:cs="Calibri" w:eastAsia="Calibri" w:hAnsi="Calibri"/>
          <w:sz w:val="22"/>
          <w:szCs w:val="22"/>
        </w:rPr>
        <w:t xml:space="preserve">Statutory and disclosure documents are not auto-translated; legal review precedes any non-English publication.</w:t>
      </w:r>
    </w:p>
    <w:p>
      <w:pPr>
        <w:pStyle w:val="Heading3"/>
        <w:spacing w:after="100" w:before="200"/>
      </w:pPr>
      <w:r>
        <w:rPr>
          <w:rFonts w:ascii="Cambria" w:cs="Cambria" w:eastAsia="Cambria" w:hAnsi="Cambria"/>
          <w:b/>
          <w:bCs/>
          <w:color w:val="0064DC"/>
          <w:sz w:val="24"/>
          <w:szCs w:val="24"/>
        </w:rPr>
        <w:t xml:space="preserve">13.7  SEO Content Programme</w:t>
      </w:r>
    </w:p>
    <w:p>
      <w:pPr>
        <w:pStyle w:val="ListParagraph"/>
        <w:numPr>
          <w:ilvl w:val="0"/>
          <w:numId w:val="2"/>
        </w:numPr>
        <w:spacing w:after="40" w:before="40" w:line="280"/>
      </w:pPr>
      <w:r>
        <w:rPr>
          <w:rFonts w:ascii="Calibri" w:cs="Calibri" w:eastAsia="Calibri" w:hAnsi="Calibri"/>
          <w:sz w:val="22"/>
          <w:szCs w:val="22"/>
        </w:rPr>
        <w:t xml:space="preserve">Topic clusters anchored to the Group narrative (Industrial Universe, Investing in Bharat, Mission-led Industry).</w:t>
      </w:r>
    </w:p>
    <w:p>
      <w:pPr>
        <w:pStyle w:val="ListParagraph"/>
        <w:numPr>
          <w:ilvl w:val="0"/>
          <w:numId w:val="2"/>
        </w:numPr>
        <w:spacing w:after="40" w:before="40" w:line="280"/>
      </w:pPr>
      <w:r>
        <w:rPr>
          <w:rFonts w:ascii="Calibri" w:cs="Calibri" w:eastAsia="Calibri" w:hAnsi="Calibri"/>
          <w:sz w:val="22"/>
          <w:szCs w:val="22"/>
        </w:rPr>
        <w:t xml:space="preserve">Internal linking discipline: every published page links to at least three contextually related pages.</w:t>
      </w:r>
    </w:p>
    <w:p>
      <w:pPr>
        <w:pStyle w:val="ListParagraph"/>
        <w:numPr>
          <w:ilvl w:val="0"/>
          <w:numId w:val="2"/>
        </w:numPr>
        <w:spacing w:after="40" w:before="40" w:line="280"/>
      </w:pPr>
      <w:r>
        <w:rPr>
          <w:rFonts w:ascii="Calibri" w:cs="Calibri" w:eastAsia="Calibri" w:hAnsi="Calibri"/>
          <w:sz w:val="22"/>
          <w:szCs w:val="22"/>
        </w:rPr>
        <w:t xml:space="preserve">Schema markup audited monthly via Search Console; Core Web Vitals monitored via the operational dashboard.</w:t>
      </w:r>
    </w:p>
    <w:p>
      <w:r>
        <w:br w:type="page"/>
      </w:r>
    </w:p>
    <w:p>
      <w:pPr>
        <w:pStyle w:val="Heading1"/>
        <w:spacing w:after="180" w:before="360"/>
      </w:pPr>
      <w:r>
        <w:rPr>
          <w:rFonts w:ascii="Cambria" w:cs="Cambria" w:eastAsia="Cambria" w:hAnsi="Cambria"/>
          <w:b/>
          <w:bCs/>
          <w:color w:val="1B3A5C"/>
          <w:sz w:val="36"/>
          <w:szCs w:val="36"/>
        </w:rPr>
        <w:t xml:space="preserve">14.  Technology Architecture</w:t>
      </w:r>
    </w:p>
    <w:p>
      <w:pPr>
        <w:pStyle w:val="Heading3"/>
        <w:spacing w:after="100" w:before="200"/>
      </w:pPr>
      <w:r>
        <w:rPr>
          <w:rFonts w:ascii="Cambria" w:cs="Cambria" w:eastAsia="Cambria" w:hAnsi="Cambria"/>
          <w:b/>
          <w:bCs/>
          <w:color w:val="0064DC"/>
          <w:sz w:val="24"/>
          <w:szCs w:val="24"/>
        </w:rPr>
        <w:t xml:space="preserve">14.1  Architecture Overview</w:t>
      </w:r>
    </w:p>
    <w:p>
      <w:pPr>
        <w:spacing w:after="60" w:before="60" w:line="300"/>
        <w:jc w:val="both"/>
      </w:pPr>
      <w:r>
        <w:rPr>
          <w:rFonts w:ascii="Calibri" w:cs="Calibri" w:eastAsia="Calibri" w:hAnsi="Calibri"/>
          <w:sz w:val="22"/>
          <w:szCs w:val="22"/>
        </w:rPr>
        <w:t xml:space="preserve">The Master Website follows a service-augmented WordPress architecture. WordPress remains the editorial plane and the principal page renderer (PHP 8.x) but is supplemented by independent backend services in Python (FastAPI) for classification and routing, and Node.js (Express) for real-time integrations and webhooks. Persistent state lives in PostgreSQL with Redis for caching and DynamoDB for high-write event logs. The estate is fronted by Cloudflare for CDN, WAF and DDoS protection.</w:t>
      </w:r>
    </w:p>
    <w:p>
      <w:pPr>
        <w:pStyle w:val="Heading3"/>
        <w:spacing w:after="100" w:before="200"/>
      </w:pPr>
      <w:r>
        <w:rPr>
          <w:rFonts w:ascii="Cambria" w:cs="Cambria" w:eastAsia="Cambria" w:hAnsi="Cambria"/>
          <w:b/>
          <w:bCs/>
          <w:color w:val="0064DC"/>
          <w:sz w:val="24"/>
          <w:szCs w:val="24"/>
        </w:rPr>
        <w:t xml:space="preserve">14.2  Logical Architecture (Component View)</w:t>
      </w:r>
    </w:p>
    <w:p>
      <w:pPr>
        <w:pStyle w:val="ListParagraph"/>
        <w:numPr>
          <w:ilvl w:val="0"/>
          <w:numId w:val="2"/>
        </w:numPr>
        <w:spacing w:after="40" w:before="40" w:line="280"/>
      </w:pPr>
      <w:r>
        <w:rPr>
          <w:rFonts w:ascii="Calibri" w:cs="Calibri" w:eastAsia="Calibri" w:hAnsi="Calibri"/>
          <w:sz w:val="22"/>
          <w:szCs w:val="22"/>
        </w:rPr>
        <w:t xml:space="preserve">Edge layer: Cloudflare CDN, WAF, bot management, image optimisation.</w:t>
      </w:r>
    </w:p>
    <w:p>
      <w:pPr>
        <w:pStyle w:val="ListParagraph"/>
        <w:numPr>
          <w:ilvl w:val="0"/>
          <w:numId w:val="2"/>
        </w:numPr>
        <w:spacing w:after="40" w:before="40" w:line="280"/>
      </w:pPr>
      <w:r>
        <w:rPr>
          <w:rFonts w:ascii="Calibri" w:cs="Calibri" w:eastAsia="Calibri" w:hAnsi="Calibri"/>
          <w:sz w:val="22"/>
          <w:szCs w:val="22"/>
        </w:rPr>
        <w:t xml:space="preserve">Web tier: PHP 8.x / WordPress 6.x with Induscity Child theme, behind Nginx, served from auto-scaling instances.</w:t>
      </w:r>
    </w:p>
    <w:p>
      <w:pPr>
        <w:pStyle w:val="ListParagraph"/>
        <w:numPr>
          <w:ilvl w:val="0"/>
          <w:numId w:val="2"/>
        </w:numPr>
        <w:spacing w:after="40" w:before="40" w:line="280"/>
      </w:pPr>
      <w:r>
        <w:rPr>
          <w:rFonts w:ascii="Calibri" w:cs="Calibri" w:eastAsia="Calibri" w:hAnsi="Calibri"/>
          <w:sz w:val="22"/>
          <w:szCs w:val="22"/>
        </w:rPr>
        <w:t xml:space="preserve">Service tier: FastAPI service for form classification and CRM routing; Express service for ATS integration, webhook receivers and search proxies.</w:t>
      </w:r>
    </w:p>
    <w:p>
      <w:pPr>
        <w:pStyle w:val="ListParagraph"/>
        <w:numPr>
          <w:ilvl w:val="0"/>
          <w:numId w:val="2"/>
        </w:numPr>
        <w:spacing w:after="40" w:before="40" w:line="280"/>
      </w:pPr>
      <w:r>
        <w:rPr>
          <w:rFonts w:ascii="Calibri" w:cs="Calibri" w:eastAsia="Calibri" w:hAnsi="Calibri"/>
          <w:sz w:val="22"/>
          <w:szCs w:val="22"/>
        </w:rPr>
        <w:t xml:space="preserve">Search: managed OpenSearch cluster (single-region with snapshot-based DR).</w:t>
      </w:r>
    </w:p>
    <w:p>
      <w:pPr>
        <w:pStyle w:val="ListParagraph"/>
        <w:numPr>
          <w:ilvl w:val="0"/>
          <w:numId w:val="2"/>
        </w:numPr>
        <w:spacing w:after="40" w:before="40" w:line="280"/>
      </w:pPr>
      <w:r>
        <w:rPr>
          <w:rFonts w:ascii="Calibri" w:cs="Calibri" w:eastAsia="Calibri" w:hAnsi="Calibri"/>
          <w:sz w:val="22"/>
          <w:szCs w:val="22"/>
        </w:rPr>
        <w:t xml:space="preserve">Data tier: PostgreSQL primary (RDS) with one read replica; Redis (ElastiCache) for cache and session; DynamoDB for event logs.</w:t>
      </w:r>
    </w:p>
    <w:p>
      <w:pPr>
        <w:pStyle w:val="ListParagraph"/>
        <w:numPr>
          <w:ilvl w:val="0"/>
          <w:numId w:val="2"/>
        </w:numPr>
        <w:spacing w:after="40" w:before="40" w:line="280"/>
      </w:pPr>
      <w:r>
        <w:rPr>
          <w:rFonts w:ascii="Calibri" w:cs="Calibri" w:eastAsia="Calibri" w:hAnsi="Calibri"/>
          <w:sz w:val="22"/>
          <w:szCs w:val="22"/>
        </w:rPr>
        <w:t xml:space="preserve">Identity: AWS IAM for infrastructure; Group SSO (OIDC) for editorial users.</w:t>
      </w:r>
    </w:p>
    <w:p>
      <w:pPr>
        <w:pStyle w:val="ListParagraph"/>
        <w:numPr>
          <w:ilvl w:val="0"/>
          <w:numId w:val="2"/>
        </w:numPr>
        <w:spacing w:after="40" w:before="40" w:line="280"/>
      </w:pPr>
      <w:r>
        <w:rPr>
          <w:rFonts w:ascii="Calibri" w:cs="Calibri" w:eastAsia="Calibri" w:hAnsi="Calibri"/>
          <w:sz w:val="22"/>
          <w:szCs w:val="22"/>
        </w:rPr>
        <w:t xml:space="preserve">Observability: CloudWatch for infrastructure metrics; Sentry for application errors; structured JSON logs to a central sink.</w:t>
      </w:r>
    </w:p>
    <w:p>
      <w:pPr>
        <w:pStyle w:val="Heading3"/>
        <w:spacing w:after="100" w:before="200"/>
      </w:pPr>
      <w:r>
        <w:rPr>
          <w:rFonts w:ascii="Cambria" w:cs="Cambria" w:eastAsia="Cambria" w:hAnsi="Cambria"/>
          <w:b/>
          <w:bCs/>
          <w:color w:val="0064DC"/>
          <w:sz w:val="24"/>
          <w:szCs w:val="24"/>
        </w:rPr>
        <w:t xml:space="preserve">14.3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Layer</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Choice</w:t>
            </w:r>
          </w:p>
        </w:tc>
        <w:tc>
          <w:tcPr>
            <w:tcW w:type="dxa" w:w="45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Rationale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Frontend</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PHP 8.x + WordPress 6.x + Induscity Child</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maturity; team familiarity; rapid template authoring</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Backend services</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Python 3.11 (FastAPI)</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Strong typing, async, well-suited for routing logic</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Backend services</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Node.js 20 (Express)</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Webhook performance, ecosystem fit</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Primary DB</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PostgreSQL 16 (RDS)</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standard; ACID; rich indexing</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Cache</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Redis 7 (ElastiCache)</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Page cache, session, rate limiting</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Event log</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DynamoDB</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High-write, predictable latency</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Search</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OpenSearch 2.x</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Fully managed, horizontally scalable</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Edge</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Cloudflare</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CDN, WAF, DDoS, image optimisation</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IaC</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Terraform 1.x</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Declarative provisioning</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CI/CD</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GitHub Actions</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Standard pipelines, OIDC to AWS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Monitoring</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CloudWatch + Sentry</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Infrastructure + application coverage</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14.4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Environment</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Purpose</w:t>
            </w:r>
          </w:p>
        </w:tc>
        <w:tc>
          <w:tcPr>
            <w:tcW w:type="dxa" w:w="47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Notes</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Development</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Engineer workstations</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Docker-compose; test data only</w:t>
            </w:r>
          </w:p>
        </w:tc>
      </w:tr>
      <w:tr>
        <w:trPr>
          <w:tblHeader w:val="false"/>
        </w:trPr>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Integration</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Continuous build target</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Mirrors production architecture; synthetic data</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Staging</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UAT</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Production parity; pre-production data</w:t>
            </w:r>
          </w:p>
        </w:tc>
      </w:tr>
      <w:tr>
        <w:trPr>
          <w:tblHeader w:val="false"/>
        </w:trPr>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Production</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Live</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AWS GovCloud India primary</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Disaster Recovery</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Warm standby</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Azure India region; daily replication</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14.5  CI/CD Pipeline</w:t>
      </w:r>
    </w:p>
    <w:p>
      <w:pPr>
        <w:pStyle w:val="ListParagraph"/>
        <w:numPr>
          <w:ilvl w:val="0"/>
          <w:numId w:val="3"/>
        </w:numPr>
        <w:spacing w:after="40" w:before="40" w:line="280"/>
      </w:pPr>
      <w:r>
        <w:rPr>
          <w:rFonts w:ascii="Calibri" w:cs="Calibri" w:eastAsia="Calibri" w:hAnsi="Calibri"/>
          <w:sz w:val="22"/>
          <w:szCs w:val="22"/>
        </w:rPr>
        <w:t xml:space="preserve">Engineer pushes to a feature branch; pipeline triggers.</w:t>
      </w:r>
    </w:p>
    <w:p>
      <w:pPr>
        <w:pStyle w:val="ListParagraph"/>
        <w:numPr>
          <w:ilvl w:val="0"/>
          <w:numId w:val="3"/>
        </w:numPr>
        <w:spacing w:after="40" w:before="40" w:line="280"/>
      </w:pPr>
      <w:r>
        <w:rPr>
          <w:rFonts w:ascii="Calibri" w:cs="Calibri" w:eastAsia="Calibri" w:hAnsi="Calibri"/>
          <w:sz w:val="22"/>
          <w:szCs w:val="22"/>
        </w:rPr>
        <w:t xml:space="preserve">Pipeline runs lint, type-check, unit tests, accessibility tests (axe-core), bundle budget.</w:t>
      </w:r>
    </w:p>
    <w:p>
      <w:pPr>
        <w:pStyle w:val="ListParagraph"/>
        <w:numPr>
          <w:ilvl w:val="0"/>
          <w:numId w:val="3"/>
        </w:numPr>
        <w:spacing w:after="40" w:before="40" w:line="280"/>
      </w:pPr>
      <w:r>
        <w:rPr>
          <w:rFonts w:ascii="Calibri" w:cs="Calibri" w:eastAsia="Calibri" w:hAnsi="Calibri"/>
          <w:sz w:val="22"/>
          <w:szCs w:val="22"/>
        </w:rPr>
        <w:t xml:space="preserve">On approval, merge to main triggers a build artefact.</w:t>
      </w:r>
    </w:p>
    <w:p>
      <w:pPr>
        <w:pStyle w:val="ListParagraph"/>
        <w:numPr>
          <w:ilvl w:val="0"/>
          <w:numId w:val="3"/>
        </w:numPr>
        <w:spacing w:after="40" w:before="40" w:line="280"/>
      </w:pPr>
      <w:r>
        <w:rPr>
          <w:rFonts w:ascii="Calibri" w:cs="Calibri" w:eastAsia="Calibri" w:hAnsi="Calibri"/>
          <w:sz w:val="22"/>
          <w:szCs w:val="22"/>
        </w:rPr>
        <w:t xml:space="preserve">Artefact deployed to Integration; smoke tests run.</w:t>
      </w:r>
    </w:p>
    <w:p>
      <w:pPr>
        <w:pStyle w:val="ListParagraph"/>
        <w:numPr>
          <w:ilvl w:val="0"/>
          <w:numId w:val="3"/>
        </w:numPr>
        <w:spacing w:after="40" w:before="40" w:line="280"/>
      </w:pPr>
      <w:r>
        <w:rPr>
          <w:rFonts w:ascii="Calibri" w:cs="Calibri" w:eastAsia="Calibri" w:hAnsi="Calibri"/>
          <w:sz w:val="22"/>
          <w:szCs w:val="22"/>
        </w:rPr>
        <w:t xml:space="preserve">Promotion to Staging; UAT against the test plan.</w:t>
      </w:r>
    </w:p>
    <w:p>
      <w:pPr>
        <w:pStyle w:val="ListParagraph"/>
        <w:numPr>
          <w:ilvl w:val="0"/>
          <w:numId w:val="3"/>
        </w:numPr>
        <w:spacing w:after="40" w:before="40" w:line="280"/>
      </w:pPr>
      <w:r>
        <w:rPr>
          <w:rFonts w:ascii="Calibri" w:cs="Calibri" w:eastAsia="Calibri" w:hAnsi="Calibri"/>
          <w:sz w:val="22"/>
          <w:szCs w:val="22"/>
        </w:rPr>
        <w:t xml:space="preserve">Promotion to Production via a gated change with sponsor or programme-owner approval.</w:t>
      </w:r>
    </w:p>
    <w:p>
      <w:pPr>
        <w:pStyle w:val="Heading3"/>
        <w:spacing w:after="100" w:before="200"/>
      </w:pPr>
      <w:r>
        <w:rPr>
          <w:rFonts w:ascii="Cambria" w:cs="Cambria" w:eastAsia="Cambria" w:hAnsi="Cambria"/>
          <w:b/>
          <w:bCs/>
          <w:color w:val="0064DC"/>
          <w:sz w:val="24"/>
          <w:szCs w:val="24"/>
        </w:rPr>
        <w:t xml:space="preserve">14.6  Configuration &amp; Secrets Management</w:t>
      </w:r>
    </w:p>
    <w:p>
      <w:pPr>
        <w:pStyle w:val="ListParagraph"/>
        <w:numPr>
          <w:ilvl w:val="0"/>
          <w:numId w:val="2"/>
        </w:numPr>
        <w:spacing w:after="40" w:before="40" w:line="280"/>
      </w:pPr>
      <w:r>
        <w:rPr>
          <w:rFonts w:ascii="Calibri" w:cs="Calibri" w:eastAsia="Calibri" w:hAnsi="Calibri"/>
          <w:sz w:val="22"/>
          <w:szCs w:val="22"/>
        </w:rPr>
        <w:t xml:space="preserve">Application configuration through environment variables; environment-specific values resolved at deploy time.</w:t>
      </w:r>
    </w:p>
    <w:p>
      <w:pPr>
        <w:pStyle w:val="ListParagraph"/>
        <w:numPr>
          <w:ilvl w:val="0"/>
          <w:numId w:val="2"/>
        </w:numPr>
        <w:spacing w:after="40" w:before="40" w:line="280"/>
      </w:pPr>
      <w:r>
        <w:rPr>
          <w:rFonts w:ascii="Calibri" w:cs="Calibri" w:eastAsia="Calibri" w:hAnsi="Calibri"/>
          <w:sz w:val="22"/>
          <w:szCs w:val="22"/>
        </w:rPr>
        <w:t xml:space="preserve">Secrets stored in AWS Secrets Manager; rotated quarterly; access audited.</w:t>
      </w:r>
    </w:p>
    <w:p>
      <w:pPr>
        <w:pStyle w:val="ListParagraph"/>
        <w:numPr>
          <w:ilvl w:val="0"/>
          <w:numId w:val="2"/>
        </w:numPr>
        <w:spacing w:after="40" w:before="40" w:line="280"/>
      </w:pPr>
      <w:r>
        <w:rPr>
          <w:rFonts w:ascii="Calibri" w:cs="Calibri" w:eastAsia="Calibri" w:hAnsi="Calibri"/>
          <w:sz w:val="22"/>
          <w:szCs w:val="22"/>
        </w:rPr>
        <w:t xml:space="preserve">No secret may be committed to a Git repository; pre-commit hooks verify.</w:t>
      </w:r>
    </w:p>
    <w:p>
      <w:pPr>
        <w:pStyle w:val="Heading3"/>
        <w:spacing w:after="100" w:before="200"/>
      </w:pPr>
      <w:r>
        <w:rPr>
          <w:rFonts w:ascii="Cambria" w:cs="Cambria" w:eastAsia="Cambria" w:hAnsi="Cambria"/>
          <w:b/>
          <w:bCs/>
          <w:color w:val="0064DC"/>
          <w:sz w:val="24"/>
          <w:szCs w:val="24"/>
        </w:rPr>
        <w:t xml:space="preserve">14.7  Data Architecture</w:t>
      </w:r>
    </w:p>
    <w:p>
      <w:pPr>
        <w:pStyle w:val="ListParagraph"/>
        <w:numPr>
          <w:ilvl w:val="0"/>
          <w:numId w:val="2"/>
        </w:numPr>
        <w:spacing w:after="40" w:before="40" w:line="280"/>
      </w:pPr>
      <w:r>
        <w:rPr>
          <w:rFonts w:ascii="Calibri" w:cs="Calibri" w:eastAsia="Calibri" w:hAnsi="Calibri"/>
          <w:sz w:val="22"/>
          <w:szCs w:val="22"/>
        </w:rPr>
        <w:t xml:space="preserve">Editorial entities (pages, posts, blocks) live in WordPress’ own MySQL store managed by RDS.</w:t>
      </w:r>
    </w:p>
    <w:p>
      <w:pPr>
        <w:pStyle w:val="ListParagraph"/>
        <w:numPr>
          <w:ilvl w:val="0"/>
          <w:numId w:val="2"/>
        </w:numPr>
        <w:spacing w:after="40" w:before="40" w:line="280"/>
      </w:pPr>
      <w:r>
        <w:rPr>
          <w:rFonts w:ascii="Calibri" w:cs="Calibri" w:eastAsia="Calibri" w:hAnsi="Calibri"/>
          <w:sz w:val="22"/>
          <w:szCs w:val="22"/>
        </w:rPr>
        <w:t xml:space="preserve">Form submissions written to PostgreSQL via FastAPI for classification and routing.</w:t>
      </w:r>
    </w:p>
    <w:p>
      <w:pPr>
        <w:pStyle w:val="ListParagraph"/>
        <w:numPr>
          <w:ilvl w:val="0"/>
          <w:numId w:val="2"/>
        </w:numPr>
        <w:spacing w:after="40" w:before="40" w:line="280"/>
      </w:pPr>
      <w:r>
        <w:rPr>
          <w:rFonts w:ascii="Calibri" w:cs="Calibri" w:eastAsia="Calibri" w:hAnsi="Calibri"/>
          <w:sz w:val="22"/>
          <w:szCs w:val="22"/>
        </w:rPr>
        <w:t xml:space="preserve">Event logs (page view, form submit, etc., non-PII) flow to DynamoDB.</w:t>
      </w:r>
    </w:p>
    <w:p>
      <w:pPr>
        <w:pStyle w:val="ListParagraph"/>
        <w:numPr>
          <w:ilvl w:val="0"/>
          <w:numId w:val="2"/>
        </w:numPr>
        <w:spacing w:after="40" w:before="40" w:line="280"/>
      </w:pPr>
      <w:r>
        <w:rPr>
          <w:rFonts w:ascii="Calibri" w:cs="Calibri" w:eastAsia="Calibri" w:hAnsi="Calibri"/>
          <w:sz w:val="22"/>
          <w:szCs w:val="22"/>
        </w:rPr>
        <w:t xml:space="preserve">Search index built from a periodic crawl of published pages and from a write-through pipeline on publish events.</w:t>
      </w:r>
    </w:p>
    <w:p>
      <w:r>
        <w:br w:type="page"/>
      </w:r>
    </w:p>
    <w:p>
      <w:pPr>
        <w:pStyle w:val="Heading1"/>
        <w:spacing w:after="180" w:before="360"/>
      </w:pPr>
      <w:r>
        <w:rPr>
          <w:rFonts w:ascii="Cambria" w:cs="Cambria" w:eastAsia="Cambria" w:hAnsi="Cambria"/>
          <w:b/>
          <w:bCs/>
          <w:color w:val="1B3A5C"/>
          <w:sz w:val="36"/>
          <w:szCs w:val="36"/>
        </w:rPr>
        <w:t xml:space="preserve">15.  Hosting &amp; Infrastructure</w:t>
      </w:r>
    </w:p>
    <w:p>
      <w:pPr>
        <w:pStyle w:val="Heading3"/>
        <w:spacing w:after="100" w:before="200"/>
      </w:pPr>
      <w:r>
        <w:rPr>
          <w:rFonts w:ascii="Cambria" w:cs="Cambria" w:eastAsia="Cambria" w:hAnsi="Cambria"/>
          <w:b/>
          <w:bCs/>
          <w:color w:val="0064DC"/>
          <w:sz w:val="24"/>
          <w:szCs w:val="24"/>
        </w:rPr>
        <w:t xml:space="preserve">15.1  Topology</w:t>
      </w:r>
    </w:p>
    <w:p>
      <w:pPr>
        <w:spacing w:after="60" w:before="60" w:line="300"/>
        <w:jc w:val="both"/>
      </w:pPr>
      <w:r>
        <w:rPr>
          <w:rFonts w:ascii="Calibri" w:cs="Calibri" w:eastAsia="Calibri" w:hAnsi="Calibri"/>
          <w:sz w:val="22"/>
          <w:szCs w:val="22"/>
        </w:rPr>
        <w:t xml:space="preserve">Production runs in AWS GovCloud India with workloads spread across two availability zones. Disaster recovery is hosted in Azure India as a warm standby. Cloudflare provides the global edge layer.</w:t>
      </w:r>
    </w:p>
    <w:p>
      <w:pPr>
        <w:pStyle w:val="Heading3"/>
        <w:spacing w:after="100" w:before="200"/>
      </w:pPr>
      <w:r>
        <w:rPr>
          <w:rFonts w:ascii="Cambria" w:cs="Cambria" w:eastAsia="Cambria" w:hAnsi="Cambria"/>
          <w:b/>
          <w:bCs/>
          <w:color w:val="0064DC"/>
          <w:sz w:val="24"/>
          <w:szCs w:val="24"/>
        </w:rPr>
        <w:t xml:space="preserve">15.2  Capacity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2260"/>
      </w:tblGrid>
      <w:tr>
        <w:trPr>
          <w:tblHeader/>
        </w:trPr>
        <w:tc>
          <w:tcPr>
            <w:tcW w:type="dxa" w:w="3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Component</w:t>
            </w:r>
          </w:p>
        </w:tc>
        <w:tc>
          <w:tcPr>
            <w:tcW w:type="dxa" w:w="19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Year 1</w:t>
            </w:r>
          </w:p>
        </w:tc>
        <w:tc>
          <w:tcPr>
            <w:tcW w:type="dxa" w:w="19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Year 3</w:t>
            </w:r>
          </w:p>
        </w:tc>
        <w:tc>
          <w:tcPr>
            <w:tcW w:type="dxa" w:w="22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Notes</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tier (PHP-FPM)</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 × m6i.large</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 × m6i.large</w:t>
            </w:r>
          </w:p>
        </w:tc>
        <w:tc>
          <w:tcPr>
            <w:tcW w:type="dxa" w:w="2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Auto-scaling group, target 60% CPU</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FastAPI service</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 × t4g.medium</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 × t4g.medium</w:t>
            </w:r>
          </w:p>
        </w:tc>
        <w:tc>
          <w:tcPr>
            <w:tcW w:type="dxa" w:w="2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Stateless</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Express service</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 × t4g.medium</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 × t4g.medium</w:t>
            </w:r>
          </w:p>
        </w:tc>
        <w:tc>
          <w:tcPr>
            <w:tcW w:type="dxa" w:w="2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Stateless</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PostgreSQL</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db.r6g.large + replica</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db.r6g.xlarge + 2 replicas</w:t>
            </w:r>
          </w:p>
        </w:tc>
        <w:tc>
          <w:tcPr>
            <w:tcW w:type="dxa" w:w="2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RDS multi-AZ</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Redis</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cache.t4g.medium</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cache.r7g.large</w:t>
            </w:r>
          </w:p>
        </w:tc>
        <w:tc>
          <w:tcPr>
            <w:tcW w:type="dxa" w:w="2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ElastiCache cluster</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DynamoDB</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On-demand</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On-demand</w:t>
            </w:r>
          </w:p>
        </w:tc>
        <w:tc>
          <w:tcPr>
            <w:tcW w:type="dxa" w:w="2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Pay-per-request</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OpenSearch</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3-node t3.small.search</w:t>
            </w:r>
          </w:p>
        </w:tc>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3-node m6g.medium.search</w:t>
            </w:r>
          </w:p>
        </w:tc>
        <w:tc>
          <w:tcPr>
            <w:tcW w:type="dxa" w:w="2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Managed</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Storage (S3)</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200 GB</w:t>
            </w:r>
          </w:p>
        </w:tc>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 TB</w:t>
            </w:r>
          </w:p>
        </w:tc>
        <w:tc>
          <w:tcPr>
            <w:tcW w:type="dxa" w:w="2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Media library</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15.3  Backup &amp; Restore</w:t>
      </w:r>
    </w:p>
    <w:p>
      <w:pPr>
        <w:pStyle w:val="ListParagraph"/>
        <w:numPr>
          <w:ilvl w:val="0"/>
          <w:numId w:val="2"/>
        </w:numPr>
        <w:spacing w:after="40" w:before="40" w:line="280"/>
      </w:pPr>
      <w:r>
        <w:rPr>
          <w:rFonts w:ascii="Calibri" w:cs="Calibri" w:eastAsia="Calibri" w:hAnsi="Calibri"/>
          <w:sz w:val="22"/>
          <w:szCs w:val="22"/>
        </w:rPr>
        <w:t xml:space="preserve">Database: hourly snapshots, 30-day point-in-time recovery, daily logical backups exported to S3 (cross-region).</w:t>
      </w:r>
    </w:p>
    <w:p>
      <w:pPr>
        <w:pStyle w:val="ListParagraph"/>
        <w:numPr>
          <w:ilvl w:val="0"/>
          <w:numId w:val="2"/>
        </w:numPr>
        <w:spacing w:after="40" w:before="40" w:line="280"/>
      </w:pPr>
      <w:r>
        <w:rPr>
          <w:rFonts w:ascii="Calibri" w:cs="Calibri" w:eastAsia="Calibri" w:hAnsi="Calibri"/>
          <w:sz w:val="22"/>
          <w:szCs w:val="22"/>
        </w:rPr>
        <w:t xml:space="preserve">Media library: versioned S3 bucket with lifecycle to Glacier Deep Archive at 90 days.</w:t>
      </w:r>
    </w:p>
    <w:p>
      <w:pPr>
        <w:pStyle w:val="ListParagraph"/>
        <w:numPr>
          <w:ilvl w:val="0"/>
          <w:numId w:val="2"/>
        </w:numPr>
        <w:spacing w:after="40" w:before="40" w:line="280"/>
      </w:pPr>
      <w:r>
        <w:rPr>
          <w:rFonts w:ascii="Calibri" w:cs="Calibri" w:eastAsia="Calibri" w:hAnsi="Calibri"/>
          <w:sz w:val="22"/>
          <w:szCs w:val="22"/>
        </w:rPr>
        <w:t xml:space="preserve">Application: AMI snapshots weekly; configuration via Terraform under Git.</w:t>
      </w:r>
    </w:p>
    <w:p>
      <w:pPr>
        <w:pStyle w:val="ListParagraph"/>
        <w:numPr>
          <w:ilvl w:val="0"/>
          <w:numId w:val="2"/>
        </w:numPr>
        <w:spacing w:after="40" w:before="40" w:line="280"/>
      </w:pPr>
      <w:r>
        <w:rPr>
          <w:rFonts w:ascii="Calibri" w:cs="Calibri" w:eastAsia="Calibri" w:hAnsi="Calibri"/>
          <w:sz w:val="22"/>
          <w:szCs w:val="22"/>
        </w:rPr>
        <w:t xml:space="preserve">Restore drills: quarterly full restore in a clean account; outcomes recorded in the operations log.</w:t>
      </w:r>
    </w:p>
    <w:p>
      <w:pPr>
        <w:pStyle w:val="Heading3"/>
        <w:spacing w:after="100" w:before="200"/>
      </w:pPr>
      <w:r>
        <w:rPr>
          <w:rFonts w:ascii="Cambria" w:cs="Cambria" w:eastAsia="Cambria" w:hAnsi="Cambria"/>
          <w:b/>
          <w:bCs/>
          <w:color w:val="0064DC"/>
          <w:sz w:val="24"/>
          <w:szCs w:val="24"/>
        </w:rPr>
        <w:t xml:space="preserve">15.4  Disaster Recovery</w:t>
      </w:r>
    </w:p>
    <w:p>
      <w:pPr>
        <w:pStyle w:val="ListParagraph"/>
        <w:numPr>
          <w:ilvl w:val="0"/>
          <w:numId w:val="2"/>
        </w:numPr>
        <w:spacing w:after="40" w:before="40" w:line="280"/>
      </w:pPr>
      <w:r>
        <w:rPr>
          <w:rFonts w:ascii="Calibri" w:cs="Calibri" w:eastAsia="Calibri" w:hAnsi="Calibri"/>
          <w:sz w:val="22"/>
          <w:szCs w:val="22"/>
        </w:rPr>
        <w:t xml:space="preserve">RPO 15 minutes; RTO 60 minutes.</w:t>
      </w:r>
    </w:p>
    <w:p>
      <w:pPr>
        <w:pStyle w:val="ListParagraph"/>
        <w:numPr>
          <w:ilvl w:val="0"/>
          <w:numId w:val="2"/>
        </w:numPr>
        <w:spacing w:after="40" w:before="40" w:line="280"/>
      </w:pPr>
      <w:r>
        <w:rPr>
          <w:rFonts w:ascii="Calibri" w:cs="Calibri" w:eastAsia="Calibri" w:hAnsi="Calibri"/>
          <w:sz w:val="22"/>
          <w:szCs w:val="22"/>
        </w:rPr>
        <w:t xml:space="preserve">Database replicated to Azure India with logical replication; Redis is repopulated from cold start.</w:t>
      </w:r>
    </w:p>
    <w:p>
      <w:pPr>
        <w:pStyle w:val="ListParagraph"/>
        <w:numPr>
          <w:ilvl w:val="0"/>
          <w:numId w:val="2"/>
        </w:numPr>
        <w:spacing w:after="40" w:before="40" w:line="280"/>
      </w:pPr>
      <w:r>
        <w:rPr>
          <w:rFonts w:ascii="Calibri" w:cs="Calibri" w:eastAsia="Calibri" w:hAnsi="Calibri"/>
          <w:sz w:val="22"/>
          <w:szCs w:val="22"/>
        </w:rPr>
        <w:t xml:space="preserve">DNS failover via Cloudflare with health checks.</w:t>
      </w:r>
    </w:p>
    <w:p>
      <w:pPr>
        <w:pStyle w:val="ListParagraph"/>
        <w:numPr>
          <w:ilvl w:val="0"/>
          <w:numId w:val="2"/>
        </w:numPr>
        <w:spacing w:after="40" w:before="40" w:line="280"/>
      </w:pPr>
      <w:r>
        <w:rPr>
          <w:rFonts w:ascii="Calibri" w:cs="Calibri" w:eastAsia="Calibri" w:hAnsi="Calibri"/>
          <w:sz w:val="22"/>
          <w:szCs w:val="22"/>
        </w:rPr>
        <w:t xml:space="preserve">Annual full DR drill with tabletop and live failover.</w:t>
      </w:r>
    </w:p>
    <w:p>
      <w:pPr>
        <w:pStyle w:val="Heading3"/>
        <w:spacing w:after="100" w:before="200"/>
      </w:pPr>
      <w:r>
        <w:rPr>
          <w:rFonts w:ascii="Cambria" w:cs="Cambria" w:eastAsia="Cambria" w:hAnsi="Cambria"/>
          <w:b/>
          <w:bCs/>
          <w:color w:val="0064DC"/>
          <w:sz w:val="24"/>
          <w:szCs w:val="24"/>
        </w:rPr>
        <w:t xml:space="preserve">15.5  Domain &amp; Certificates</w:t>
      </w:r>
    </w:p>
    <w:p>
      <w:pPr>
        <w:pStyle w:val="ListParagraph"/>
        <w:numPr>
          <w:ilvl w:val="0"/>
          <w:numId w:val="2"/>
        </w:numPr>
        <w:spacing w:after="40" w:before="40" w:line="280"/>
      </w:pPr>
      <w:r>
        <w:rPr>
          <w:rFonts w:ascii="Calibri" w:cs="Calibri" w:eastAsia="Calibri" w:hAnsi="Calibri"/>
          <w:sz w:val="22"/>
          <w:szCs w:val="22"/>
        </w:rPr>
        <w:t xml:space="preserve">Primary domain jigisha.in with apex and www CNAME via Cloudflare.</w:t>
      </w:r>
    </w:p>
    <w:p>
      <w:pPr>
        <w:pStyle w:val="ListParagraph"/>
        <w:numPr>
          <w:ilvl w:val="0"/>
          <w:numId w:val="2"/>
        </w:numPr>
        <w:spacing w:after="40" w:before="40" w:line="280"/>
      </w:pPr>
      <w:r>
        <w:rPr>
          <w:rFonts w:ascii="Calibri" w:cs="Calibri" w:eastAsia="Calibri" w:hAnsi="Calibri"/>
          <w:sz w:val="22"/>
          <w:szCs w:val="22"/>
        </w:rPr>
        <w:t xml:space="preserve">Certificates from a managed CA (Let’s Encrypt or Cloudflare-issued); auto-renewal verified weekly.</w:t>
      </w:r>
    </w:p>
    <w:p>
      <w:pPr>
        <w:pStyle w:val="ListParagraph"/>
        <w:numPr>
          <w:ilvl w:val="0"/>
          <w:numId w:val="2"/>
        </w:numPr>
        <w:spacing w:after="40" w:before="40" w:line="280"/>
      </w:pPr>
      <w:r>
        <w:rPr>
          <w:rFonts w:ascii="Calibri" w:cs="Calibri" w:eastAsia="Calibri" w:hAnsi="Calibri"/>
          <w:sz w:val="22"/>
          <w:szCs w:val="22"/>
        </w:rPr>
        <w:t xml:space="preserve">HSTS preload on the root domain; max-age 31536000.</w:t>
      </w:r>
    </w:p>
    <w:p>
      <w:pPr>
        <w:pStyle w:val="Heading3"/>
        <w:spacing w:after="100" w:before="200"/>
      </w:pPr>
      <w:r>
        <w:rPr>
          <w:rFonts w:ascii="Cambria" w:cs="Cambria" w:eastAsia="Cambria" w:hAnsi="Cambria"/>
          <w:b/>
          <w:bCs/>
          <w:color w:val="0064DC"/>
          <w:sz w:val="24"/>
          <w:szCs w:val="24"/>
        </w:rPr>
        <w:t xml:space="preserve">15.6  Network Security</w:t>
      </w:r>
    </w:p>
    <w:p>
      <w:pPr>
        <w:pStyle w:val="ListParagraph"/>
        <w:numPr>
          <w:ilvl w:val="0"/>
          <w:numId w:val="2"/>
        </w:numPr>
        <w:spacing w:after="40" w:before="40" w:line="280"/>
      </w:pPr>
      <w:r>
        <w:rPr>
          <w:rFonts w:ascii="Calibri" w:cs="Calibri" w:eastAsia="Calibri" w:hAnsi="Calibri"/>
          <w:sz w:val="22"/>
          <w:szCs w:val="22"/>
        </w:rPr>
        <w:t xml:space="preserve">Public ingress only via Cloudflare and the AWS load balancer; origin protected by IP allowlist for Cloudflare ranges.</w:t>
      </w:r>
    </w:p>
    <w:p>
      <w:pPr>
        <w:pStyle w:val="ListParagraph"/>
        <w:numPr>
          <w:ilvl w:val="0"/>
          <w:numId w:val="2"/>
        </w:numPr>
        <w:spacing w:after="40" w:before="40" w:line="280"/>
      </w:pPr>
      <w:r>
        <w:rPr>
          <w:rFonts w:ascii="Calibri" w:cs="Calibri" w:eastAsia="Calibri" w:hAnsi="Calibri"/>
          <w:sz w:val="22"/>
          <w:szCs w:val="22"/>
        </w:rPr>
        <w:t xml:space="preserve">Bastion-less SSH; access via AWS SSM Session Manager.</w:t>
      </w:r>
    </w:p>
    <w:p>
      <w:pPr>
        <w:pStyle w:val="ListParagraph"/>
        <w:numPr>
          <w:ilvl w:val="0"/>
          <w:numId w:val="2"/>
        </w:numPr>
        <w:spacing w:after="40" w:before="40" w:line="280"/>
      </w:pPr>
      <w:r>
        <w:rPr>
          <w:rFonts w:ascii="Calibri" w:cs="Calibri" w:eastAsia="Calibri" w:hAnsi="Calibri"/>
          <w:sz w:val="22"/>
          <w:szCs w:val="22"/>
        </w:rPr>
        <w:t xml:space="preserve">Private subnets for data tier; no public route.</w:t>
      </w:r>
    </w:p>
    <w:p>
      <w:pPr>
        <w:pStyle w:val="ListParagraph"/>
        <w:numPr>
          <w:ilvl w:val="0"/>
          <w:numId w:val="2"/>
        </w:numPr>
        <w:spacing w:after="40" w:before="40" w:line="280"/>
      </w:pPr>
      <w:r>
        <w:rPr>
          <w:rFonts w:ascii="Calibri" w:cs="Calibri" w:eastAsia="Calibri" w:hAnsi="Calibri"/>
          <w:sz w:val="22"/>
          <w:szCs w:val="22"/>
        </w:rPr>
        <w:t xml:space="preserve">Security groups least-privilege; reviewed quarterly.</w:t>
      </w:r>
    </w:p>
    <w:p>
      <w:r>
        <w:br w:type="page"/>
      </w:r>
    </w:p>
    <w:p>
      <w:pPr>
        <w:pStyle w:val="Heading1"/>
        <w:spacing w:after="180" w:before="360"/>
      </w:pPr>
      <w:r>
        <w:rPr>
          <w:rFonts w:ascii="Cambria" w:cs="Cambria" w:eastAsia="Cambria" w:hAnsi="Cambria"/>
          <w:b/>
          <w:bCs/>
          <w:color w:val="1B3A5C"/>
          <w:sz w:val="36"/>
          <w:szCs w:val="36"/>
        </w:rPr>
        <w:t xml:space="preserve">16.  Integration Architecture</w:t>
      </w:r>
    </w:p>
    <w:p>
      <w:pPr>
        <w:pStyle w:val="Heading3"/>
        <w:spacing w:after="100" w:before="200"/>
      </w:pPr>
      <w:r>
        <w:rPr>
          <w:rFonts w:ascii="Cambria" w:cs="Cambria" w:eastAsia="Cambria" w:hAnsi="Cambria"/>
          <w:b/>
          <w:bCs/>
          <w:color w:val="0064DC"/>
          <w:sz w:val="24"/>
          <w:szCs w:val="24"/>
        </w:rPr>
        <w:t xml:space="preserve">16.1  Integration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System</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Direction</w:t>
            </w:r>
          </w:p>
        </w:tc>
        <w:tc>
          <w:tcPr>
            <w:tcW w:type="dxa" w:w="45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Purpose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JGC CRM</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Outbound + inbound</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Lead capture, classification, status sync</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ATS (Wolf Pack HRMS or external)</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Outbound + inbound</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Federated job postings; application submission</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Newsletter (transactional + marketing)</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Outbound</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Subscription, transactional email, drip</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SSO (OIDC)</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Inbound</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user authentication</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GA4 + GTM</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Outbound</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Behavioural analytics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Search Console + Bing Webmaster</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Outbound</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Indexation, performance, structured data</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Cloudflare</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Bidirectional</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Edge, WAF, DDoS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Sentry</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Outbound</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Error and release tracking</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S3 / Object Storage</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Bidirectional</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Media library, disclosures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Vitals (CrUX)</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Outbound</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Performance monitoring</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16.2  Integration Patterns</w:t>
      </w:r>
    </w:p>
    <w:p>
      <w:pPr>
        <w:pStyle w:val="ListParagraph"/>
        <w:numPr>
          <w:ilvl w:val="0"/>
          <w:numId w:val="2"/>
        </w:numPr>
        <w:spacing w:after="40" w:before="40" w:line="280"/>
      </w:pPr>
      <w:r>
        <w:rPr>
          <w:rFonts w:ascii="Calibri" w:cs="Calibri" w:eastAsia="Calibri" w:hAnsi="Calibri"/>
          <w:sz w:val="22"/>
          <w:szCs w:val="22"/>
        </w:rPr>
        <w:t xml:space="preserve">Synchronous REST over HTTPS for low-latency interactions.</w:t>
      </w:r>
    </w:p>
    <w:p>
      <w:pPr>
        <w:pStyle w:val="ListParagraph"/>
        <w:numPr>
          <w:ilvl w:val="0"/>
          <w:numId w:val="2"/>
        </w:numPr>
        <w:spacing w:after="40" w:before="40" w:line="280"/>
      </w:pPr>
      <w:r>
        <w:rPr>
          <w:rFonts w:ascii="Calibri" w:cs="Calibri" w:eastAsia="Calibri" w:hAnsi="Calibri"/>
          <w:sz w:val="22"/>
          <w:szCs w:val="22"/>
        </w:rPr>
        <w:t xml:space="preserve">Event-driven webhooks for asynchronous fan-out (publish, form submission).</w:t>
      </w:r>
    </w:p>
    <w:p>
      <w:pPr>
        <w:pStyle w:val="ListParagraph"/>
        <w:numPr>
          <w:ilvl w:val="0"/>
          <w:numId w:val="2"/>
        </w:numPr>
        <w:spacing w:after="40" w:before="40" w:line="280"/>
      </w:pPr>
      <w:r>
        <w:rPr>
          <w:rFonts w:ascii="Calibri" w:cs="Calibri" w:eastAsia="Calibri" w:hAnsi="Calibri"/>
          <w:sz w:val="22"/>
          <w:szCs w:val="22"/>
        </w:rPr>
        <w:t xml:space="preserve">Polling fallbacks where webhooks are unsupported.</w:t>
      </w:r>
    </w:p>
    <w:p>
      <w:pPr>
        <w:pStyle w:val="ListParagraph"/>
        <w:numPr>
          <w:ilvl w:val="0"/>
          <w:numId w:val="2"/>
        </w:numPr>
        <w:spacing w:after="40" w:before="40" w:line="280"/>
      </w:pPr>
      <w:r>
        <w:rPr>
          <w:rFonts w:ascii="Calibri" w:cs="Calibri" w:eastAsia="Calibri" w:hAnsi="Calibri"/>
          <w:sz w:val="22"/>
          <w:szCs w:val="22"/>
        </w:rPr>
        <w:t xml:space="preserve">All integrations authenticated via short-lived tokens (OAuth 2.0 client credentials, signed JWT, or HMAC).</w:t>
      </w:r>
    </w:p>
    <w:p>
      <w:pPr>
        <w:pStyle w:val="Heading3"/>
        <w:spacing w:after="100" w:before="200"/>
      </w:pPr>
      <w:r>
        <w:rPr>
          <w:rFonts w:ascii="Cambria" w:cs="Cambria" w:eastAsia="Cambria" w:hAnsi="Cambria"/>
          <w:b/>
          <w:bCs/>
          <w:color w:val="0064DC"/>
          <w:sz w:val="24"/>
          <w:szCs w:val="24"/>
        </w:rPr>
        <w:t xml:space="preserve">16.3  Form-to-CRM Routing</w:t>
      </w:r>
    </w:p>
    <w:p>
      <w:pPr>
        <w:pStyle w:val="ListParagraph"/>
        <w:numPr>
          <w:ilvl w:val="0"/>
          <w:numId w:val="3"/>
        </w:numPr>
        <w:spacing w:after="40" w:before="40" w:line="280"/>
      </w:pPr>
      <w:r>
        <w:rPr>
          <w:rFonts w:ascii="Calibri" w:cs="Calibri" w:eastAsia="Calibri" w:hAnsi="Calibri"/>
          <w:sz w:val="22"/>
          <w:szCs w:val="22"/>
        </w:rPr>
        <w:t xml:space="preserve">Visitor submits a form on the Master Website.</w:t>
      </w:r>
    </w:p>
    <w:p>
      <w:pPr>
        <w:pStyle w:val="ListParagraph"/>
        <w:numPr>
          <w:ilvl w:val="0"/>
          <w:numId w:val="3"/>
        </w:numPr>
        <w:spacing w:after="40" w:before="40" w:line="280"/>
      </w:pPr>
      <w:r>
        <w:rPr>
          <w:rFonts w:ascii="Calibri" w:cs="Calibri" w:eastAsia="Calibri" w:hAnsi="Calibri"/>
          <w:sz w:val="22"/>
          <w:szCs w:val="22"/>
        </w:rPr>
        <w:t xml:space="preserve">Frontend posts a sanitised payload to the FastAPI service via HTTPS.</w:t>
      </w:r>
    </w:p>
    <w:p>
      <w:pPr>
        <w:pStyle w:val="ListParagraph"/>
        <w:numPr>
          <w:ilvl w:val="0"/>
          <w:numId w:val="3"/>
        </w:numPr>
        <w:spacing w:after="40" w:before="40" w:line="280"/>
      </w:pPr>
      <w:r>
        <w:rPr>
          <w:rFonts w:ascii="Calibri" w:cs="Calibri" w:eastAsia="Calibri" w:hAnsi="Calibri"/>
          <w:sz w:val="22"/>
          <w:szCs w:val="22"/>
        </w:rPr>
        <w:t xml:space="preserve">Service classifies the lead by entity, function and priority.</w:t>
      </w:r>
    </w:p>
    <w:p>
      <w:pPr>
        <w:pStyle w:val="ListParagraph"/>
        <w:numPr>
          <w:ilvl w:val="0"/>
          <w:numId w:val="3"/>
        </w:numPr>
        <w:spacing w:after="40" w:before="40" w:line="280"/>
      </w:pPr>
      <w:r>
        <w:rPr>
          <w:rFonts w:ascii="Calibri" w:cs="Calibri" w:eastAsia="Calibri" w:hAnsi="Calibri"/>
          <w:sz w:val="22"/>
          <w:szCs w:val="22"/>
        </w:rPr>
        <w:t xml:space="preserve">Service writes a record to PostgreSQL and emits a CRM upsert call to JGC CRM.</w:t>
      </w:r>
    </w:p>
    <w:p>
      <w:pPr>
        <w:pStyle w:val="ListParagraph"/>
        <w:numPr>
          <w:ilvl w:val="0"/>
          <w:numId w:val="3"/>
        </w:numPr>
        <w:spacing w:after="40" w:before="40" w:line="280"/>
      </w:pPr>
      <w:r>
        <w:rPr>
          <w:rFonts w:ascii="Calibri" w:cs="Calibri" w:eastAsia="Calibri" w:hAnsi="Calibri"/>
          <w:sz w:val="22"/>
          <w:szCs w:val="22"/>
        </w:rPr>
        <w:t xml:space="preserve">On CRM acknowledgement, the visitor receives a confirmation email.</w:t>
      </w:r>
    </w:p>
    <w:p>
      <w:pPr>
        <w:pStyle w:val="ListParagraph"/>
        <w:numPr>
          <w:ilvl w:val="0"/>
          <w:numId w:val="3"/>
        </w:numPr>
        <w:spacing w:after="40" w:before="40" w:line="280"/>
      </w:pPr>
      <w:r>
        <w:rPr>
          <w:rFonts w:ascii="Calibri" w:cs="Calibri" w:eastAsia="Calibri" w:hAnsi="Calibri"/>
          <w:sz w:val="22"/>
          <w:szCs w:val="22"/>
        </w:rPr>
        <w:t xml:space="preserve">On CRM unavailability, the record is queued; a worker retries with exponential backoff and pages on persistent failure.</w:t>
      </w:r>
    </w:p>
    <w:p>
      <w:pPr>
        <w:pStyle w:val="Heading3"/>
        <w:spacing w:after="100" w:before="200"/>
      </w:pPr>
      <w:r>
        <w:rPr>
          <w:rFonts w:ascii="Cambria" w:cs="Cambria" w:eastAsia="Cambria" w:hAnsi="Cambria"/>
          <w:b/>
          <w:bCs/>
          <w:color w:val="0064DC"/>
          <w:sz w:val="24"/>
          <w:szCs w:val="24"/>
        </w:rPr>
        <w:t xml:space="preserve">16.4  Career Application Flow</w:t>
      </w:r>
    </w:p>
    <w:p>
      <w:pPr>
        <w:pStyle w:val="ListParagraph"/>
        <w:numPr>
          <w:ilvl w:val="0"/>
          <w:numId w:val="3"/>
        </w:numPr>
        <w:spacing w:after="40" w:before="40" w:line="280"/>
      </w:pPr>
      <w:r>
        <w:rPr>
          <w:rFonts w:ascii="Calibri" w:cs="Calibri" w:eastAsia="Calibri" w:hAnsi="Calibri"/>
          <w:sz w:val="22"/>
          <w:szCs w:val="22"/>
        </w:rPr>
        <w:t xml:space="preserve">Visitor lands on /careers/openings; the page hydrates from a federated openings cache refreshed every 15 minutes from the ATS.</w:t>
      </w:r>
    </w:p>
    <w:p>
      <w:pPr>
        <w:pStyle w:val="ListParagraph"/>
        <w:numPr>
          <w:ilvl w:val="0"/>
          <w:numId w:val="3"/>
        </w:numPr>
        <w:spacing w:after="40" w:before="40" w:line="280"/>
      </w:pPr>
      <w:r>
        <w:rPr>
          <w:rFonts w:ascii="Calibri" w:cs="Calibri" w:eastAsia="Calibri" w:hAnsi="Calibri"/>
          <w:sz w:val="22"/>
          <w:szCs w:val="22"/>
        </w:rPr>
        <w:t xml:space="preserve">Visitor selects a role; the apply CTA opens an application form.</w:t>
      </w:r>
    </w:p>
    <w:p>
      <w:pPr>
        <w:pStyle w:val="ListParagraph"/>
        <w:numPr>
          <w:ilvl w:val="0"/>
          <w:numId w:val="3"/>
        </w:numPr>
        <w:spacing w:after="40" w:before="40" w:line="280"/>
      </w:pPr>
      <w:r>
        <w:rPr>
          <w:rFonts w:ascii="Calibri" w:cs="Calibri" w:eastAsia="Calibri" w:hAnsi="Calibri"/>
          <w:sz w:val="22"/>
          <w:szCs w:val="22"/>
        </w:rPr>
        <w:t xml:space="preserve">Submission is forwarded to the ATS via a typed REST contract; an internal record is retained for analytics.</w:t>
      </w:r>
    </w:p>
    <w:p>
      <w:pPr>
        <w:pStyle w:val="ListParagraph"/>
        <w:numPr>
          <w:ilvl w:val="0"/>
          <w:numId w:val="3"/>
        </w:numPr>
        <w:spacing w:after="40" w:before="40" w:line="280"/>
      </w:pPr>
      <w:r>
        <w:rPr>
          <w:rFonts w:ascii="Calibri" w:cs="Calibri" w:eastAsia="Calibri" w:hAnsi="Calibri"/>
          <w:sz w:val="22"/>
          <w:szCs w:val="22"/>
        </w:rPr>
        <w:t xml:space="preserve">ATS responds with a tracking ID; the visitor receives confirmation with the tracking ID.</w:t>
      </w:r>
    </w:p>
    <w:p>
      <w:pPr>
        <w:pStyle w:val="Heading3"/>
        <w:spacing w:after="100" w:before="200"/>
      </w:pPr>
      <w:r>
        <w:rPr>
          <w:rFonts w:ascii="Cambria" w:cs="Cambria" w:eastAsia="Cambria" w:hAnsi="Cambria"/>
          <w:b/>
          <w:bCs/>
          <w:color w:val="0064DC"/>
          <w:sz w:val="24"/>
          <w:szCs w:val="24"/>
        </w:rPr>
        <w:t xml:space="preserve">16.5  Disclosure Library Workflow</w:t>
      </w:r>
    </w:p>
    <w:p>
      <w:pPr>
        <w:pStyle w:val="ListParagraph"/>
        <w:numPr>
          <w:ilvl w:val="0"/>
          <w:numId w:val="3"/>
        </w:numPr>
        <w:spacing w:after="40" w:before="40" w:line="280"/>
      </w:pPr>
      <w:r>
        <w:rPr>
          <w:rFonts w:ascii="Calibri" w:cs="Calibri" w:eastAsia="Calibri" w:hAnsi="Calibri"/>
          <w:sz w:val="22"/>
          <w:szCs w:val="22"/>
        </w:rPr>
        <w:t xml:space="preserve">Editorial uploads a PDF to the disclosures library.</w:t>
      </w:r>
    </w:p>
    <w:p>
      <w:pPr>
        <w:pStyle w:val="ListParagraph"/>
        <w:numPr>
          <w:ilvl w:val="0"/>
          <w:numId w:val="3"/>
        </w:numPr>
        <w:spacing w:after="40" w:before="40" w:line="280"/>
      </w:pPr>
      <w:r>
        <w:rPr>
          <w:rFonts w:ascii="Calibri" w:cs="Calibri" w:eastAsia="Calibri" w:hAnsi="Calibri"/>
          <w:sz w:val="22"/>
          <w:szCs w:val="22"/>
        </w:rPr>
        <w:t xml:space="preserve">System computes a SHA-256 checksum and stores it alongside the document.</w:t>
      </w:r>
    </w:p>
    <w:p>
      <w:pPr>
        <w:pStyle w:val="ListParagraph"/>
        <w:numPr>
          <w:ilvl w:val="0"/>
          <w:numId w:val="3"/>
        </w:numPr>
        <w:spacing w:after="40" w:before="40" w:line="280"/>
      </w:pPr>
      <w:r>
        <w:rPr>
          <w:rFonts w:ascii="Calibri" w:cs="Calibri" w:eastAsia="Calibri" w:hAnsi="Calibri"/>
          <w:sz w:val="22"/>
          <w:szCs w:val="22"/>
        </w:rPr>
        <w:t xml:space="preserve">Document is published with date, category and download CTA.</w:t>
      </w:r>
    </w:p>
    <w:p>
      <w:pPr>
        <w:pStyle w:val="ListParagraph"/>
        <w:numPr>
          <w:ilvl w:val="0"/>
          <w:numId w:val="3"/>
        </w:numPr>
        <w:spacing w:after="40" w:before="40" w:line="280"/>
      </w:pPr>
      <w:r>
        <w:rPr>
          <w:rFonts w:ascii="Calibri" w:cs="Calibri" w:eastAsia="Calibri" w:hAnsi="Calibri"/>
          <w:sz w:val="22"/>
          <w:szCs w:val="22"/>
        </w:rPr>
        <w:t xml:space="preserve">A periodic job verifies the checksum and alerts on tamper.</w:t>
      </w:r>
    </w:p>
    <w:p>
      <w:r>
        <w:br w:type="page"/>
      </w:r>
    </w:p>
    <w:p>
      <w:pPr>
        <w:pStyle w:val="Heading1"/>
        <w:spacing w:after="180" w:before="360"/>
      </w:pPr>
      <w:r>
        <w:rPr>
          <w:rFonts w:ascii="Cambria" w:cs="Cambria" w:eastAsia="Cambria" w:hAnsi="Cambria"/>
          <w:b/>
          <w:bCs/>
          <w:color w:val="1B3A5C"/>
          <w:sz w:val="36"/>
          <w:szCs w:val="36"/>
        </w:rPr>
        <w:t xml:space="preserve">17.  SEO, Analytics &amp; Performance</w:t>
      </w:r>
    </w:p>
    <w:p>
      <w:pPr>
        <w:pStyle w:val="Heading3"/>
        <w:spacing w:after="100" w:before="200"/>
      </w:pPr>
      <w:r>
        <w:rPr>
          <w:rFonts w:ascii="Cambria" w:cs="Cambria" w:eastAsia="Cambria" w:hAnsi="Cambria"/>
          <w:b/>
          <w:bCs/>
          <w:color w:val="0064DC"/>
          <w:sz w:val="24"/>
          <w:szCs w:val="24"/>
        </w:rPr>
        <w:t xml:space="preserve">17.1  SEO Architecture</w:t>
      </w:r>
    </w:p>
    <w:p>
      <w:pPr>
        <w:pStyle w:val="ListParagraph"/>
        <w:numPr>
          <w:ilvl w:val="0"/>
          <w:numId w:val="2"/>
        </w:numPr>
        <w:spacing w:after="40" w:before="40" w:line="280"/>
      </w:pPr>
      <w:r>
        <w:rPr>
          <w:rFonts w:ascii="Calibri" w:cs="Calibri" w:eastAsia="Calibri" w:hAnsi="Calibri"/>
          <w:sz w:val="22"/>
          <w:szCs w:val="22"/>
        </w:rPr>
        <w:t xml:space="preserve">Server-rendered HTML, minimal client-side hydration on content pages.</w:t>
      </w:r>
    </w:p>
    <w:p>
      <w:pPr>
        <w:pStyle w:val="ListParagraph"/>
        <w:numPr>
          <w:ilvl w:val="0"/>
          <w:numId w:val="2"/>
        </w:numPr>
        <w:spacing w:after="40" w:before="40" w:line="280"/>
      </w:pPr>
      <w:r>
        <w:rPr>
          <w:rFonts w:ascii="Calibri" w:cs="Calibri" w:eastAsia="Calibri" w:hAnsi="Calibri"/>
          <w:sz w:val="22"/>
          <w:szCs w:val="22"/>
        </w:rPr>
        <w:t xml:space="preserve">Title and meta-description templates per page type, overridable per page.</w:t>
      </w:r>
    </w:p>
    <w:p>
      <w:pPr>
        <w:pStyle w:val="ListParagraph"/>
        <w:numPr>
          <w:ilvl w:val="0"/>
          <w:numId w:val="2"/>
        </w:numPr>
        <w:spacing w:after="40" w:before="40" w:line="280"/>
      </w:pPr>
      <w:r>
        <w:rPr>
          <w:rFonts w:ascii="Calibri" w:cs="Calibri" w:eastAsia="Calibri" w:hAnsi="Calibri"/>
          <w:sz w:val="22"/>
          <w:szCs w:val="22"/>
        </w:rPr>
        <w:t xml:space="preserve">Open Graph and Twitter card tags on every page; per-page social images where editorial supplies them.</w:t>
      </w:r>
    </w:p>
    <w:p>
      <w:pPr>
        <w:pStyle w:val="ListParagraph"/>
        <w:numPr>
          <w:ilvl w:val="0"/>
          <w:numId w:val="2"/>
        </w:numPr>
        <w:spacing w:after="40" w:before="40" w:line="280"/>
      </w:pPr>
      <w:r>
        <w:rPr>
          <w:rFonts w:ascii="Calibri" w:cs="Calibri" w:eastAsia="Calibri" w:hAnsi="Calibri"/>
          <w:sz w:val="22"/>
          <w:szCs w:val="22"/>
        </w:rPr>
        <w:t xml:space="preserve">Schema.org markup: Organization (root), BreadcrumbList, NewsArticle (releases and viewpoints), Person (leadership), Event (events page), JobPosting (careers), FAQPage (FAQs).</w:t>
      </w:r>
    </w:p>
    <w:p>
      <w:pPr>
        <w:pStyle w:val="ListParagraph"/>
        <w:numPr>
          <w:ilvl w:val="0"/>
          <w:numId w:val="2"/>
        </w:numPr>
        <w:spacing w:after="40" w:before="40" w:line="280"/>
      </w:pPr>
      <w:r>
        <w:rPr>
          <w:rFonts w:ascii="Calibri" w:cs="Calibri" w:eastAsia="Calibri" w:hAnsi="Calibri"/>
          <w:sz w:val="22"/>
          <w:szCs w:val="22"/>
        </w:rPr>
        <w:t xml:space="preserve">Canonical URL per page; hreflang once Phase 2 launches.</w:t>
      </w:r>
    </w:p>
    <w:p>
      <w:pPr>
        <w:pStyle w:val="ListParagraph"/>
        <w:numPr>
          <w:ilvl w:val="0"/>
          <w:numId w:val="2"/>
        </w:numPr>
        <w:spacing w:after="40" w:before="40" w:line="280"/>
      </w:pPr>
      <w:r>
        <w:rPr>
          <w:rFonts w:ascii="Calibri" w:cs="Calibri" w:eastAsia="Calibri" w:hAnsi="Calibri"/>
          <w:sz w:val="22"/>
          <w:szCs w:val="22"/>
        </w:rPr>
        <w:t xml:space="preserve">XML sitemaps split by section; sitemap index referenced in robots.txt.</w:t>
      </w:r>
    </w:p>
    <w:p>
      <w:pPr>
        <w:pStyle w:val="ListParagraph"/>
        <w:numPr>
          <w:ilvl w:val="0"/>
          <w:numId w:val="2"/>
        </w:numPr>
        <w:spacing w:after="40" w:before="40" w:line="280"/>
      </w:pPr>
      <w:r>
        <w:rPr>
          <w:rFonts w:ascii="Calibri" w:cs="Calibri" w:eastAsia="Calibri" w:hAnsi="Calibri"/>
          <w:sz w:val="22"/>
          <w:szCs w:val="22"/>
        </w:rPr>
        <w:t xml:space="preserve">Internal linking system: at least three contextual internal links per long-form page; orphan-page detector runs weekly.</w:t>
      </w:r>
    </w:p>
    <w:p>
      <w:pPr>
        <w:pStyle w:val="Heading3"/>
        <w:spacing w:after="100" w:before="200"/>
      </w:pPr>
      <w:r>
        <w:rPr>
          <w:rFonts w:ascii="Cambria" w:cs="Cambria" w:eastAsia="Cambria" w:hAnsi="Cambria"/>
          <w:b/>
          <w:bCs/>
          <w:color w:val="0064DC"/>
          <w:sz w:val="24"/>
          <w:szCs w:val="24"/>
        </w:rPr>
        <w:t xml:space="preserve">17.2  Analytics Plan</w:t>
      </w:r>
    </w:p>
    <w:p>
      <w:pPr>
        <w:spacing w:after="60" w:before="60" w:line="300"/>
        <w:jc w:val="both"/>
      </w:pPr>
      <w:r>
        <w:rPr>
          <w:rFonts w:ascii="Calibri" w:cs="Calibri" w:eastAsia="Calibri" w:hAnsi="Calibri"/>
          <w:sz w:val="22"/>
          <w:szCs w:val="22"/>
        </w:rPr>
        <w:t xml:space="preserve">The analytics taxonomy is frozen at launch as Annexure B. The taxonomy is structured around audience-centric goals so that conversion can be reported by persona.</w:t>
      </w:r>
    </w:p>
    <w:p>
      <w:pPr>
        <w:pStyle w:val="ListParagraph"/>
        <w:numPr>
          <w:ilvl w:val="0"/>
          <w:numId w:val="2"/>
        </w:numPr>
        <w:spacing w:after="40" w:before="40" w:line="280"/>
      </w:pPr>
      <w:r>
        <w:rPr>
          <w:rFonts w:ascii="Calibri" w:cs="Calibri" w:eastAsia="Calibri" w:hAnsi="Calibri"/>
          <w:sz w:val="22"/>
          <w:szCs w:val="22"/>
        </w:rPr>
        <w:t xml:space="preserve">View Investor KPIs — fired when /investors loads and KPI tiles enter viewport.</w:t>
      </w:r>
    </w:p>
    <w:p>
      <w:pPr>
        <w:pStyle w:val="ListParagraph"/>
        <w:numPr>
          <w:ilvl w:val="0"/>
          <w:numId w:val="2"/>
        </w:numPr>
        <w:spacing w:after="40" w:before="40" w:line="280"/>
      </w:pPr>
      <w:r>
        <w:rPr>
          <w:rFonts w:ascii="Calibri" w:cs="Calibri" w:eastAsia="Calibri" w:hAnsi="Calibri"/>
          <w:sz w:val="22"/>
          <w:szCs w:val="22"/>
        </w:rPr>
        <w:t xml:space="preserve">Submit Investor Enquiry — conversion event.</w:t>
      </w:r>
    </w:p>
    <w:p>
      <w:pPr>
        <w:pStyle w:val="ListParagraph"/>
        <w:numPr>
          <w:ilvl w:val="0"/>
          <w:numId w:val="2"/>
        </w:numPr>
        <w:spacing w:after="40" w:before="40" w:line="280"/>
      </w:pPr>
      <w:r>
        <w:rPr>
          <w:rFonts w:ascii="Calibri" w:cs="Calibri" w:eastAsia="Calibri" w:hAnsi="Calibri"/>
          <w:sz w:val="22"/>
          <w:szCs w:val="22"/>
        </w:rPr>
        <w:t xml:space="preserve">Submit Vendor Intake — conversion event with vendor category dimension.</w:t>
      </w:r>
    </w:p>
    <w:p>
      <w:pPr>
        <w:pStyle w:val="ListParagraph"/>
        <w:numPr>
          <w:ilvl w:val="0"/>
          <w:numId w:val="2"/>
        </w:numPr>
        <w:spacing w:after="40" w:before="40" w:line="280"/>
      </w:pPr>
      <w:r>
        <w:rPr>
          <w:rFonts w:ascii="Calibri" w:cs="Calibri" w:eastAsia="Calibri" w:hAnsi="Calibri"/>
          <w:sz w:val="22"/>
          <w:szCs w:val="22"/>
        </w:rPr>
        <w:t xml:space="preserve">Submit Buyer Intake — conversion event with industry dimension.</w:t>
      </w:r>
    </w:p>
    <w:p>
      <w:pPr>
        <w:pStyle w:val="ListParagraph"/>
        <w:numPr>
          <w:ilvl w:val="0"/>
          <w:numId w:val="2"/>
        </w:numPr>
        <w:spacing w:after="40" w:before="40" w:line="280"/>
      </w:pPr>
      <w:r>
        <w:rPr>
          <w:rFonts w:ascii="Calibri" w:cs="Calibri" w:eastAsia="Calibri" w:hAnsi="Calibri"/>
          <w:sz w:val="22"/>
          <w:szCs w:val="22"/>
        </w:rPr>
        <w:t xml:space="preserve">Submit Career Application — conversion event with role and entity dimensions.</w:t>
      </w:r>
    </w:p>
    <w:p>
      <w:pPr>
        <w:pStyle w:val="ListParagraph"/>
        <w:numPr>
          <w:ilvl w:val="0"/>
          <w:numId w:val="2"/>
        </w:numPr>
        <w:spacing w:after="40" w:before="40" w:line="280"/>
      </w:pPr>
      <w:r>
        <w:rPr>
          <w:rFonts w:ascii="Calibri" w:cs="Calibri" w:eastAsia="Calibri" w:hAnsi="Calibri"/>
          <w:sz w:val="22"/>
          <w:szCs w:val="22"/>
        </w:rPr>
        <w:t xml:space="preserve">Submit Press Enquiry — conversion event.</w:t>
      </w:r>
    </w:p>
    <w:p>
      <w:pPr>
        <w:pStyle w:val="ListParagraph"/>
        <w:numPr>
          <w:ilvl w:val="0"/>
          <w:numId w:val="2"/>
        </w:numPr>
        <w:spacing w:after="40" w:before="40" w:line="280"/>
      </w:pPr>
      <w:r>
        <w:rPr>
          <w:rFonts w:ascii="Calibri" w:cs="Calibri" w:eastAsia="Calibri" w:hAnsi="Calibri"/>
          <w:sz w:val="22"/>
          <w:szCs w:val="22"/>
        </w:rPr>
        <w:t xml:space="preserve">Download Disclosure — download event with disclosure category.</w:t>
      </w:r>
    </w:p>
    <w:p>
      <w:pPr>
        <w:pStyle w:val="ListParagraph"/>
        <w:numPr>
          <w:ilvl w:val="0"/>
          <w:numId w:val="2"/>
        </w:numPr>
        <w:spacing w:after="40" w:before="40" w:line="280"/>
      </w:pPr>
      <w:r>
        <w:rPr>
          <w:rFonts w:ascii="Calibri" w:cs="Calibri" w:eastAsia="Calibri" w:hAnsi="Calibri"/>
          <w:sz w:val="22"/>
          <w:szCs w:val="22"/>
        </w:rPr>
        <w:t xml:space="preserve">Download Media Asset — download event with asset type.</w:t>
      </w:r>
    </w:p>
    <w:p>
      <w:pPr>
        <w:pStyle w:val="Heading3"/>
        <w:spacing w:after="100" w:before="200"/>
      </w:pPr>
      <w:r>
        <w:rPr>
          <w:rFonts w:ascii="Cambria" w:cs="Cambria" w:eastAsia="Cambria" w:hAnsi="Cambria"/>
          <w:b/>
          <w:bCs/>
          <w:color w:val="0064DC"/>
          <w:sz w:val="24"/>
          <w:szCs w:val="24"/>
        </w:rPr>
        <w:t xml:space="preserve">17.3  Performance Budget</w:t>
      </w:r>
    </w:p>
    <w:p>
      <w:pPr>
        <w:pStyle w:val="ListParagraph"/>
        <w:numPr>
          <w:ilvl w:val="0"/>
          <w:numId w:val="2"/>
        </w:numPr>
        <w:spacing w:after="40" w:before="40" w:line="280"/>
      </w:pPr>
      <w:r>
        <w:rPr>
          <w:rFonts w:ascii="Calibri" w:cs="Calibri" w:eastAsia="Calibri" w:hAnsi="Calibri"/>
          <w:sz w:val="22"/>
          <w:szCs w:val="22"/>
        </w:rPr>
        <w:t xml:space="preserve">LCP P75 mobile &lt; 2.5 sec; INP P75 &lt; 200 ms; CLS &lt; 0.1.</w:t>
      </w:r>
    </w:p>
    <w:p>
      <w:pPr>
        <w:pStyle w:val="ListParagraph"/>
        <w:numPr>
          <w:ilvl w:val="0"/>
          <w:numId w:val="2"/>
        </w:numPr>
        <w:spacing w:after="40" w:before="40" w:line="280"/>
      </w:pPr>
      <w:r>
        <w:rPr>
          <w:rFonts w:ascii="Calibri" w:cs="Calibri" w:eastAsia="Calibri" w:hAnsi="Calibri"/>
          <w:sz w:val="22"/>
          <w:szCs w:val="22"/>
        </w:rPr>
        <w:t xml:space="preserve">Page weight &lt; 350 KB above the fold; total &lt; 1.5 MB excluding optional video.</w:t>
      </w:r>
    </w:p>
    <w:p>
      <w:pPr>
        <w:pStyle w:val="ListParagraph"/>
        <w:numPr>
          <w:ilvl w:val="0"/>
          <w:numId w:val="2"/>
        </w:numPr>
        <w:spacing w:after="40" w:before="40" w:line="280"/>
      </w:pPr>
      <w:r>
        <w:rPr>
          <w:rFonts w:ascii="Calibri" w:cs="Calibri" w:eastAsia="Calibri" w:hAnsi="Calibri"/>
          <w:sz w:val="22"/>
          <w:szCs w:val="22"/>
        </w:rPr>
        <w:t xml:space="preserve">Critical CSS inlined; non-critical deferred.</w:t>
      </w:r>
    </w:p>
    <w:p>
      <w:pPr>
        <w:pStyle w:val="ListParagraph"/>
        <w:numPr>
          <w:ilvl w:val="0"/>
          <w:numId w:val="2"/>
        </w:numPr>
        <w:spacing w:after="40" w:before="40" w:line="280"/>
      </w:pPr>
      <w:r>
        <w:rPr>
          <w:rFonts w:ascii="Calibri" w:cs="Calibri" w:eastAsia="Calibri" w:hAnsi="Calibri"/>
          <w:sz w:val="22"/>
          <w:szCs w:val="22"/>
        </w:rPr>
        <w:t xml:space="preserve">JavaScript loaded with module/nomodule strategy and defer/async as appropriate.</w:t>
      </w:r>
    </w:p>
    <w:p>
      <w:pPr>
        <w:pStyle w:val="ListParagraph"/>
        <w:numPr>
          <w:ilvl w:val="0"/>
          <w:numId w:val="2"/>
        </w:numPr>
        <w:spacing w:after="40" w:before="40" w:line="280"/>
      </w:pPr>
      <w:r>
        <w:rPr>
          <w:rFonts w:ascii="Calibri" w:cs="Calibri" w:eastAsia="Calibri" w:hAnsi="Calibri"/>
          <w:sz w:val="22"/>
          <w:szCs w:val="22"/>
        </w:rPr>
        <w:t xml:space="preserve">Images responsive with srcset and sizes; AVIF/WebP preferred.</w:t>
      </w:r>
    </w:p>
    <w:p>
      <w:pPr>
        <w:pStyle w:val="ListParagraph"/>
        <w:numPr>
          <w:ilvl w:val="0"/>
          <w:numId w:val="2"/>
        </w:numPr>
        <w:spacing w:after="40" w:before="40" w:line="280"/>
      </w:pPr>
      <w:r>
        <w:rPr>
          <w:rFonts w:ascii="Calibri" w:cs="Calibri" w:eastAsia="Calibri" w:hAnsi="Calibri"/>
          <w:sz w:val="22"/>
          <w:szCs w:val="22"/>
        </w:rPr>
        <w:t xml:space="preserve">Fonts limited to two families; subset to required glyph sets.</w:t>
      </w:r>
    </w:p>
    <w:p>
      <w:pPr>
        <w:pStyle w:val="Heading3"/>
        <w:spacing w:after="100" w:before="200"/>
      </w:pPr>
      <w:r>
        <w:rPr>
          <w:rFonts w:ascii="Cambria" w:cs="Cambria" w:eastAsia="Cambria" w:hAnsi="Cambria"/>
          <w:b/>
          <w:bCs/>
          <w:color w:val="0064DC"/>
          <w:sz w:val="24"/>
          <w:szCs w:val="24"/>
        </w:rPr>
        <w:t xml:space="preserve">17.4  Web Vitals Monitoring</w:t>
      </w:r>
    </w:p>
    <w:p>
      <w:pPr>
        <w:pStyle w:val="ListParagraph"/>
        <w:numPr>
          <w:ilvl w:val="0"/>
          <w:numId w:val="2"/>
        </w:numPr>
        <w:spacing w:after="40" w:before="40" w:line="280"/>
      </w:pPr>
      <w:r>
        <w:rPr>
          <w:rFonts w:ascii="Calibri" w:cs="Calibri" w:eastAsia="Calibri" w:hAnsi="Calibri"/>
          <w:sz w:val="22"/>
          <w:szCs w:val="22"/>
        </w:rPr>
        <w:t xml:space="preserve">RUM via the GA4 web-vitals plug-in; CrUX field data reviewed monthly.</w:t>
      </w:r>
    </w:p>
    <w:p>
      <w:pPr>
        <w:pStyle w:val="ListParagraph"/>
        <w:numPr>
          <w:ilvl w:val="0"/>
          <w:numId w:val="2"/>
        </w:numPr>
        <w:spacing w:after="40" w:before="40" w:line="280"/>
      </w:pPr>
      <w:r>
        <w:rPr>
          <w:rFonts w:ascii="Calibri" w:cs="Calibri" w:eastAsia="Calibri" w:hAnsi="Calibri"/>
          <w:sz w:val="22"/>
          <w:szCs w:val="22"/>
        </w:rPr>
        <w:t xml:space="preserve">Synthetic monitoring with Lighthouse CI in CI/CD; regressions block merge.</w:t>
      </w:r>
    </w:p>
    <w:p>
      <w:pPr>
        <w:pStyle w:val="ListParagraph"/>
        <w:numPr>
          <w:ilvl w:val="0"/>
          <w:numId w:val="2"/>
        </w:numPr>
        <w:spacing w:after="40" w:before="40" w:line="280"/>
      </w:pPr>
      <w:r>
        <w:rPr>
          <w:rFonts w:ascii="Calibri" w:cs="Calibri" w:eastAsia="Calibri" w:hAnsi="Calibri"/>
          <w:sz w:val="22"/>
          <w:szCs w:val="22"/>
        </w:rPr>
        <w:t xml:space="preserve">Quarterly performance review attended by Programme Owner and Tech Authority.</w:t>
      </w:r>
    </w:p>
    <w:p>
      <w:r>
        <w:br w:type="page"/>
      </w:r>
    </w:p>
    <w:p>
      <w:pPr>
        <w:pStyle w:val="Heading1"/>
        <w:spacing w:after="180" w:before="360"/>
      </w:pPr>
      <w:r>
        <w:rPr>
          <w:rFonts w:ascii="Cambria" w:cs="Cambria" w:eastAsia="Cambria" w:hAnsi="Cambria"/>
          <w:b/>
          <w:bCs/>
          <w:color w:val="1B3A5C"/>
          <w:sz w:val="36"/>
          <w:szCs w:val="36"/>
        </w:rPr>
        <w:t xml:space="preserve">18.  Security, Privacy &amp; Compliance</w:t>
      </w:r>
    </w:p>
    <w:p>
      <w:pPr>
        <w:pStyle w:val="Heading3"/>
        <w:spacing w:after="100" w:before="200"/>
      </w:pPr>
      <w:r>
        <w:rPr>
          <w:rFonts w:ascii="Cambria" w:cs="Cambria" w:eastAsia="Cambria" w:hAnsi="Cambria"/>
          <w:b/>
          <w:bCs/>
          <w:color w:val="0064DC"/>
          <w:sz w:val="24"/>
          <w:szCs w:val="24"/>
        </w:rPr>
        <w:t xml:space="preserve">18.1  Security Principles</w:t>
      </w:r>
    </w:p>
    <w:p>
      <w:pPr>
        <w:pStyle w:val="ListParagraph"/>
        <w:numPr>
          <w:ilvl w:val="0"/>
          <w:numId w:val="2"/>
        </w:numPr>
        <w:spacing w:after="40" w:before="40" w:line="280"/>
      </w:pPr>
      <w:r>
        <w:rPr>
          <w:rFonts w:ascii="Calibri" w:cs="Calibri" w:eastAsia="Calibri" w:hAnsi="Calibri"/>
          <w:sz w:val="22"/>
          <w:szCs w:val="22"/>
        </w:rPr>
        <w:t xml:space="preserve">Defence in depth: edge, network, application, data, and identity layers each enforce controls.</w:t>
      </w:r>
    </w:p>
    <w:p>
      <w:pPr>
        <w:pStyle w:val="ListParagraph"/>
        <w:numPr>
          <w:ilvl w:val="0"/>
          <w:numId w:val="2"/>
        </w:numPr>
        <w:spacing w:after="40" w:before="40" w:line="280"/>
      </w:pPr>
      <w:r>
        <w:rPr>
          <w:rFonts w:ascii="Calibri" w:cs="Calibri" w:eastAsia="Calibri" w:hAnsi="Calibri"/>
          <w:sz w:val="22"/>
          <w:szCs w:val="22"/>
        </w:rPr>
        <w:t xml:space="preserve">Least privilege: human and service identities receive only the privileges required.</w:t>
      </w:r>
    </w:p>
    <w:p>
      <w:pPr>
        <w:pStyle w:val="ListParagraph"/>
        <w:numPr>
          <w:ilvl w:val="0"/>
          <w:numId w:val="2"/>
        </w:numPr>
        <w:spacing w:after="40" w:before="40" w:line="280"/>
      </w:pPr>
      <w:r>
        <w:rPr>
          <w:rFonts w:ascii="Calibri" w:cs="Calibri" w:eastAsia="Calibri" w:hAnsi="Calibri"/>
          <w:sz w:val="22"/>
          <w:szCs w:val="22"/>
        </w:rPr>
        <w:t xml:space="preserve">Secure by default: hardened images, opinionated framework defaults, deny-by-default network policies.</w:t>
      </w:r>
    </w:p>
    <w:p>
      <w:pPr>
        <w:pStyle w:val="ListParagraph"/>
        <w:numPr>
          <w:ilvl w:val="0"/>
          <w:numId w:val="2"/>
        </w:numPr>
        <w:spacing w:after="40" w:before="40" w:line="280"/>
      </w:pPr>
      <w:r>
        <w:rPr>
          <w:rFonts w:ascii="Calibri" w:cs="Calibri" w:eastAsia="Calibri" w:hAnsi="Calibri"/>
          <w:sz w:val="22"/>
          <w:szCs w:val="22"/>
        </w:rPr>
        <w:t xml:space="preserve">Continuous validation: SAST, DAST, dependency scanning, periodic third-party VA/PT.</w:t>
      </w:r>
    </w:p>
    <w:p>
      <w:pPr>
        <w:pStyle w:val="Heading3"/>
        <w:spacing w:after="100" w:before="200"/>
      </w:pPr>
      <w:r>
        <w:rPr>
          <w:rFonts w:ascii="Cambria" w:cs="Cambria" w:eastAsia="Cambria" w:hAnsi="Cambria"/>
          <w:b/>
          <w:bCs/>
          <w:color w:val="0064DC"/>
          <w:sz w:val="24"/>
          <w:szCs w:val="24"/>
        </w:rPr>
        <w:t xml:space="preserve">18.2  Application Security</w:t>
      </w:r>
    </w:p>
    <w:p>
      <w:pPr>
        <w:pStyle w:val="ListParagraph"/>
        <w:numPr>
          <w:ilvl w:val="0"/>
          <w:numId w:val="2"/>
        </w:numPr>
        <w:spacing w:after="40" w:before="40" w:line="280"/>
      </w:pPr>
      <w:r>
        <w:rPr>
          <w:rFonts w:ascii="Calibri" w:cs="Calibri" w:eastAsia="Calibri" w:hAnsi="Calibri"/>
          <w:sz w:val="22"/>
          <w:szCs w:val="22"/>
        </w:rPr>
        <w:t xml:space="preserve">Input validation at the boundary; output encoding by template engine.</w:t>
      </w:r>
    </w:p>
    <w:p>
      <w:pPr>
        <w:pStyle w:val="ListParagraph"/>
        <w:numPr>
          <w:ilvl w:val="0"/>
          <w:numId w:val="2"/>
        </w:numPr>
        <w:spacing w:after="40" w:before="40" w:line="280"/>
      </w:pPr>
      <w:r>
        <w:rPr>
          <w:rFonts w:ascii="Calibri" w:cs="Calibri" w:eastAsia="Calibri" w:hAnsi="Calibri"/>
          <w:sz w:val="22"/>
          <w:szCs w:val="22"/>
        </w:rPr>
        <w:t xml:space="preserve">Anti-CSRF tokens on state-changing endpoints; same-site cookies.</w:t>
      </w:r>
    </w:p>
    <w:p>
      <w:pPr>
        <w:pStyle w:val="ListParagraph"/>
        <w:numPr>
          <w:ilvl w:val="0"/>
          <w:numId w:val="2"/>
        </w:numPr>
        <w:spacing w:after="40" w:before="40" w:line="280"/>
      </w:pPr>
      <w:r>
        <w:rPr>
          <w:rFonts w:ascii="Calibri" w:cs="Calibri" w:eastAsia="Calibri" w:hAnsi="Calibri"/>
          <w:sz w:val="22"/>
          <w:szCs w:val="22"/>
        </w:rPr>
        <w:t xml:space="preserve">Rate limiting on form endpoints; reCAPTCHA Enterprise on public submissions.</w:t>
      </w:r>
    </w:p>
    <w:p>
      <w:pPr>
        <w:pStyle w:val="ListParagraph"/>
        <w:numPr>
          <w:ilvl w:val="0"/>
          <w:numId w:val="2"/>
        </w:numPr>
        <w:spacing w:after="40" w:before="40" w:line="280"/>
      </w:pPr>
      <w:r>
        <w:rPr>
          <w:rFonts w:ascii="Calibri" w:cs="Calibri" w:eastAsia="Calibri" w:hAnsi="Calibri"/>
          <w:sz w:val="22"/>
          <w:szCs w:val="22"/>
        </w:rPr>
        <w:t xml:space="preserve">Strict Content Security Policy with nonce-based script execution.</w:t>
      </w:r>
    </w:p>
    <w:p>
      <w:pPr>
        <w:pStyle w:val="ListParagraph"/>
        <w:numPr>
          <w:ilvl w:val="0"/>
          <w:numId w:val="2"/>
        </w:numPr>
        <w:spacing w:after="40" w:before="40" w:line="280"/>
      </w:pPr>
      <w:r>
        <w:rPr>
          <w:rFonts w:ascii="Calibri" w:cs="Calibri" w:eastAsia="Calibri" w:hAnsi="Calibri"/>
          <w:sz w:val="22"/>
          <w:szCs w:val="22"/>
        </w:rPr>
        <w:t xml:space="preserve">Subresource Integrity on third-party scripts where supported.</w:t>
      </w:r>
    </w:p>
    <w:p>
      <w:pPr>
        <w:pStyle w:val="Heading3"/>
        <w:spacing w:after="100" w:before="200"/>
      </w:pPr>
      <w:r>
        <w:rPr>
          <w:rFonts w:ascii="Cambria" w:cs="Cambria" w:eastAsia="Cambria" w:hAnsi="Cambria"/>
          <w:b/>
          <w:bCs/>
          <w:color w:val="0064DC"/>
          <w:sz w:val="24"/>
          <w:szCs w:val="24"/>
        </w:rPr>
        <w:t xml:space="preserve">18.3  Identity &amp; Access</w:t>
      </w:r>
    </w:p>
    <w:p>
      <w:pPr>
        <w:pStyle w:val="ListParagraph"/>
        <w:numPr>
          <w:ilvl w:val="0"/>
          <w:numId w:val="2"/>
        </w:numPr>
        <w:spacing w:after="40" w:before="40" w:line="280"/>
      </w:pPr>
      <w:r>
        <w:rPr>
          <w:rFonts w:ascii="Calibri" w:cs="Calibri" w:eastAsia="Calibri" w:hAnsi="Calibri"/>
          <w:sz w:val="22"/>
          <w:szCs w:val="22"/>
        </w:rPr>
        <w:t xml:space="preserve">Editorial users authenticate via Group SSO (OIDC) with mandatory MFA.</w:t>
      </w:r>
    </w:p>
    <w:p>
      <w:pPr>
        <w:pStyle w:val="ListParagraph"/>
        <w:numPr>
          <w:ilvl w:val="0"/>
          <w:numId w:val="2"/>
        </w:numPr>
        <w:spacing w:after="40" w:before="40" w:line="280"/>
      </w:pPr>
      <w:r>
        <w:rPr>
          <w:rFonts w:ascii="Calibri" w:cs="Calibri" w:eastAsia="Calibri" w:hAnsi="Calibri"/>
          <w:sz w:val="22"/>
          <w:szCs w:val="22"/>
        </w:rPr>
        <w:t xml:space="preserve">Role-based access control mapped to capabilities; access reviewed quarterly.</w:t>
      </w:r>
    </w:p>
    <w:p>
      <w:pPr>
        <w:pStyle w:val="ListParagraph"/>
        <w:numPr>
          <w:ilvl w:val="0"/>
          <w:numId w:val="2"/>
        </w:numPr>
        <w:spacing w:after="40" w:before="40" w:line="280"/>
      </w:pPr>
      <w:r>
        <w:rPr>
          <w:rFonts w:ascii="Calibri" w:cs="Calibri" w:eastAsia="Calibri" w:hAnsi="Calibri"/>
          <w:sz w:val="22"/>
          <w:szCs w:val="22"/>
        </w:rPr>
        <w:t xml:space="preserve">Privileged actions (publishing, role changes) generate audit log entries with actor, time, IP and change set.</w:t>
      </w:r>
    </w:p>
    <w:p>
      <w:pPr>
        <w:pStyle w:val="Heading3"/>
        <w:spacing w:after="100" w:before="200"/>
      </w:pPr>
      <w:r>
        <w:rPr>
          <w:rFonts w:ascii="Cambria" w:cs="Cambria" w:eastAsia="Cambria" w:hAnsi="Cambria"/>
          <w:b/>
          <w:bCs/>
          <w:color w:val="0064DC"/>
          <w:sz w:val="24"/>
          <w:szCs w:val="24"/>
        </w:rPr>
        <w:t xml:space="preserve">18.4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Class</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Examples</w:t>
            </w:r>
          </w:p>
        </w:tc>
        <w:tc>
          <w:tcPr>
            <w:tcW w:type="dxa" w:w="45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Handling</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Public</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releases, marketing pages</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No restriction</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Internal</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drafts, internal analytics</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Authenticated access only</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Confidential</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Investor enquiries, leads</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Encrypted at rest; restricted CRM access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Restricted</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Whistleblower disclosures</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Need-to-know, encrypted, audit-logged</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18.5  Privacy Programme</w:t>
      </w:r>
    </w:p>
    <w:p>
      <w:pPr>
        <w:pStyle w:val="ListParagraph"/>
        <w:numPr>
          <w:ilvl w:val="0"/>
          <w:numId w:val="2"/>
        </w:numPr>
        <w:spacing w:after="40" w:before="40" w:line="280"/>
      </w:pPr>
      <w:r>
        <w:rPr>
          <w:rFonts w:ascii="Calibri" w:cs="Calibri" w:eastAsia="Calibri" w:hAnsi="Calibri"/>
          <w:sz w:val="22"/>
          <w:szCs w:val="22"/>
        </w:rPr>
        <w:t xml:space="preserve">Privacy notice at /legal/privacy aligned to DPDPA 2023; updated on processing change.</w:t>
      </w:r>
    </w:p>
    <w:p>
      <w:pPr>
        <w:pStyle w:val="ListParagraph"/>
        <w:numPr>
          <w:ilvl w:val="0"/>
          <w:numId w:val="2"/>
        </w:numPr>
        <w:spacing w:after="40" w:before="40" w:line="280"/>
      </w:pPr>
      <w:r>
        <w:rPr>
          <w:rFonts w:ascii="Calibri" w:cs="Calibri" w:eastAsia="Calibri" w:hAnsi="Calibri"/>
          <w:sz w:val="22"/>
          <w:szCs w:val="22"/>
        </w:rPr>
        <w:t xml:space="preserve">Granular consent at point of collection; consent record retained as part of evidence.</w:t>
      </w:r>
    </w:p>
    <w:p>
      <w:pPr>
        <w:pStyle w:val="ListParagraph"/>
        <w:numPr>
          <w:ilvl w:val="0"/>
          <w:numId w:val="2"/>
        </w:numPr>
        <w:spacing w:after="40" w:before="40" w:line="280"/>
      </w:pPr>
      <w:r>
        <w:rPr>
          <w:rFonts w:ascii="Calibri" w:cs="Calibri" w:eastAsia="Calibri" w:hAnsi="Calibri"/>
          <w:sz w:val="22"/>
          <w:szCs w:val="22"/>
        </w:rPr>
        <w:t xml:space="preserve">Data subject rights workflow: request intake, identity verification, fulfilment within statutory timelines.</w:t>
      </w:r>
    </w:p>
    <w:p>
      <w:pPr>
        <w:pStyle w:val="ListParagraph"/>
        <w:numPr>
          <w:ilvl w:val="0"/>
          <w:numId w:val="2"/>
        </w:numPr>
        <w:spacing w:after="40" w:before="40" w:line="280"/>
      </w:pPr>
      <w:r>
        <w:rPr>
          <w:rFonts w:ascii="Calibri" w:cs="Calibri" w:eastAsia="Calibri" w:hAnsi="Calibri"/>
          <w:sz w:val="22"/>
          <w:szCs w:val="22"/>
        </w:rPr>
        <w:t xml:space="preserve">Data Protection Impact Assessment (DPIA) maintained for high-risk processing.</w:t>
      </w:r>
    </w:p>
    <w:p>
      <w:pPr>
        <w:pStyle w:val="Heading3"/>
        <w:spacing w:after="100" w:before="200"/>
      </w:pPr>
      <w:r>
        <w:rPr>
          <w:rFonts w:ascii="Cambria" w:cs="Cambria" w:eastAsia="Cambria" w:hAnsi="Cambria"/>
          <w:b/>
          <w:bCs/>
          <w:color w:val="0064DC"/>
          <w:sz w:val="24"/>
          <w:szCs w:val="24"/>
        </w:rPr>
        <w:t xml:space="preserve">18.6  Compliance Posture</w:t>
      </w:r>
    </w:p>
    <w:p>
      <w:pPr>
        <w:pStyle w:val="ListParagraph"/>
        <w:numPr>
          <w:ilvl w:val="0"/>
          <w:numId w:val="2"/>
        </w:numPr>
        <w:spacing w:after="40" w:before="40" w:line="280"/>
      </w:pPr>
      <w:r>
        <w:rPr>
          <w:rFonts w:ascii="Calibri" w:cs="Calibri" w:eastAsia="Calibri" w:hAnsi="Calibri"/>
          <w:sz w:val="22"/>
          <w:szCs w:val="22"/>
        </w:rPr>
        <w:t xml:space="preserve">Operational alignment with ISO 27001 control families; Statement of Applicability maintained.</w:t>
      </w:r>
    </w:p>
    <w:p>
      <w:pPr>
        <w:pStyle w:val="ListParagraph"/>
        <w:numPr>
          <w:ilvl w:val="0"/>
          <w:numId w:val="2"/>
        </w:numPr>
        <w:spacing w:after="40" w:before="40" w:line="280"/>
      </w:pPr>
      <w:r>
        <w:rPr>
          <w:rFonts w:ascii="Calibri" w:cs="Calibri" w:eastAsia="Calibri" w:hAnsi="Calibri"/>
          <w:sz w:val="22"/>
          <w:szCs w:val="22"/>
        </w:rPr>
        <w:t xml:space="preserve">Vulnerability management policy with defined remediation SLAs.</w:t>
      </w:r>
    </w:p>
    <w:p>
      <w:pPr>
        <w:pStyle w:val="ListParagraph"/>
        <w:numPr>
          <w:ilvl w:val="0"/>
          <w:numId w:val="2"/>
        </w:numPr>
        <w:spacing w:after="40" w:before="40" w:line="280"/>
      </w:pPr>
      <w:r>
        <w:rPr>
          <w:rFonts w:ascii="Calibri" w:cs="Calibri" w:eastAsia="Calibri" w:hAnsi="Calibri"/>
          <w:sz w:val="22"/>
          <w:szCs w:val="22"/>
        </w:rPr>
        <w:t xml:space="preserve">Annual third-party penetration test; remediation tracked to closure.</w:t>
      </w:r>
    </w:p>
    <w:p>
      <w:pPr>
        <w:pStyle w:val="ListParagraph"/>
        <w:numPr>
          <w:ilvl w:val="0"/>
          <w:numId w:val="2"/>
        </w:numPr>
        <w:spacing w:after="40" w:before="40" w:line="280"/>
      </w:pPr>
      <w:r>
        <w:rPr>
          <w:rFonts w:ascii="Calibri" w:cs="Calibri" w:eastAsia="Calibri" w:hAnsi="Calibri"/>
          <w:sz w:val="22"/>
          <w:szCs w:val="22"/>
        </w:rPr>
        <w:t xml:space="preserve">Incident response plan with runbooks for the top ten anticipated incidents.</w:t>
      </w:r>
    </w:p>
    <w:p>
      <w:r>
        <w:br w:type="page"/>
      </w:r>
    </w:p>
    <w:p>
      <w:pPr>
        <w:pStyle w:val="Heading1"/>
        <w:spacing w:after="180" w:before="360"/>
      </w:pPr>
      <w:r>
        <w:rPr>
          <w:rFonts w:ascii="Cambria" w:cs="Cambria" w:eastAsia="Cambria" w:hAnsi="Cambria"/>
          <w:b/>
          <w:bCs/>
          <w:color w:val="1B3A5C"/>
          <w:sz w:val="36"/>
          <w:szCs w:val="36"/>
        </w:rPr>
        <w:t xml:space="preserve">19.  Accessibility (WCAG 2.1 AA)</w:t>
      </w:r>
    </w:p>
    <w:p>
      <w:pPr>
        <w:spacing w:after="60" w:before="60" w:line="300"/>
        <w:jc w:val="both"/>
      </w:pPr>
      <w:r>
        <w:rPr>
          <w:rFonts w:ascii="Calibri" w:cs="Calibri" w:eastAsia="Calibri" w:hAnsi="Calibri"/>
          <w:sz w:val="22"/>
          <w:szCs w:val="22"/>
        </w:rPr>
        <w:t xml:space="preserve">Accessibility is treated as a first-class engineering and editorial concern. The Master Website is targeted at conformance with the Web Content Accessibility Guidelines 2.1 at Level AA, validated by an independent third-party audit before Go-Live and re-audited annually.</w:t>
      </w:r>
    </w:p>
    <w:p>
      <w:pPr>
        <w:pStyle w:val="Heading3"/>
        <w:spacing w:after="100" w:before="200"/>
      </w:pPr>
      <w:r>
        <w:rPr>
          <w:rFonts w:ascii="Cambria" w:cs="Cambria" w:eastAsia="Cambria" w:hAnsi="Cambria"/>
          <w:b/>
          <w:bCs/>
          <w:color w:val="0064DC"/>
          <w:sz w:val="24"/>
          <w:szCs w:val="24"/>
        </w:rPr>
        <w:t xml:space="preserve">19.1  Perceivable</w:t>
      </w:r>
    </w:p>
    <w:p>
      <w:pPr>
        <w:pStyle w:val="ListParagraph"/>
        <w:numPr>
          <w:ilvl w:val="0"/>
          <w:numId w:val="2"/>
        </w:numPr>
        <w:spacing w:after="40" w:before="40" w:line="280"/>
      </w:pPr>
      <w:r>
        <w:rPr>
          <w:rFonts w:ascii="Calibri" w:cs="Calibri" w:eastAsia="Calibri" w:hAnsi="Calibri"/>
          <w:sz w:val="22"/>
          <w:szCs w:val="22"/>
        </w:rPr>
        <w:t xml:space="preserve">Text alternatives for non-text content; decorative images marked accordingly.</w:t>
      </w:r>
    </w:p>
    <w:p>
      <w:pPr>
        <w:pStyle w:val="ListParagraph"/>
        <w:numPr>
          <w:ilvl w:val="0"/>
          <w:numId w:val="2"/>
        </w:numPr>
        <w:spacing w:after="40" w:before="40" w:line="280"/>
      </w:pPr>
      <w:r>
        <w:rPr>
          <w:rFonts w:ascii="Calibri" w:cs="Calibri" w:eastAsia="Calibri" w:hAnsi="Calibri"/>
          <w:sz w:val="22"/>
          <w:szCs w:val="22"/>
        </w:rPr>
        <w:t xml:space="preserve">Captions and transcripts for time-based media.</w:t>
      </w:r>
    </w:p>
    <w:p>
      <w:pPr>
        <w:pStyle w:val="ListParagraph"/>
        <w:numPr>
          <w:ilvl w:val="0"/>
          <w:numId w:val="2"/>
        </w:numPr>
        <w:spacing w:after="40" w:before="40" w:line="280"/>
      </w:pPr>
      <w:r>
        <w:rPr>
          <w:rFonts w:ascii="Calibri" w:cs="Calibri" w:eastAsia="Calibri" w:hAnsi="Calibri"/>
          <w:sz w:val="22"/>
          <w:szCs w:val="22"/>
        </w:rPr>
        <w:t xml:space="preserve">Content adaptable: semantic HTML, meaningful reading order, no reliance on visual layout for meaning.</w:t>
      </w:r>
    </w:p>
    <w:p>
      <w:pPr>
        <w:pStyle w:val="ListParagraph"/>
        <w:numPr>
          <w:ilvl w:val="0"/>
          <w:numId w:val="2"/>
        </w:numPr>
        <w:spacing w:after="40" w:before="40" w:line="280"/>
      </w:pPr>
      <w:r>
        <w:rPr>
          <w:rFonts w:ascii="Calibri" w:cs="Calibri" w:eastAsia="Calibri" w:hAnsi="Calibri"/>
          <w:sz w:val="22"/>
          <w:szCs w:val="22"/>
        </w:rPr>
        <w:t xml:space="preserve">Distinguishable: contrast ratio ≥ 4.5:1 for normal text and 3:1 for large text and UI components; resizable text without loss of function.</w:t>
      </w:r>
    </w:p>
    <w:p>
      <w:pPr>
        <w:pStyle w:val="Heading3"/>
        <w:spacing w:after="100" w:before="200"/>
      </w:pPr>
      <w:r>
        <w:rPr>
          <w:rFonts w:ascii="Cambria" w:cs="Cambria" w:eastAsia="Cambria" w:hAnsi="Cambria"/>
          <w:b/>
          <w:bCs/>
          <w:color w:val="0064DC"/>
          <w:sz w:val="24"/>
          <w:szCs w:val="24"/>
        </w:rPr>
        <w:t xml:space="preserve">19.2  Operable</w:t>
      </w:r>
    </w:p>
    <w:p>
      <w:pPr>
        <w:pStyle w:val="ListParagraph"/>
        <w:numPr>
          <w:ilvl w:val="0"/>
          <w:numId w:val="2"/>
        </w:numPr>
        <w:spacing w:after="40" w:before="40" w:line="280"/>
      </w:pPr>
      <w:r>
        <w:rPr>
          <w:rFonts w:ascii="Calibri" w:cs="Calibri" w:eastAsia="Calibri" w:hAnsi="Calibri"/>
          <w:sz w:val="22"/>
          <w:szCs w:val="22"/>
        </w:rPr>
        <w:t xml:space="preserve">Keyboard accessible across all functionality; no keyboard traps; visible focus indicators.</w:t>
      </w:r>
    </w:p>
    <w:p>
      <w:pPr>
        <w:pStyle w:val="ListParagraph"/>
        <w:numPr>
          <w:ilvl w:val="0"/>
          <w:numId w:val="2"/>
        </w:numPr>
        <w:spacing w:after="40" w:before="40" w:line="280"/>
      </w:pPr>
      <w:r>
        <w:rPr>
          <w:rFonts w:ascii="Calibri" w:cs="Calibri" w:eastAsia="Calibri" w:hAnsi="Calibri"/>
          <w:sz w:val="22"/>
          <w:szCs w:val="22"/>
        </w:rPr>
        <w:t xml:space="preserve">Time-based interactions allow extension or removal.</w:t>
      </w:r>
    </w:p>
    <w:p>
      <w:pPr>
        <w:pStyle w:val="ListParagraph"/>
        <w:numPr>
          <w:ilvl w:val="0"/>
          <w:numId w:val="2"/>
        </w:numPr>
        <w:spacing w:after="40" w:before="40" w:line="280"/>
      </w:pPr>
      <w:r>
        <w:rPr>
          <w:rFonts w:ascii="Calibri" w:cs="Calibri" w:eastAsia="Calibri" w:hAnsi="Calibri"/>
          <w:sz w:val="22"/>
          <w:szCs w:val="22"/>
        </w:rPr>
        <w:t xml:space="preserve">No content known to cause seizures (no flashing &gt; 3 Hz).</w:t>
      </w:r>
    </w:p>
    <w:p>
      <w:pPr>
        <w:pStyle w:val="ListParagraph"/>
        <w:numPr>
          <w:ilvl w:val="0"/>
          <w:numId w:val="2"/>
        </w:numPr>
        <w:spacing w:after="40" w:before="40" w:line="280"/>
      </w:pPr>
      <w:r>
        <w:rPr>
          <w:rFonts w:ascii="Calibri" w:cs="Calibri" w:eastAsia="Calibri" w:hAnsi="Calibri"/>
          <w:sz w:val="22"/>
          <w:szCs w:val="22"/>
        </w:rPr>
        <w:t xml:space="preserve">Skip links, page titles, descriptive link text, multiple ways to find pages.</w:t>
      </w:r>
    </w:p>
    <w:p>
      <w:pPr>
        <w:pStyle w:val="Heading3"/>
        <w:spacing w:after="100" w:before="200"/>
      </w:pPr>
      <w:r>
        <w:rPr>
          <w:rFonts w:ascii="Cambria" w:cs="Cambria" w:eastAsia="Cambria" w:hAnsi="Cambria"/>
          <w:b/>
          <w:bCs/>
          <w:color w:val="0064DC"/>
          <w:sz w:val="24"/>
          <w:szCs w:val="24"/>
        </w:rPr>
        <w:t xml:space="preserve">19.3  Understandable</w:t>
      </w:r>
    </w:p>
    <w:p>
      <w:pPr>
        <w:pStyle w:val="ListParagraph"/>
        <w:numPr>
          <w:ilvl w:val="0"/>
          <w:numId w:val="2"/>
        </w:numPr>
        <w:spacing w:after="40" w:before="40" w:line="280"/>
      </w:pPr>
      <w:r>
        <w:rPr>
          <w:rFonts w:ascii="Calibri" w:cs="Calibri" w:eastAsia="Calibri" w:hAnsi="Calibri"/>
          <w:sz w:val="22"/>
          <w:szCs w:val="22"/>
        </w:rPr>
        <w:t xml:space="preserve">Page language declared; section-level language declared where it differs.</w:t>
      </w:r>
    </w:p>
    <w:p>
      <w:pPr>
        <w:pStyle w:val="ListParagraph"/>
        <w:numPr>
          <w:ilvl w:val="0"/>
          <w:numId w:val="2"/>
        </w:numPr>
        <w:spacing w:after="40" w:before="40" w:line="280"/>
      </w:pPr>
      <w:r>
        <w:rPr>
          <w:rFonts w:ascii="Calibri" w:cs="Calibri" w:eastAsia="Calibri" w:hAnsi="Calibri"/>
          <w:sz w:val="22"/>
          <w:szCs w:val="22"/>
        </w:rPr>
        <w:t xml:space="preserve">Predictable navigation and identification; consistent components across pages.</w:t>
      </w:r>
    </w:p>
    <w:p>
      <w:pPr>
        <w:pStyle w:val="ListParagraph"/>
        <w:numPr>
          <w:ilvl w:val="0"/>
          <w:numId w:val="2"/>
        </w:numPr>
        <w:spacing w:after="40" w:before="40" w:line="280"/>
      </w:pPr>
      <w:r>
        <w:rPr>
          <w:rFonts w:ascii="Calibri" w:cs="Calibri" w:eastAsia="Calibri" w:hAnsi="Calibri"/>
          <w:sz w:val="22"/>
          <w:szCs w:val="22"/>
        </w:rPr>
        <w:t xml:space="preserve">Input assistance: clear labels, instructions, descriptive errors, and error suggestions.</w:t>
      </w:r>
    </w:p>
    <w:p>
      <w:pPr>
        <w:pStyle w:val="Heading3"/>
        <w:spacing w:after="100" w:before="200"/>
      </w:pPr>
      <w:r>
        <w:rPr>
          <w:rFonts w:ascii="Cambria" w:cs="Cambria" w:eastAsia="Cambria" w:hAnsi="Cambria"/>
          <w:b/>
          <w:bCs/>
          <w:color w:val="0064DC"/>
          <w:sz w:val="24"/>
          <w:szCs w:val="24"/>
        </w:rPr>
        <w:t xml:space="preserve">19.4  Robust</w:t>
      </w:r>
    </w:p>
    <w:p>
      <w:pPr>
        <w:pStyle w:val="ListParagraph"/>
        <w:numPr>
          <w:ilvl w:val="0"/>
          <w:numId w:val="2"/>
        </w:numPr>
        <w:spacing w:after="40" w:before="40" w:line="280"/>
      </w:pPr>
      <w:r>
        <w:rPr>
          <w:rFonts w:ascii="Calibri" w:cs="Calibri" w:eastAsia="Calibri" w:hAnsi="Calibri"/>
          <w:sz w:val="22"/>
          <w:szCs w:val="22"/>
        </w:rPr>
        <w:t xml:space="preserve">Valid HTML; ARIA used only where native semantics fall short.</w:t>
      </w:r>
    </w:p>
    <w:p>
      <w:pPr>
        <w:pStyle w:val="ListParagraph"/>
        <w:numPr>
          <w:ilvl w:val="0"/>
          <w:numId w:val="2"/>
        </w:numPr>
        <w:spacing w:after="40" w:before="40" w:line="280"/>
      </w:pPr>
      <w:r>
        <w:rPr>
          <w:rFonts w:ascii="Calibri" w:cs="Calibri" w:eastAsia="Calibri" w:hAnsi="Calibri"/>
          <w:sz w:val="22"/>
          <w:szCs w:val="22"/>
        </w:rPr>
        <w:t xml:space="preserve">Status messages communicated to assistive technology via live regions.</w:t>
      </w:r>
    </w:p>
    <w:p>
      <w:pPr>
        <w:pStyle w:val="Heading3"/>
        <w:spacing w:after="100" w:before="200"/>
      </w:pPr>
      <w:r>
        <w:rPr>
          <w:rFonts w:ascii="Cambria" w:cs="Cambria" w:eastAsia="Cambria" w:hAnsi="Cambria"/>
          <w:b/>
          <w:bCs/>
          <w:color w:val="0064DC"/>
          <w:sz w:val="24"/>
          <w:szCs w:val="24"/>
        </w:rPr>
        <w:t xml:space="preserve">19.5  Validation Approach</w:t>
      </w:r>
    </w:p>
    <w:p>
      <w:pPr>
        <w:pStyle w:val="ListParagraph"/>
        <w:numPr>
          <w:ilvl w:val="0"/>
          <w:numId w:val="2"/>
        </w:numPr>
        <w:spacing w:after="40" w:before="40" w:line="280"/>
      </w:pPr>
      <w:r>
        <w:rPr>
          <w:rFonts w:ascii="Calibri" w:cs="Calibri" w:eastAsia="Calibri" w:hAnsi="Calibri"/>
          <w:sz w:val="22"/>
          <w:szCs w:val="22"/>
        </w:rPr>
        <w:t xml:space="preserve">Automated testing with axe-core integrated into CI; build fails on Critical or Serious violations.</w:t>
      </w:r>
    </w:p>
    <w:p>
      <w:pPr>
        <w:pStyle w:val="ListParagraph"/>
        <w:numPr>
          <w:ilvl w:val="0"/>
          <w:numId w:val="2"/>
        </w:numPr>
        <w:spacing w:after="40" w:before="40" w:line="280"/>
      </w:pPr>
      <w:r>
        <w:rPr>
          <w:rFonts w:ascii="Calibri" w:cs="Calibri" w:eastAsia="Calibri" w:hAnsi="Calibri"/>
          <w:sz w:val="22"/>
          <w:szCs w:val="22"/>
        </w:rPr>
        <w:t xml:space="preserve">Manual screen-reader testing on JAWS, NVDA and VoiceOver across the priority pages.</w:t>
      </w:r>
    </w:p>
    <w:p>
      <w:pPr>
        <w:pStyle w:val="ListParagraph"/>
        <w:numPr>
          <w:ilvl w:val="0"/>
          <w:numId w:val="2"/>
        </w:numPr>
        <w:spacing w:after="40" w:before="40" w:line="280"/>
      </w:pPr>
      <w:r>
        <w:rPr>
          <w:rFonts w:ascii="Calibri" w:cs="Calibri" w:eastAsia="Calibri" w:hAnsi="Calibri"/>
          <w:sz w:val="22"/>
          <w:szCs w:val="22"/>
        </w:rPr>
        <w:t xml:space="preserve">Independent audit by a qualified accessibility partner; Statement of Conformance issued before Go-Live.</w:t>
      </w:r>
    </w:p>
    <w:p>
      <w:pPr>
        <w:pStyle w:val="ListParagraph"/>
        <w:numPr>
          <w:ilvl w:val="0"/>
          <w:numId w:val="2"/>
        </w:numPr>
        <w:spacing w:after="40" w:before="40" w:line="280"/>
      </w:pPr>
      <w:r>
        <w:rPr>
          <w:rFonts w:ascii="Calibri" w:cs="Calibri" w:eastAsia="Calibri" w:hAnsi="Calibri"/>
          <w:sz w:val="22"/>
          <w:szCs w:val="22"/>
        </w:rPr>
        <w:t xml:space="preserve">Accessibility statement at /accessibility with feedback channel monitored by the Programme Owner.</w:t>
      </w:r>
    </w:p>
    <w:p>
      <w:r>
        <w:br w:type="page"/>
      </w:r>
    </w:p>
    <w:p>
      <w:pPr>
        <w:pStyle w:val="Heading1"/>
        <w:spacing w:after="180" w:before="360"/>
      </w:pPr>
      <w:r>
        <w:rPr>
          <w:rFonts w:ascii="Cambria" w:cs="Cambria" w:eastAsia="Cambria" w:hAnsi="Cambria"/>
          <w:b/>
          <w:bCs/>
          <w:color w:val="1B3A5C"/>
          <w:sz w:val="36"/>
          <w:szCs w:val="36"/>
        </w:rPr>
        <w:t xml:space="preserve">20.  Multi-Language &amp; Localisation</w:t>
      </w:r>
    </w:p>
    <w:p>
      <w:pPr>
        <w:pStyle w:val="Heading3"/>
        <w:spacing w:after="100" w:before="200"/>
      </w:pPr>
      <w:r>
        <w:rPr>
          <w:rFonts w:ascii="Cambria" w:cs="Cambria" w:eastAsia="Cambria" w:hAnsi="Cambria"/>
          <w:b/>
          <w:bCs/>
          <w:color w:val="0064DC"/>
          <w:sz w:val="24"/>
          <w:szCs w:val="24"/>
        </w:rPr>
        <w:t xml:space="preserve">20.1  Language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Phase</w:t>
            </w:r>
          </w:p>
        </w:tc>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Language</w:t>
            </w:r>
          </w:p>
        </w:tc>
        <w:tc>
          <w:tcPr>
            <w:tcW w:type="dxa" w:w="45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Coverage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1 (Launch)</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English (en-IN)</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Full site</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2 (M+6)</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Hindi (hi-IN)</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narrative, missions, partners, careers, newsroom, key forms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2 (M+6)</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Gujarati (gu-IN)</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narrative, missions, partners, careers, newsroom, key forms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3 (M+12)</w:t>
            </w:r>
          </w:p>
        </w:tc>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Marathi (mr-IN)</w:t>
            </w:r>
          </w:p>
        </w:tc>
        <w:tc>
          <w:tcPr>
            <w:tcW w:type="dxa" w:w="45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narrative, missions, careers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3 (M+12)</w:t>
            </w:r>
          </w:p>
        </w:tc>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Tamil (ta-IN)</w:t>
            </w:r>
          </w:p>
        </w:tc>
        <w:tc>
          <w:tcPr>
            <w:tcW w:type="dxa" w:w="45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Group narrative, missions, careers</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20.2  Architecture for i18n</w:t>
      </w:r>
    </w:p>
    <w:p>
      <w:pPr>
        <w:pStyle w:val="ListParagraph"/>
        <w:numPr>
          <w:ilvl w:val="0"/>
          <w:numId w:val="2"/>
        </w:numPr>
        <w:spacing w:after="40" w:before="40" w:line="280"/>
      </w:pPr>
      <w:r>
        <w:rPr>
          <w:rFonts w:ascii="Calibri" w:cs="Calibri" w:eastAsia="Calibri" w:hAnsi="Calibri"/>
          <w:sz w:val="22"/>
          <w:szCs w:val="22"/>
        </w:rPr>
        <w:t xml:space="preserve">Single source of truth for content with locale-aware variants.</w:t>
      </w:r>
    </w:p>
    <w:p>
      <w:pPr>
        <w:pStyle w:val="ListParagraph"/>
        <w:numPr>
          <w:ilvl w:val="0"/>
          <w:numId w:val="2"/>
        </w:numPr>
        <w:spacing w:after="40" w:before="40" w:line="280"/>
      </w:pPr>
      <w:r>
        <w:rPr>
          <w:rFonts w:ascii="Calibri" w:cs="Calibri" w:eastAsia="Calibri" w:hAnsi="Calibri"/>
          <w:sz w:val="22"/>
          <w:szCs w:val="22"/>
        </w:rPr>
        <w:t xml:space="preserve">Locale-prefixed URLs (e.g., /hi/, /gu/) and hreflang annotations.</w:t>
      </w:r>
    </w:p>
    <w:p>
      <w:pPr>
        <w:pStyle w:val="ListParagraph"/>
        <w:numPr>
          <w:ilvl w:val="0"/>
          <w:numId w:val="2"/>
        </w:numPr>
        <w:spacing w:after="40" w:before="40" w:line="280"/>
      </w:pPr>
      <w:r>
        <w:rPr>
          <w:rFonts w:ascii="Calibri" w:cs="Calibri" w:eastAsia="Calibri" w:hAnsi="Calibri"/>
          <w:sz w:val="22"/>
          <w:szCs w:val="22"/>
        </w:rPr>
        <w:t xml:space="preserve">Translation memory shared across the digital estate.</w:t>
      </w:r>
    </w:p>
    <w:p>
      <w:pPr>
        <w:pStyle w:val="ListParagraph"/>
        <w:numPr>
          <w:ilvl w:val="0"/>
          <w:numId w:val="2"/>
        </w:numPr>
        <w:spacing w:after="40" w:before="40" w:line="280"/>
      </w:pPr>
      <w:r>
        <w:rPr>
          <w:rFonts w:ascii="Calibri" w:cs="Calibri" w:eastAsia="Calibri" w:hAnsi="Calibri"/>
          <w:sz w:val="22"/>
          <w:szCs w:val="22"/>
        </w:rPr>
        <w:t xml:space="preserve">Locale-aware date, number and currency formatting.</w:t>
      </w:r>
    </w:p>
    <w:p>
      <w:pPr>
        <w:pStyle w:val="ListParagraph"/>
        <w:numPr>
          <w:ilvl w:val="0"/>
          <w:numId w:val="2"/>
        </w:numPr>
        <w:spacing w:after="40" w:before="40" w:line="280"/>
      </w:pPr>
      <w:r>
        <w:rPr>
          <w:rFonts w:ascii="Calibri" w:cs="Calibri" w:eastAsia="Calibri" w:hAnsi="Calibri"/>
          <w:sz w:val="22"/>
          <w:szCs w:val="22"/>
        </w:rPr>
        <w:t xml:space="preserve">Right-to-left support architected, activation deferred until an RTL language is added.</w:t>
      </w:r>
    </w:p>
    <w:p>
      <w:pPr>
        <w:pStyle w:val="Heading3"/>
        <w:spacing w:after="100" w:before="200"/>
      </w:pPr>
      <w:r>
        <w:rPr>
          <w:rFonts w:ascii="Cambria" w:cs="Cambria" w:eastAsia="Cambria" w:hAnsi="Cambria"/>
          <w:b/>
          <w:bCs/>
          <w:color w:val="0064DC"/>
          <w:sz w:val="24"/>
          <w:szCs w:val="24"/>
        </w:rPr>
        <w:t xml:space="preserve">20.3  Translation Workflow</w:t>
      </w:r>
    </w:p>
    <w:p>
      <w:pPr>
        <w:pStyle w:val="ListParagraph"/>
        <w:numPr>
          <w:ilvl w:val="0"/>
          <w:numId w:val="3"/>
        </w:numPr>
        <w:spacing w:after="40" w:before="40" w:line="280"/>
      </w:pPr>
      <w:r>
        <w:rPr>
          <w:rFonts w:ascii="Calibri" w:cs="Calibri" w:eastAsia="Calibri" w:hAnsi="Calibri"/>
          <w:sz w:val="22"/>
          <w:szCs w:val="22"/>
        </w:rPr>
        <w:t xml:space="preserve">Source content authored and approved in English.</w:t>
      </w:r>
    </w:p>
    <w:p>
      <w:pPr>
        <w:pStyle w:val="ListParagraph"/>
        <w:numPr>
          <w:ilvl w:val="0"/>
          <w:numId w:val="3"/>
        </w:numPr>
        <w:spacing w:after="40" w:before="40" w:line="280"/>
      </w:pPr>
      <w:r>
        <w:rPr>
          <w:rFonts w:ascii="Calibri" w:cs="Calibri" w:eastAsia="Calibri" w:hAnsi="Calibri"/>
          <w:sz w:val="22"/>
          <w:szCs w:val="22"/>
        </w:rPr>
        <w:t xml:space="preserve">Locale tasks created against the translation queue.</w:t>
      </w:r>
    </w:p>
    <w:p>
      <w:pPr>
        <w:pStyle w:val="ListParagraph"/>
        <w:numPr>
          <w:ilvl w:val="0"/>
          <w:numId w:val="3"/>
        </w:numPr>
        <w:spacing w:after="40" w:before="40" w:line="280"/>
      </w:pPr>
      <w:r>
        <w:rPr>
          <w:rFonts w:ascii="Calibri" w:cs="Calibri" w:eastAsia="Calibri" w:hAnsi="Calibri"/>
          <w:sz w:val="22"/>
          <w:szCs w:val="22"/>
        </w:rPr>
        <w:t xml:space="preserve">Translator drafts in the locale; editor reviews.</w:t>
      </w:r>
    </w:p>
    <w:p>
      <w:pPr>
        <w:pStyle w:val="ListParagraph"/>
        <w:numPr>
          <w:ilvl w:val="0"/>
          <w:numId w:val="3"/>
        </w:numPr>
        <w:spacing w:after="40" w:before="40" w:line="280"/>
      </w:pPr>
      <w:r>
        <w:rPr>
          <w:rFonts w:ascii="Calibri" w:cs="Calibri" w:eastAsia="Calibri" w:hAnsi="Calibri"/>
          <w:sz w:val="22"/>
          <w:szCs w:val="22"/>
        </w:rPr>
        <w:t xml:space="preserve">Legal review for statutory content per locale.</w:t>
      </w:r>
    </w:p>
    <w:p>
      <w:pPr>
        <w:pStyle w:val="ListParagraph"/>
        <w:numPr>
          <w:ilvl w:val="0"/>
          <w:numId w:val="3"/>
        </w:numPr>
        <w:spacing w:after="40" w:before="40" w:line="280"/>
      </w:pPr>
      <w:r>
        <w:rPr>
          <w:rFonts w:ascii="Calibri" w:cs="Calibri" w:eastAsia="Calibri" w:hAnsi="Calibri"/>
          <w:sz w:val="22"/>
          <w:szCs w:val="22"/>
        </w:rPr>
        <w:t xml:space="preserve">Publish in locale once all gates pass.</w:t>
      </w:r>
    </w:p>
    <w:p>
      <w:pPr>
        <w:pStyle w:val="Heading3"/>
        <w:spacing w:after="100" w:before="200"/>
      </w:pPr>
      <w:r>
        <w:rPr>
          <w:rFonts w:ascii="Cambria" w:cs="Cambria" w:eastAsia="Cambria" w:hAnsi="Cambria"/>
          <w:b/>
          <w:bCs/>
          <w:color w:val="0064DC"/>
          <w:sz w:val="24"/>
          <w:szCs w:val="24"/>
        </w:rPr>
        <w:t xml:space="preserve">20.4  Localisation Quality</w:t>
      </w:r>
    </w:p>
    <w:p>
      <w:pPr>
        <w:pStyle w:val="ListParagraph"/>
        <w:numPr>
          <w:ilvl w:val="0"/>
          <w:numId w:val="2"/>
        </w:numPr>
        <w:spacing w:after="40" w:before="40" w:line="280"/>
      </w:pPr>
      <w:r>
        <w:rPr>
          <w:rFonts w:ascii="Calibri" w:cs="Calibri" w:eastAsia="Calibri" w:hAnsi="Calibri"/>
          <w:sz w:val="22"/>
          <w:szCs w:val="22"/>
        </w:rPr>
        <w:t xml:space="preserve">Style guides per locale; consistency checked via translation memory.</w:t>
      </w:r>
    </w:p>
    <w:p>
      <w:pPr>
        <w:pStyle w:val="ListParagraph"/>
        <w:numPr>
          <w:ilvl w:val="0"/>
          <w:numId w:val="2"/>
        </w:numPr>
        <w:spacing w:after="40" w:before="40" w:line="280"/>
      </w:pPr>
      <w:r>
        <w:rPr>
          <w:rFonts w:ascii="Calibri" w:cs="Calibri" w:eastAsia="Calibri" w:hAnsi="Calibri"/>
          <w:sz w:val="22"/>
          <w:szCs w:val="22"/>
        </w:rPr>
        <w:t xml:space="preserve">In-context preview before publish.</w:t>
      </w:r>
    </w:p>
    <w:p>
      <w:pPr>
        <w:pStyle w:val="ListParagraph"/>
        <w:numPr>
          <w:ilvl w:val="0"/>
          <w:numId w:val="2"/>
        </w:numPr>
        <w:spacing w:after="40" w:before="40" w:line="280"/>
      </w:pPr>
      <w:r>
        <w:rPr>
          <w:rFonts w:ascii="Calibri" w:cs="Calibri" w:eastAsia="Calibri" w:hAnsi="Calibri"/>
          <w:sz w:val="22"/>
          <w:szCs w:val="22"/>
        </w:rPr>
        <w:t xml:space="preserve">Periodic native-speaker QA on high-traffic pages.</w:t>
      </w:r>
    </w:p>
    <w:p>
      <w:r>
        <w:br w:type="page"/>
      </w:r>
    </w:p>
    <w:p>
      <w:pPr>
        <w:pStyle w:val="Heading1"/>
        <w:spacing w:after="180" w:before="360"/>
      </w:pPr>
      <w:r>
        <w:rPr>
          <w:rFonts w:ascii="Cambria" w:cs="Cambria" w:eastAsia="Cambria" w:hAnsi="Cambria"/>
          <w:b/>
          <w:bCs/>
          <w:color w:val="1B3A5C"/>
          <w:sz w:val="36"/>
          <w:szCs w:val="36"/>
        </w:rPr>
        <w:t xml:space="preserve">21.  Project Schedule &amp; Work Breakdown Structure</w:t>
      </w:r>
    </w:p>
    <w:p>
      <w:pPr>
        <w:pStyle w:val="Heading3"/>
        <w:spacing w:after="100" w:before="200"/>
      </w:pPr>
      <w:r>
        <w:rPr>
          <w:rFonts w:ascii="Cambria" w:cs="Cambria" w:eastAsia="Cambria" w:hAnsi="Cambria"/>
          <w:b/>
          <w:bCs/>
          <w:color w:val="0064DC"/>
          <w:sz w:val="24"/>
          <w:szCs w:val="24"/>
        </w:rPr>
        <w:t xml:space="preserve">21.1  Phasing Overview</w:t>
      </w:r>
    </w:p>
    <w:p>
      <w:pPr>
        <w:spacing w:after="60" w:before="60" w:line="300"/>
        <w:jc w:val="both"/>
      </w:pPr>
      <w:r>
        <w:rPr>
          <w:rFonts w:ascii="Calibri" w:cs="Calibri" w:eastAsia="Calibri" w:hAnsi="Calibri"/>
          <w:sz w:val="22"/>
          <w:szCs w:val="22"/>
        </w:rPr>
        <w:t xml:space="preserve">The programme is delivered across five overlapping phases over 20 weeks from charter approval, followed by a 12-month support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Phase</w:t>
            </w:r>
          </w:p>
        </w:tc>
        <w:tc>
          <w:tcPr>
            <w:tcW w:type="dxa" w:w="22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Duration</w:t>
            </w:r>
          </w:p>
        </w:tc>
        <w:tc>
          <w:tcPr>
            <w:tcW w:type="dxa" w:w="47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Outcome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0 — Mobilisation</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Weeks 1–2</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Charter, governance, environments stood up</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1 — Discovery &amp; Design</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Weeks 2–6</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IA, content model, design system, hi-fi mockups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2 — Build</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Weeks 5–14</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CMS, blocks, templates, services, integrations, content authoring</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3 — Validation</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Weeks 13–18</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QA, accessibility audit, security review, performance optimisation</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4 — Cutover &amp; Go-Live</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Weeks 18–20</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Production deployment, content freeze, launch</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5 — Steady State</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Months 6–18</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2 / 3 language rollouts, hypercare, optimisation</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21.2  Work Breakdown Structure (WBS)</w:t>
      </w:r>
    </w:p>
    <w:p>
      <w:pPr>
        <w:spacing w:after="60" w:before="60" w:line="300"/>
        <w:jc w:val="both"/>
      </w:pPr>
      <w:r>
        <w:rPr>
          <w:rFonts w:ascii="Calibri" w:cs="Calibri" w:eastAsia="Calibri" w:hAnsi="Calibri"/>
          <w:sz w:val="22"/>
          <w:szCs w:val="22"/>
        </w:rPr>
        <w:t xml:space="preserve">The WBS records the work packages assigned to each phase. Each work package is owned by a named lead and tracked in the project management tool with effort, dependencies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WBS</w:t>
            </w:r>
          </w:p>
        </w:tc>
        <w:tc>
          <w:tcPr>
            <w:tcW w:type="dxa" w:w="37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Work Package</w:t>
            </w:r>
          </w:p>
        </w:tc>
        <w:tc>
          <w:tcPr>
            <w:tcW w:type="dxa" w:w="41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Output</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1.1</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Charter &amp; governance</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Signed charter, RACI, Steering cadence</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1.2</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Environment provisioning</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Dev, integration, staging, production accounts</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2.1</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Content audit &amp; IA</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Sitemap v1, content inventory</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2.2</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Persona &amp; journey mapping</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Personas, journey maps, KPI map</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2.3</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Design system</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Tokens, components, Storybook</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2.4</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Hi-fi mockups</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Page templates approved</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3.1</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CMS theme &amp; blocks</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Custom theme, block library</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3.2</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Templates &amp; patterns</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All 12 page templates</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3.3</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FastAPI service</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Form classification &amp; routing</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3.4</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Express service</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ATS, webhooks, search proxy</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3.5</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Search index</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OpenSearch index + ingestion</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3.6</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Forms &amp; integrations</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Eight forms wired to CRM/ATS</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3.7</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content authoring</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All launch pages drafted</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3.8</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Disclosure library</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Seed disclosures published</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4.1</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Functional QA</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Test plan, defect log</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4.2</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Accessibility audit</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Statement of Conformance</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4.3</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Security review (VA/PT)</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Closure of Critical / High findings</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4.4</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Performance audit</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LCP/INP/CLS targets met</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4.5</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UAT</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Sponsor sign-off</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5.1</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Cutover plan</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Approved runbook</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5.2</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Go-Live</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Production live; monitoring active</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5.3</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Hypercare</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30-day daily standup; defect burn-down</w:t>
            </w:r>
          </w:p>
        </w:tc>
      </w:tr>
      <w:tr>
        <w:trPr>
          <w:tblHeader w:val="false"/>
        </w:trPr>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6.1</w:t>
            </w:r>
          </w:p>
        </w:tc>
        <w:tc>
          <w:tcPr>
            <w:tcW w:type="dxa" w:w="3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2 languages</w:t>
            </w:r>
          </w:p>
        </w:tc>
        <w:tc>
          <w:tcPr>
            <w:tcW w:type="dxa" w:w="4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Hindi &amp; Gujarati live</w:t>
            </w:r>
          </w:p>
        </w:tc>
      </w:tr>
      <w:tr>
        <w:trPr>
          <w:tblHeader w:val="false"/>
        </w:trPr>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6.2</w:t>
            </w:r>
          </w:p>
        </w:tc>
        <w:tc>
          <w:tcPr>
            <w:tcW w:type="dxa" w:w="3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3 languages</w:t>
            </w:r>
          </w:p>
        </w:tc>
        <w:tc>
          <w:tcPr>
            <w:tcW w:type="dxa" w:w="4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Marathi &amp; Tamil live</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21.3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Milestone</w:t>
            </w:r>
          </w:p>
        </w:tc>
        <w:tc>
          <w:tcPr>
            <w:tcW w:type="dxa" w:w="22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Target Date</w:t>
            </w:r>
          </w:p>
        </w:tc>
        <w:tc>
          <w:tcPr>
            <w:tcW w:type="dxa" w:w="52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Significance</w:t>
            </w:r>
          </w:p>
        </w:tc>
      </w:tr>
      <w:tr>
        <w:trPr>
          <w:tblHeader w:val="false"/>
        </w:trPr>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M1 — Charter signed</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End of Week 1</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Authority to proceed</w:t>
            </w:r>
          </w:p>
        </w:tc>
      </w:tr>
      <w:tr>
        <w:trPr>
          <w:tblHeader w:val="false"/>
        </w:trPr>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M2 — IA &amp; design baseline</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End of Week 6</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Build can begin</w:t>
            </w:r>
          </w:p>
        </w:tc>
      </w:tr>
      <w:tr>
        <w:trPr>
          <w:tblHeader w:val="false"/>
        </w:trPr>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M3 — Build complete</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End of Week 14</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Validation can begin</w:t>
            </w:r>
          </w:p>
        </w:tc>
      </w:tr>
      <w:tr>
        <w:trPr>
          <w:tblHeader w:val="false"/>
        </w:trPr>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M4 — Validation complete</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End of Week 18</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Go-Live decision</w:t>
            </w:r>
          </w:p>
        </w:tc>
      </w:tr>
      <w:tr>
        <w:trPr>
          <w:tblHeader w:val="false"/>
        </w:trPr>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M5 — Go-Live</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End of Week 20</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Production live</w:t>
            </w:r>
          </w:p>
        </w:tc>
      </w:tr>
      <w:tr>
        <w:trPr>
          <w:tblHeader w:val="false"/>
        </w:trPr>
        <w:tc>
          <w:tcPr>
            <w:tcW w:type="dxa" w:w="1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M6 — Phase 2 languages</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Month +6</w:t>
            </w:r>
          </w:p>
        </w:tc>
        <w:tc>
          <w:tcPr>
            <w:tcW w:type="dxa" w:w="5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Hindi &amp; Gujarati live</w:t>
            </w:r>
          </w:p>
        </w:tc>
      </w:tr>
      <w:tr>
        <w:trPr>
          <w:tblHeader w:val="false"/>
        </w:trPr>
        <w:tc>
          <w:tcPr>
            <w:tcW w:type="dxa" w:w="1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M7 — Phase 3 languages</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Month +12</w:t>
            </w:r>
          </w:p>
        </w:tc>
        <w:tc>
          <w:tcPr>
            <w:tcW w:type="dxa" w:w="5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Marathi &amp; Tamil live</w:t>
            </w:r>
          </w:p>
        </w:tc>
      </w:tr>
    </w:tbl>
    <w:p>
      <w:r>
        <w:br w:type="page"/>
      </w:r>
    </w:p>
    <w:p>
      <w:pPr>
        <w:pStyle w:val="Heading1"/>
        <w:spacing w:after="180" w:before="360"/>
      </w:pPr>
      <w:r>
        <w:rPr>
          <w:rFonts w:ascii="Cambria" w:cs="Cambria" w:eastAsia="Cambria" w:hAnsi="Cambria"/>
          <w:b/>
          <w:bCs/>
          <w:color w:val="1B3A5C"/>
          <w:sz w:val="36"/>
          <w:szCs w:val="36"/>
        </w:rPr>
        <w:t xml:space="preserve">22.  Resource Plan &amp; Team Structure</w:t>
      </w:r>
    </w:p>
    <w:p>
      <w:pPr>
        <w:pStyle w:val="Heading3"/>
        <w:spacing w:after="100" w:before="200"/>
      </w:pPr>
      <w:r>
        <w:rPr>
          <w:rFonts w:ascii="Cambria" w:cs="Cambria" w:eastAsia="Cambria" w:hAnsi="Cambria"/>
          <w:b/>
          <w:bCs/>
          <w:color w:val="0064DC"/>
          <w:sz w:val="24"/>
          <w:szCs w:val="24"/>
        </w:rPr>
        <w:t xml:space="preserve">22.1  Build-Phase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3460"/>
      </w:tblGrid>
      <w:tr>
        <w:trPr>
          <w:tblHeader/>
        </w:trPr>
        <w:tc>
          <w:tcPr>
            <w:tcW w:type="dxa" w:w="29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Role</w:t>
            </w:r>
          </w:p>
        </w:tc>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Headcount</w:t>
            </w:r>
          </w:p>
        </w:tc>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Allocation</w:t>
            </w:r>
          </w:p>
        </w:tc>
        <w:tc>
          <w:tcPr>
            <w:tcW w:type="dxa" w:w="34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Primary Responsibility</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Programme Owner</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Programme delivery, sponsor liaison</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Project Manager</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Schedule, RAID log, ceremonies</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Solution Architect</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60%</w:t>
            </w:r>
          </w:p>
        </w:tc>
        <w:tc>
          <w:tcPr>
            <w:tcW w:type="dxa" w:w="3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Architecture, integrations, ADRs</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Technical Lead (Web)</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Frontend / WordPress engineering</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Senior Engineer (PHP/WP)</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CMS, blocks, templates</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Senior Engineer (Python)</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FastAPI service, classification</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Senior Engineer (Node)</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Express service, integrations</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DevOps / SRE</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60%</w:t>
            </w:r>
          </w:p>
        </w:tc>
        <w:tc>
          <w:tcPr>
            <w:tcW w:type="dxa" w:w="3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IaC, CI/CD, observability</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UX / UI Lead</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80%</w:t>
            </w:r>
          </w:p>
        </w:tc>
        <w:tc>
          <w:tcPr>
            <w:tcW w:type="dxa" w:w="3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Design system, page design</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UI Designer</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Templates, patterns</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Content Lead</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roadmap, voice</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Author x 2</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Page drafting</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Translation Lead</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30%</w:t>
            </w:r>
          </w:p>
        </w:tc>
        <w:tc>
          <w:tcPr>
            <w:tcW w:type="dxa" w:w="3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2 / 3 readiness</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QA Lead</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Test plan, defect triage</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QA Engineers</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Test execution, regression</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Accessibility Specialist</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30%</w:t>
            </w:r>
          </w:p>
        </w:tc>
        <w:tc>
          <w:tcPr>
            <w:tcW w:type="dxa" w:w="3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Audits, manual testing</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Information Security</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30%</w:t>
            </w:r>
          </w:p>
        </w:tc>
        <w:tc>
          <w:tcPr>
            <w:tcW w:type="dxa" w:w="3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Reviews, threat modelling</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Project Coordinator</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100%</w:t>
            </w:r>
          </w:p>
        </w:tc>
        <w:tc>
          <w:tcPr>
            <w:tcW w:type="dxa" w:w="3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Documentation, logistics</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22.2  Steady-State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Role</w:t>
            </w:r>
          </w:p>
        </w:tc>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Headcount</w:t>
            </w:r>
          </w:p>
        </w:tc>
        <w:tc>
          <w:tcPr>
            <w:tcW w:type="dxa" w:w="49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Responsibility</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Programme Owner</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4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Continued ownership</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Lead + 2 authors</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w:t>
            </w:r>
          </w:p>
        </w:tc>
        <w:tc>
          <w:tcPr>
            <w:tcW w:type="dxa" w:w="4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cadence</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Web engineer</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w:t>
            </w:r>
          </w:p>
        </w:tc>
        <w:tc>
          <w:tcPr>
            <w:tcW w:type="dxa" w:w="4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Maintenance, minor enhancements</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DevOps / SRE</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0.3 FTE</w:t>
            </w:r>
          </w:p>
        </w:tc>
        <w:tc>
          <w:tcPr>
            <w:tcW w:type="dxa" w:w="49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Operations, on-call rotation</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QA</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0.5 FTE</w:t>
            </w:r>
          </w:p>
        </w:tc>
        <w:tc>
          <w:tcPr>
            <w:tcW w:type="dxa" w:w="49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Regression on releases</w:t>
            </w:r>
          </w:p>
        </w:tc>
      </w:tr>
    </w:tbl>
    <w:p>
      <w:r>
        <w:br w:type="page"/>
      </w:r>
    </w:p>
    <w:p>
      <w:pPr>
        <w:pStyle w:val="Heading1"/>
        <w:spacing w:after="180" w:before="360"/>
      </w:pPr>
      <w:r>
        <w:rPr>
          <w:rFonts w:ascii="Cambria" w:cs="Cambria" w:eastAsia="Cambria" w:hAnsi="Cambria"/>
          <w:b/>
          <w:bCs/>
          <w:color w:val="1B3A5C"/>
          <w:sz w:val="36"/>
          <w:szCs w:val="36"/>
        </w:rPr>
        <w:t xml:space="preserve">23.  Budget &amp; Financial Plan</w:t>
      </w:r>
    </w:p>
    <w:p>
      <w:pPr>
        <w:pStyle w:val="Heading3"/>
        <w:spacing w:after="100" w:before="200"/>
      </w:pPr>
      <w:r>
        <w:rPr>
          <w:rFonts w:ascii="Cambria" w:cs="Cambria" w:eastAsia="Cambria" w:hAnsi="Cambria"/>
          <w:b/>
          <w:bCs/>
          <w:color w:val="0064DC"/>
          <w:sz w:val="24"/>
          <w:szCs w:val="24"/>
        </w:rPr>
        <w:t xml:space="preserve">23.1  Capex (Build, 20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3260"/>
      </w:tblGrid>
      <w:tr>
        <w:trPr>
          <w:tblHeader/>
        </w:trPr>
        <w:tc>
          <w:tcPr>
            <w:tcW w:type="dxa" w:w="4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Cost Line</w:t>
            </w:r>
          </w:p>
        </w:tc>
        <w:tc>
          <w:tcPr>
            <w:tcW w:type="dxa" w:w="18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Amount (₹ Lakh)</w:t>
            </w:r>
          </w:p>
        </w:tc>
        <w:tc>
          <w:tcPr>
            <w:tcW w:type="dxa" w:w="32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Notes</w:t>
            </w:r>
          </w:p>
        </w:tc>
      </w:tr>
      <w:tr>
        <w:trPr>
          <w:tblHeader w:val="false"/>
        </w:trPr>
        <w:tc>
          <w:tcPr>
            <w:tcW w:type="dxa" w:w="4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Engineering (web, services, DevOps)</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92.0</w:t>
            </w:r>
          </w:p>
        </w:tc>
        <w:tc>
          <w:tcPr>
            <w:tcW w:type="dxa" w:w="3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Includes 20-week run for the build team</w:t>
            </w:r>
          </w:p>
        </w:tc>
      </w:tr>
      <w:tr>
        <w:trPr>
          <w:tblHeader w:val="false"/>
        </w:trPr>
        <w:tc>
          <w:tcPr>
            <w:tcW w:type="dxa" w:w="4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Design (UX, UI, design system)</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18.0</w:t>
            </w:r>
          </w:p>
        </w:tc>
        <w:tc>
          <w:tcPr>
            <w:tcW w:type="dxa" w:w="3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Design system + per-page mockups</w:t>
            </w:r>
          </w:p>
        </w:tc>
      </w:tr>
      <w:tr>
        <w:trPr>
          <w:tblHeader w:val="false"/>
        </w:trPr>
        <w:tc>
          <w:tcPr>
            <w:tcW w:type="dxa" w:w="4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&amp; translation foundation</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12.0</w:t>
            </w:r>
          </w:p>
        </w:tc>
        <w:tc>
          <w:tcPr>
            <w:tcW w:type="dxa" w:w="3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Voice, launch content, translation kickoff</w:t>
            </w:r>
          </w:p>
        </w:tc>
      </w:tr>
      <w:tr>
        <w:trPr>
          <w:tblHeader w:val="false"/>
        </w:trPr>
        <w:tc>
          <w:tcPr>
            <w:tcW w:type="dxa" w:w="4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Independent accessibility audit</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5.0</w:t>
            </w:r>
          </w:p>
        </w:tc>
        <w:tc>
          <w:tcPr>
            <w:tcW w:type="dxa" w:w="3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Third-party</w:t>
            </w:r>
          </w:p>
        </w:tc>
      </w:tr>
      <w:tr>
        <w:trPr>
          <w:tblHeader w:val="false"/>
        </w:trPr>
        <w:tc>
          <w:tcPr>
            <w:tcW w:type="dxa" w:w="4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Independent security review (VA/PT)</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8.0</w:t>
            </w:r>
          </w:p>
        </w:tc>
        <w:tc>
          <w:tcPr>
            <w:tcW w:type="dxa" w:w="3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Third-party</w:t>
            </w:r>
          </w:p>
        </w:tc>
      </w:tr>
      <w:tr>
        <w:trPr>
          <w:tblHeader w:val="false"/>
        </w:trPr>
        <w:tc>
          <w:tcPr>
            <w:tcW w:type="dxa" w:w="4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Independent performance audit</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3.0</w:t>
            </w:r>
          </w:p>
        </w:tc>
        <w:tc>
          <w:tcPr>
            <w:tcW w:type="dxa" w:w="3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Third-party</w:t>
            </w:r>
          </w:p>
        </w:tc>
      </w:tr>
      <w:tr>
        <w:trPr>
          <w:tblHeader w:val="false"/>
        </w:trPr>
        <w:tc>
          <w:tcPr>
            <w:tcW w:type="dxa" w:w="4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Tooling &amp; licences (one-time)</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6.0</w:t>
            </w:r>
          </w:p>
        </w:tc>
        <w:tc>
          <w:tcPr>
            <w:tcW w:type="dxa" w:w="3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Storybook hosting, monitoring, search index</w:t>
            </w:r>
          </w:p>
        </w:tc>
      </w:tr>
      <w:tr>
        <w:trPr>
          <w:tblHeader w:val="false"/>
        </w:trPr>
        <w:tc>
          <w:tcPr>
            <w:tcW w:type="dxa" w:w="4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Project management &amp; coordination</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11.0</w:t>
            </w:r>
          </w:p>
        </w:tc>
        <w:tc>
          <w:tcPr>
            <w:tcW w:type="dxa" w:w="3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PMO costs</w:t>
            </w:r>
          </w:p>
        </w:tc>
      </w:tr>
      <w:tr>
        <w:trPr>
          <w:tblHeader w:val="false"/>
        </w:trPr>
        <w:tc>
          <w:tcPr>
            <w:tcW w:type="dxa" w:w="4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Contingency (15%)</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30.0</w:t>
            </w:r>
          </w:p>
        </w:tc>
        <w:tc>
          <w:tcPr>
            <w:tcW w:type="dxa" w:w="3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Risk reserve</w:t>
            </w:r>
          </w:p>
        </w:tc>
      </w:tr>
      <w:tr>
        <w:trPr>
          <w:tblHeader w:val="false"/>
        </w:trPr>
        <w:tc>
          <w:tcPr>
            <w:tcW w:type="dxa" w:w="4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Capex Total</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185.0</w:t>
            </w:r>
          </w:p>
        </w:tc>
        <w:tc>
          <w:tcPr>
            <w:tcW w:type="dxa" w:w="3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₹1.85 Crore</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23.2  Opex (Year 1, Steady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3260"/>
      </w:tblGrid>
      <w:tr>
        <w:trPr>
          <w:tblHeader/>
        </w:trPr>
        <w:tc>
          <w:tcPr>
            <w:tcW w:type="dxa" w:w="4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Cost Line</w:t>
            </w:r>
          </w:p>
        </w:tc>
        <w:tc>
          <w:tcPr>
            <w:tcW w:type="dxa" w:w="18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Amount (₹ Lakh)</w:t>
            </w:r>
          </w:p>
        </w:tc>
        <w:tc>
          <w:tcPr>
            <w:tcW w:type="dxa" w:w="32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Notes</w:t>
            </w:r>
          </w:p>
        </w:tc>
      </w:tr>
      <w:tr>
        <w:trPr>
          <w:tblHeader w:val="false"/>
        </w:trPr>
        <w:tc>
          <w:tcPr>
            <w:tcW w:type="dxa" w:w="4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Hosting (AWS GovCloud + Azure DR)</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14.0</w:t>
            </w:r>
          </w:p>
        </w:tc>
        <w:tc>
          <w:tcPr>
            <w:tcW w:type="dxa" w:w="3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Production + DR + non-prod</w:t>
            </w:r>
          </w:p>
        </w:tc>
      </w:tr>
      <w:tr>
        <w:trPr>
          <w:tblHeader w:val="false"/>
        </w:trPr>
        <w:tc>
          <w:tcPr>
            <w:tcW w:type="dxa" w:w="4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Cloudflare (CDN/WAF/DDoS)</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4.0</w:t>
            </w:r>
          </w:p>
        </w:tc>
        <w:tc>
          <w:tcPr>
            <w:tcW w:type="dxa" w:w="3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Enterprise plan</w:t>
            </w:r>
          </w:p>
        </w:tc>
      </w:tr>
      <w:tr>
        <w:trPr>
          <w:tblHeader w:val="false"/>
        </w:trPr>
        <w:tc>
          <w:tcPr>
            <w:tcW w:type="dxa" w:w="4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Search (managed OpenSearch)</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3.0</w:t>
            </w:r>
          </w:p>
        </w:tc>
        <w:tc>
          <w:tcPr>
            <w:tcW w:type="dxa" w:w="3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3-node baseline</w:t>
            </w:r>
          </w:p>
        </w:tc>
      </w:tr>
      <w:tr>
        <w:trPr>
          <w:tblHeader w:val="false"/>
        </w:trPr>
        <w:tc>
          <w:tcPr>
            <w:tcW w:type="dxa" w:w="4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team (steady-state)</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16.0</w:t>
            </w:r>
          </w:p>
        </w:tc>
        <w:tc>
          <w:tcPr>
            <w:tcW w:type="dxa" w:w="3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Lead + 2 authors</w:t>
            </w:r>
          </w:p>
        </w:tc>
      </w:tr>
      <w:tr>
        <w:trPr>
          <w:tblHeader w:val="false"/>
        </w:trPr>
        <w:tc>
          <w:tcPr>
            <w:tcW w:type="dxa" w:w="4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Engineering / DevOps allocation</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6.0</w:t>
            </w:r>
          </w:p>
        </w:tc>
        <w:tc>
          <w:tcPr>
            <w:tcW w:type="dxa" w:w="3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Maintenance allocation</w:t>
            </w:r>
          </w:p>
        </w:tc>
      </w:tr>
      <w:tr>
        <w:trPr>
          <w:tblHeader w:val="false"/>
        </w:trPr>
        <w:tc>
          <w:tcPr>
            <w:tcW w:type="dxa" w:w="4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Tooling &amp; licences (recurring)</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3.0</w:t>
            </w:r>
          </w:p>
        </w:tc>
        <w:tc>
          <w:tcPr>
            <w:tcW w:type="dxa" w:w="3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Sentry, GA4 360 if elected, monitoring</w:t>
            </w:r>
          </w:p>
        </w:tc>
      </w:tr>
      <w:tr>
        <w:trPr>
          <w:tblHeader w:val="false"/>
        </w:trPr>
        <w:tc>
          <w:tcPr>
            <w:tcW w:type="dxa" w:w="4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Independent annual audits</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2.0</w:t>
            </w:r>
          </w:p>
        </w:tc>
        <w:tc>
          <w:tcPr>
            <w:tcW w:type="dxa" w:w="32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Accessibility + security</w:t>
            </w:r>
          </w:p>
        </w:tc>
      </w:tr>
      <w:tr>
        <w:trPr>
          <w:tblHeader w:val="false"/>
        </w:trPr>
        <w:tc>
          <w:tcPr>
            <w:tcW w:type="dxa" w:w="4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Opex Total (Y1)</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48.0</w:t>
            </w:r>
          </w:p>
        </w:tc>
        <w:tc>
          <w:tcPr>
            <w:tcW w:type="dxa" w:w="32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₹48 Lakh / annum</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23.3  Five-Year Financial Outlook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160"/>
      </w:tblGrid>
      <w:tr>
        <w:trPr>
          <w:tblHeader/>
        </w:trPr>
        <w:tc>
          <w:tcPr>
            <w:tcW w:type="dxa" w:w="22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 Lakh</w:t>
            </w:r>
          </w:p>
        </w:tc>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Y1</w:t>
            </w:r>
          </w:p>
        </w:tc>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Y2</w:t>
            </w:r>
          </w:p>
        </w:tc>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Y3</w:t>
            </w:r>
          </w:p>
        </w:tc>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Y4</w:t>
            </w:r>
          </w:p>
        </w:tc>
        <w:tc>
          <w:tcPr>
            <w:tcW w:type="dxa" w:w="11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Y5</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Capex</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185</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20</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25</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30</w:t>
            </w:r>
          </w:p>
        </w:tc>
        <w:tc>
          <w:tcPr>
            <w:tcW w:type="dxa" w:w="1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35</w:t>
            </w:r>
          </w:p>
        </w:tc>
      </w:tr>
      <w:tr>
        <w:trPr>
          <w:tblHeader w:val="false"/>
        </w:trPr>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Opex</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48</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55</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63</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72</w:t>
            </w:r>
          </w:p>
        </w:tc>
        <w:tc>
          <w:tcPr>
            <w:tcW w:type="dxa" w:w="1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82</w:t>
            </w:r>
          </w:p>
        </w:tc>
      </w:tr>
      <w:tr>
        <w:trPr>
          <w:tblHeader w:val="false"/>
        </w:trPr>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Total cost</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233</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75</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88</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102</w:t>
            </w:r>
          </w:p>
        </w:tc>
        <w:tc>
          <w:tcPr>
            <w:tcW w:type="dxa" w:w="1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117</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23.4  Cost Control</w:t>
      </w:r>
    </w:p>
    <w:p>
      <w:pPr>
        <w:pStyle w:val="ListParagraph"/>
        <w:numPr>
          <w:ilvl w:val="0"/>
          <w:numId w:val="2"/>
        </w:numPr>
        <w:spacing w:after="40" w:before="40" w:line="280"/>
      </w:pPr>
      <w:r>
        <w:rPr>
          <w:rFonts w:ascii="Calibri" w:cs="Calibri" w:eastAsia="Calibri" w:hAnsi="Calibri"/>
          <w:sz w:val="22"/>
          <w:szCs w:val="22"/>
        </w:rPr>
        <w:t xml:space="preserve">Monthly run-rate review against budget by the Programme Owner and Group CFO.</w:t>
      </w:r>
    </w:p>
    <w:p>
      <w:pPr>
        <w:pStyle w:val="ListParagraph"/>
        <w:numPr>
          <w:ilvl w:val="0"/>
          <w:numId w:val="2"/>
        </w:numPr>
        <w:spacing w:after="40" w:before="40" w:line="280"/>
      </w:pPr>
      <w:r>
        <w:rPr>
          <w:rFonts w:ascii="Calibri" w:cs="Calibri" w:eastAsia="Calibri" w:hAnsi="Calibri"/>
          <w:sz w:val="22"/>
          <w:szCs w:val="22"/>
        </w:rPr>
        <w:t xml:space="preserve">Change requests evaluated against the contingency reserve before any reallocation.</w:t>
      </w:r>
    </w:p>
    <w:p>
      <w:pPr>
        <w:pStyle w:val="ListParagraph"/>
        <w:numPr>
          <w:ilvl w:val="0"/>
          <w:numId w:val="2"/>
        </w:numPr>
        <w:spacing w:after="40" w:before="40" w:line="280"/>
      </w:pPr>
      <w:r>
        <w:rPr>
          <w:rFonts w:ascii="Calibri" w:cs="Calibri" w:eastAsia="Calibri" w:hAnsi="Calibri"/>
          <w:sz w:val="22"/>
          <w:szCs w:val="22"/>
        </w:rPr>
        <w:t xml:space="preserve">Vendor invoices reconciled to time-and-materials reports or fixed-price milestones.</w:t>
      </w:r>
    </w:p>
    <w:p>
      <w:r>
        <w:br w:type="page"/>
      </w:r>
    </w:p>
    <w:p>
      <w:pPr>
        <w:pStyle w:val="Heading1"/>
        <w:spacing w:after="180" w:before="360"/>
      </w:pPr>
      <w:r>
        <w:rPr>
          <w:rFonts w:ascii="Cambria" w:cs="Cambria" w:eastAsia="Cambria" w:hAnsi="Cambria"/>
          <w:b/>
          <w:bCs/>
          <w:color w:val="1B3A5C"/>
          <w:sz w:val="36"/>
          <w:szCs w:val="36"/>
        </w:rPr>
        <w:t xml:space="preserve">24.  Risk Register &amp; Mitigation</w:t>
      </w:r>
    </w:p>
    <w:p>
      <w:pPr>
        <w:pStyle w:val="Heading3"/>
        <w:spacing w:after="100" w:before="200"/>
      </w:pPr>
      <w:r>
        <w:rPr>
          <w:rFonts w:ascii="Cambria" w:cs="Cambria" w:eastAsia="Cambria" w:hAnsi="Cambria"/>
          <w:b/>
          <w:bCs/>
          <w:color w:val="0064DC"/>
          <w:sz w:val="24"/>
          <w:szCs w:val="24"/>
        </w:rPr>
        <w:t xml:space="preserve">24.1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36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Risk</w:t>
            </w:r>
          </w:p>
        </w:tc>
        <w:tc>
          <w:tcPr>
            <w:tcW w:type="dxa" w:w="11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Likelihood</w:t>
            </w:r>
          </w:p>
        </w:tc>
        <w:tc>
          <w:tcPr>
            <w:tcW w:type="dxa" w:w="11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Impact</w:t>
            </w:r>
          </w:p>
        </w:tc>
        <w:tc>
          <w:tcPr>
            <w:tcW w:type="dxa" w:w="11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Score</w:t>
            </w:r>
          </w:p>
        </w:tc>
        <w:tc>
          <w:tcPr>
            <w:tcW w:type="dxa" w:w="36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Mitigation</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Content delivery slips from subsidiary liaisons</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9</w:t>
            </w:r>
          </w:p>
        </w:tc>
        <w:tc>
          <w:tcPr>
            <w:tcW w:type="dxa" w:w="3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SLA per liaison; weekly tracker; escalation to Programme Owner; placeholder content with banner if delivery slips.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Statutory / disclosure rewording introduces error</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3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Four-eyes review; verbatim disclosure rule; checksum verification on PDFs.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Performance budget breach pre-launch</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3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Lighthouse CI gate; image audit; bundle budgets; pre-launch performance war room.</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Accessibility audit findings late in the cycle</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3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axe-core in CI from week 6; manual screen-reader passes monthly; budget for two remediation sprints.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Security finding escalates to Critical</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3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Threat modelling at design; SAST/DAST; quarterly third-party VA/PT; 7-day Critical SLA.</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CRM / ATS integration unstable</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3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Idempotent endpoints; queue with retries; circuit breaker; weekly integration drills.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Hosting cost overruns</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w:t>
            </w:r>
          </w:p>
        </w:tc>
        <w:tc>
          <w:tcPr>
            <w:tcW w:type="dxa" w:w="3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Reserved capacity; budget alarms at 80% of monthly burn; quarterly right-sizing.</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Brand voice drift across editors</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3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Style Guide v2; editorial standup; content reviews; samples library.</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Translation quality issues at Phase 2</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3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Translation memory; native QA; locale style guides.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DR drill failure</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3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Annual full DR drill; tabletop exercises; runbook reviews.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Scope creep from subsidiary requests</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w:t>
            </w:r>
          </w:p>
        </w:tc>
        <w:tc>
          <w:tcPr>
            <w:tcW w:type="dxa" w:w="11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9</w:t>
            </w:r>
          </w:p>
        </w:tc>
        <w:tc>
          <w:tcPr>
            <w:tcW w:type="dxa" w:w="3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intake form for change; programme-owner triage; quarterly release train.</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Founder Chairman unavailability for approvals</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w:t>
            </w:r>
          </w:p>
        </w:tc>
        <w:tc>
          <w:tcPr>
            <w:tcW w:type="dxa" w:w="11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6</w:t>
            </w:r>
          </w:p>
        </w:tc>
        <w:tc>
          <w:tcPr>
            <w:tcW w:type="dxa" w:w="3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Pre-approved decision rights matrix; deputies authorised within scope.</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24.2  Risk Governance</w:t>
      </w:r>
    </w:p>
    <w:p>
      <w:pPr>
        <w:pStyle w:val="ListParagraph"/>
        <w:numPr>
          <w:ilvl w:val="0"/>
          <w:numId w:val="2"/>
        </w:numPr>
        <w:spacing w:after="40" w:before="40" w:line="280"/>
      </w:pPr>
      <w:r>
        <w:rPr>
          <w:rFonts w:ascii="Calibri" w:cs="Calibri" w:eastAsia="Calibri" w:hAnsi="Calibri"/>
          <w:sz w:val="22"/>
          <w:szCs w:val="22"/>
        </w:rPr>
        <w:t xml:space="preserve">RAID log maintained by the Project Manager; reviewed weekly.</w:t>
      </w:r>
    </w:p>
    <w:p>
      <w:pPr>
        <w:pStyle w:val="ListParagraph"/>
        <w:numPr>
          <w:ilvl w:val="0"/>
          <w:numId w:val="2"/>
        </w:numPr>
        <w:spacing w:after="40" w:before="40" w:line="280"/>
      </w:pPr>
      <w:r>
        <w:rPr>
          <w:rFonts w:ascii="Calibri" w:cs="Calibri" w:eastAsia="Calibri" w:hAnsi="Calibri"/>
          <w:sz w:val="22"/>
          <w:szCs w:val="22"/>
        </w:rPr>
        <w:t xml:space="preserve">Top-five risks reported in every Steering deck.</w:t>
      </w:r>
    </w:p>
    <w:p>
      <w:pPr>
        <w:pStyle w:val="ListParagraph"/>
        <w:numPr>
          <w:ilvl w:val="0"/>
          <w:numId w:val="2"/>
        </w:numPr>
        <w:spacing w:after="40" w:before="40" w:line="280"/>
      </w:pPr>
      <w:r>
        <w:rPr>
          <w:rFonts w:ascii="Calibri" w:cs="Calibri" w:eastAsia="Calibri" w:hAnsi="Calibri"/>
          <w:sz w:val="22"/>
          <w:szCs w:val="22"/>
        </w:rPr>
        <w:t xml:space="preserve">Risk closure requires evidence of mitigation; closed risks revisited at quarter-end.</w:t>
      </w:r>
    </w:p>
    <w:p>
      <w:r>
        <w:br w:type="page"/>
      </w:r>
    </w:p>
    <w:p>
      <w:pPr>
        <w:pStyle w:val="Heading1"/>
        <w:spacing w:after="180" w:before="360"/>
      </w:pPr>
      <w:r>
        <w:rPr>
          <w:rFonts w:ascii="Cambria" w:cs="Cambria" w:eastAsia="Cambria" w:hAnsi="Cambria"/>
          <w:b/>
          <w:bCs/>
          <w:color w:val="1B3A5C"/>
          <w:sz w:val="36"/>
          <w:szCs w:val="36"/>
        </w:rPr>
        <w:t xml:space="preserve">25.  Quality Assurance &amp; Testing Strategy</w:t>
      </w:r>
    </w:p>
    <w:p>
      <w:pPr>
        <w:pStyle w:val="Heading3"/>
        <w:spacing w:after="100" w:before="200"/>
      </w:pPr>
      <w:r>
        <w:rPr>
          <w:rFonts w:ascii="Cambria" w:cs="Cambria" w:eastAsia="Cambria" w:hAnsi="Cambria"/>
          <w:b/>
          <w:bCs/>
          <w:color w:val="0064DC"/>
          <w:sz w:val="24"/>
          <w:szCs w:val="24"/>
        </w:rPr>
        <w:t xml:space="preserve">25.1  Test Levels</w:t>
      </w:r>
    </w:p>
    <w:p>
      <w:pPr>
        <w:pStyle w:val="ListParagraph"/>
        <w:numPr>
          <w:ilvl w:val="0"/>
          <w:numId w:val="2"/>
        </w:numPr>
        <w:spacing w:after="40" w:before="40" w:line="280"/>
      </w:pPr>
      <w:r>
        <w:rPr>
          <w:rFonts w:ascii="Calibri" w:cs="Calibri" w:eastAsia="Calibri" w:hAnsi="Calibri"/>
          <w:sz w:val="22"/>
          <w:szCs w:val="22"/>
        </w:rPr>
        <w:t xml:space="preserve">Unit tests for all custom code with a minimum 70% line coverage target.</w:t>
      </w:r>
    </w:p>
    <w:p>
      <w:pPr>
        <w:pStyle w:val="ListParagraph"/>
        <w:numPr>
          <w:ilvl w:val="0"/>
          <w:numId w:val="2"/>
        </w:numPr>
        <w:spacing w:after="40" w:before="40" w:line="280"/>
      </w:pPr>
      <w:r>
        <w:rPr>
          <w:rFonts w:ascii="Calibri" w:cs="Calibri" w:eastAsia="Calibri" w:hAnsi="Calibri"/>
          <w:sz w:val="22"/>
          <w:szCs w:val="22"/>
        </w:rPr>
        <w:t xml:space="preserve">Integration tests for service boundaries (CMS ↔ services, services ↔ CRM/ATS).</w:t>
      </w:r>
    </w:p>
    <w:p>
      <w:pPr>
        <w:pStyle w:val="ListParagraph"/>
        <w:numPr>
          <w:ilvl w:val="0"/>
          <w:numId w:val="2"/>
        </w:numPr>
        <w:spacing w:after="40" w:before="40" w:line="280"/>
      </w:pPr>
      <w:r>
        <w:rPr>
          <w:rFonts w:ascii="Calibri" w:cs="Calibri" w:eastAsia="Calibri" w:hAnsi="Calibri"/>
          <w:sz w:val="22"/>
          <w:szCs w:val="22"/>
        </w:rPr>
        <w:t xml:space="preserve">Contract tests for external integrations to detect breaking schema changes.</w:t>
      </w:r>
    </w:p>
    <w:p>
      <w:pPr>
        <w:pStyle w:val="ListParagraph"/>
        <w:numPr>
          <w:ilvl w:val="0"/>
          <w:numId w:val="2"/>
        </w:numPr>
        <w:spacing w:after="40" w:before="40" w:line="280"/>
      </w:pPr>
      <w:r>
        <w:rPr>
          <w:rFonts w:ascii="Calibri" w:cs="Calibri" w:eastAsia="Calibri" w:hAnsi="Calibri"/>
          <w:sz w:val="22"/>
          <w:szCs w:val="22"/>
        </w:rPr>
        <w:t xml:space="preserve">End-to-end tests for the priority journeys (Investor, Vendor, Talent) using Playwright.</w:t>
      </w:r>
    </w:p>
    <w:p>
      <w:pPr>
        <w:pStyle w:val="ListParagraph"/>
        <w:numPr>
          <w:ilvl w:val="0"/>
          <w:numId w:val="2"/>
        </w:numPr>
        <w:spacing w:after="40" w:before="40" w:line="280"/>
      </w:pPr>
      <w:r>
        <w:rPr>
          <w:rFonts w:ascii="Calibri" w:cs="Calibri" w:eastAsia="Calibri" w:hAnsi="Calibri"/>
          <w:sz w:val="22"/>
          <w:szCs w:val="22"/>
        </w:rPr>
        <w:t xml:space="preserve">Performance tests with Lighthouse CI; load tests with k6 against staging.</w:t>
      </w:r>
    </w:p>
    <w:p>
      <w:pPr>
        <w:pStyle w:val="ListParagraph"/>
        <w:numPr>
          <w:ilvl w:val="0"/>
          <w:numId w:val="2"/>
        </w:numPr>
        <w:spacing w:after="40" w:before="40" w:line="280"/>
      </w:pPr>
      <w:r>
        <w:rPr>
          <w:rFonts w:ascii="Calibri" w:cs="Calibri" w:eastAsia="Calibri" w:hAnsi="Calibri"/>
          <w:sz w:val="22"/>
          <w:szCs w:val="22"/>
        </w:rPr>
        <w:t xml:space="preserve">Accessibility tests with axe-core in CI plus manual passes.</w:t>
      </w:r>
    </w:p>
    <w:p>
      <w:pPr>
        <w:pStyle w:val="ListParagraph"/>
        <w:numPr>
          <w:ilvl w:val="0"/>
          <w:numId w:val="2"/>
        </w:numPr>
        <w:spacing w:after="40" w:before="40" w:line="280"/>
      </w:pPr>
      <w:r>
        <w:rPr>
          <w:rFonts w:ascii="Calibri" w:cs="Calibri" w:eastAsia="Calibri" w:hAnsi="Calibri"/>
          <w:sz w:val="22"/>
          <w:szCs w:val="22"/>
        </w:rPr>
        <w:t xml:space="preserve">Security tests: SAST (Semgrep), DAST (OWASP ZAP), dependency scanning, secret scanning.</w:t>
      </w:r>
    </w:p>
    <w:p>
      <w:pPr>
        <w:pStyle w:val="Heading3"/>
        <w:spacing w:after="100" w:before="200"/>
      </w:pPr>
      <w:r>
        <w:rPr>
          <w:rFonts w:ascii="Cambria" w:cs="Cambria" w:eastAsia="Cambria" w:hAnsi="Cambria"/>
          <w:b/>
          <w:bCs/>
          <w:color w:val="0064DC"/>
          <w:sz w:val="24"/>
          <w:szCs w:val="24"/>
        </w:rPr>
        <w:t xml:space="preserve">25.2  Test Environments</w:t>
      </w:r>
    </w:p>
    <w:p>
      <w:pPr>
        <w:pStyle w:val="ListParagraph"/>
        <w:numPr>
          <w:ilvl w:val="0"/>
          <w:numId w:val="2"/>
        </w:numPr>
        <w:spacing w:after="40" w:before="40" w:line="280"/>
      </w:pPr>
      <w:r>
        <w:rPr>
          <w:rFonts w:ascii="Calibri" w:cs="Calibri" w:eastAsia="Calibri" w:hAnsi="Calibri"/>
          <w:sz w:val="22"/>
          <w:szCs w:val="22"/>
        </w:rPr>
        <w:t xml:space="preserve">Integration: continuous build target with synthetic data; runs the full automated suite on every merge.</w:t>
      </w:r>
    </w:p>
    <w:p>
      <w:pPr>
        <w:pStyle w:val="ListParagraph"/>
        <w:numPr>
          <w:ilvl w:val="0"/>
          <w:numId w:val="2"/>
        </w:numPr>
        <w:spacing w:after="40" w:before="40" w:line="280"/>
      </w:pPr>
      <w:r>
        <w:rPr>
          <w:rFonts w:ascii="Calibri" w:cs="Calibri" w:eastAsia="Calibri" w:hAnsi="Calibri"/>
          <w:sz w:val="22"/>
          <w:szCs w:val="22"/>
        </w:rPr>
        <w:t xml:space="preserve">Staging: production parity with pre-production data; UAT runs here.</w:t>
      </w:r>
    </w:p>
    <w:p>
      <w:pPr>
        <w:pStyle w:val="ListParagraph"/>
        <w:numPr>
          <w:ilvl w:val="0"/>
          <w:numId w:val="2"/>
        </w:numPr>
        <w:spacing w:after="40" w:before="40" w:line="280"/>
      </w:pPr>
      <w:r>
        <w:rPr>
          <w:rFonts w:ascii="Calibri" w:cs="Calibri" w:eastAsia="Calibri" w:hAnsi="Calibri"/>
          <w:sz w:val="22"/>
          <w:szCs w:val="22"/>
        </w:rPr>
        <w:t xml:space="preserve">Production: smoke tests post-deploy.</w:t>
      </w:r>
    </w:p>
    <w:p>
      <w:pPr>
        <w:pStyle w:val="Heading3"/>
        <w:spacing w:after="100" w:before="200"/>
      </w:pPr>
      <w:r>
        <w:rPr>
          <w:rFonts w:ascii="Cambria" w:cs="Cambria" w:eastAsia="Cambria" w:hAnsi="Cambria"/>
          <w:b/>
          <w:bCs/>
          <w:color w:val="0064DC"/>
          <w:sz w:val="24"/>
          <w:szCs w:val="24"/>
        </w:rPr>
        <w:t xml:space="preserve">25.3  Defect Management</w:t>
      </w:r>
    </w:p>
    <w:p>
      <w:pPr>
        <w:pStyle w:val="ListParagraph"/>
        <w:numPr>
          <w:ilvl w:val="0"/>
          <w:numId w:val="2"/>
        </w:numPr>
        <w:spacing w:after="40" w:before="40" w:line="280"/>
      </w:pPr>
      <w:r>
        <w:rPr>
          <w:rFonts w:ascii="Calibri" w:cs="Calibri" w:eastAsia="Calibri" w:hAnsi="Calibri"/>
          <w:sz w:val="22"/>
          <w:szCs w:val="22"/>
        </w:rPr>
        <w:t xml:space="preserve">Severity classified as Critical, High, Medium, Low with response and resolution SLAs.</w:t>
      </w:r>
    </w:p>
    <w:p>
      <w:pPr>
        <w:pStyle w:val="ListParagraph"/>
        <w:numPr>
          <w:ilvl w:val="0"/>
          <w:numId w:val="2"/>
        </w:numPr>
        <w:spacing w:after="40" w:before="40" w:line="280"/>
      </w:pPr>
      <w:r>
        <w:rPr>
          <w:rFonts w:ascii="Calibri" w:cs="Calibri" w:eastAsia="Calibri" w:hAnsi="Calibri"/>
          <w:sz w:val="22"/>
          <w:szCs w:val="22"/>
        </w:rPr>
        <w:t xml:space="preserve">Daily defect triage during validation phase.</w:t>
      </w:r>
    </w:p>
    <w:p>
      <w:pPr>
        <w:pStyle w:val="ListParagraph"/>
        <w:numPr>
          <w:ilvl w:val="0"/>
          <w:numId w:val="2"/>
        </w:numPr>
        <w:spacing w:after="40" w:before="40" w:line="280"/>
      </w:pPr>
      <w:r>
        <w:rPr>
          <w:rFonts w:ascii="Calibri" w:cs="Calibri" w:eastAsia="Calibri" w:hAnsi="Calibri"/>
          <w:sz w:val="22"/>
          <w:szCs w:val="22"/>
        </w:rPr>
        <w:t xml:space="preserve">Defect dashboards visible to the programme.</w:t>
      </w:r>
    </w:p>
    <w:p>
      <w:pPr>
        <w:pStyle w:val="Heading3"/>
        <w:spacing w:after="100" w:before="200"/>
      </w:pPr>
      <w:r>
        <w:rPr>
          <w:rFonts w:ascii="Cambria" w:cs="Cambria" w:eastAsia="Cambria" w:hAnsi="Cambria"/>
          <w:b/>
          <w:bCs/>
          <w:color w:val="0064DC"/>
          <w:sz w:val="24"/>
          <w:szCs w:val="24"/>
        </w:rPr>
        <w:t xml:space="preserve">25.4  UAT</w:t>
      </w:r>
    </w:p>
    <w:p>
      <w:pPr>
        <w:pStyle w:val="ListParagraph"/>
        <w:numPr>
          <w:ilvl w:val="0"/>
          <w:numId w:val="2"/>
        </w:numPr>
        <w:spacing w:after="40" w:before="40" w:line="280"/>
      </w:pPr>
      <w:r>
        <w:rPr>
          <w:rFonts w:ascii="Calibri" w:cs="Calibri" w:eastAsia="Calibri" w:hAnsi="Calibri"/>
          <w:sz w:val="22"/>
          <w:szCs w:val="22"/>
        </w:rPr>
        <w:t xml:space="preserve">UAT plan with a script per priority journey, executed by representative stakeholders.</w:t>
      </w:r>
    </w:p>
    <w:p>
      <w:pPr>
        <w:pStyle w:val="ListParagraph"/>
        <w:numPr>
          <w:ilvl w:val="0"/>
          <w:numId w:val="2"/>
        </w:numPr>
        <w:spacing w:after="40" w:before="40" w:line="280"/>
      </w:pPr>
      <w:r>
        <w:rPr>
          <w:rFonts w:ascii="Calibri" w:cs="Calibri" w:eastAsia="Calibri" w:hAnsi="Calibri"/>
          <w:sz w:val="22"/>
          <w:szCs w:val="22"/>
        </w:rPr>
        <w:t xml:space="preserve">Sponsor walkthrough on the staging environment 5 working days before Go-Live.</w:t>
      </w:r>
    </w:p>
    <w:p>
      <w:pPr>
        <w:pStyle w:val="ListParagraph"/>
        <w:numPr>
          <w:ilvl w:val="0"/>
          <w:numId w:val="2"/>
        </w:numPr>
        <w:spacing w:after="40" w:before="40" w:line="280"/>
      </w:pPr>
      <w:r>
        <w:rPr>
          <w:rFonts w:ascii="Calibri" w:cs="Calibri" w:eastAsia="Calibri" w:hAnsi="Calibri"/>
          <w:sz w:val="22"/>
          <w:szCs w:val="22"/>
        </w:rPr>
        <w:t xml:space="preserve">UAT exit criteria: all Critical / High defects closed; Medium defects either closed or accepted with workaround.</w:t>
      </w:r>
    </w:p>
    <w:p>
      <w:r>
        <w:br w:type="page"/>
      </w:r>
    </w:p>
    <w:p>
      <w:pPr>
        <w:pStyle w:val="Heading1"/>
        <w:spacing w:after="180" w:before="360"/>
      </w:pPr>
      <w:r>
        <w:rPr>
          <w:rFonts w:ascii="Cambria" w:cs="Cambria" w:eastAsia="Cambria" w:hAnsi="Cambria"/>
          <w:b/>
          <w:bCs/>
          <w:color w:val="1B3A5C"/>
          <w:sz w:val="36"/>
          <w:szCs w:val="36"/>
        </w:rPr>
        <w:t xml:space="preserve">26.  Deployment &amp; Cutover Plan</w:t>
      </w:r>
    </w:p>
    <w:p>
      <w:pPr>
        <w:pStyle w:val="Heading3"/>
        <w:spacing w:after="100" w:before="200"/>
      </w:pPr>
      <w:r>
        <w:rPr>
          <w:rFonts w:ascii="Cambria" w:cs="Cambria" w:eastAsia="Cambria" w:hAnsi="Cambria"/>
          <w:b/>
          <w:bCs/>
          <w:color w:val="0064DC"/>
          <w:sz w:val="24"/>
          <w:szCs w:val="24"/>
        </w:rPr>
        <w:t xml:space="preserve">26.1  Pre-Cutover Readiness</w:t>
      </w:r>
    </w:p>
    <w:p>
      <w:pPr>
        <w:pStyle w:val="ListParagraph"/>
        <w:numPr>
          <w:ilvl w:val="0"/>
          <w:numId w:val="2"/>
        </w:numPr>
        <w:spacing w:after="40" w:before="40" w:line="280"/>
      </w:pPr>
      <w:r>
        <w:rPr>
          <w:rFonts w:ascii="Calibri" w:cs="Calibri" w:eastAsia="Calibri" w:hAnsi="Calibri"/>
          <w:sz w:val="22"/>
          <w:szCs w:val="22"/>
        </w:rPr>
        <w:t xml:space="preserve">Production environment provisioned and health-checked.</w:t>
      </w:r>
    </w:p>
    <w:p>
      <w:pPr>
        <w:pStyle w:val="ListParagraph"/>
        <w:numPr>
          <w:ilvl w:val="0"/>
          <w:numId w:val="2"/>
        </w:numPr>
        <w:spacing w:after="40" w:before="40" w:line="280"/>
      </w:pPr>
      <w:r>
        <w:rPr>
          <w:rFonts w:ascii="Calibri" w:cs="Calibri" w:eastAsia="Calibri" w:hAnsi="Calibri"/>
          <w:sz w:val="22"/>
          <w:szCs w:val="22"/>
        </w:rPr>
        <w:t xml:space="preserve">DNS records prepared with low TTL 48 hours ahead of cutover.</w:t>
      </w:r>
    </w:p>
    <w:p>
      <w:pPr>
        <w:pStyle w:val="ListParagraph"/>
        <w:numPr>
          <w:ilvl w:val="0"/>
          <w:numId w:val="2"/>
        </w:numPr>
        <w:spacing w:after="40" w:before="40" w:line="280"/>
      </w:pPr>
      <w:r>
        <w:rPr>
          <w:rFonts w:ascii="Calibri" w:cs="Calibri" w:eastAsia="Calibri" w:hAnsi="Calibri"/>
          <w:sz w:val="22"/>
          <w:szCs w:val="22"/>
        </w:rPr>
        <w:t xml:space="preserve">Content freeze on the legacy site 48 hours before cutover.</w:t>
      </w:r>
    </w:p>
    <w:p>
      <w:pPr>
        <w:pStyle w:val="ListParagraph"/>
        <w:numPr>
          <w:ilvl w:val="0"/>
          <w:numId w:val="2"/>
        </w:numPr>
        <w:spacing w:after="40" w:before="40" w:line="280"/>
      </w:pPr>
      <w:r>
        <w:rPr>
          <w:rFonts w:ascii="Calibri" w:cs="Calibri" w:eastAsia="Calibri" w:hAnsi="Calibri"/>
          <w:sz w:val="22"/>
          <w:szCs w:val="22"/>
        </w:rPr>
        <w:t xml:space="preserve">Final UAT regression pass on staging.</w:t>
      </w:r>
    </w:p>
    <w:p>
      <w:pPr>
        <w:pStyle w:val="ListParagraph"/>
        <w:numPr>
          <w:ilvl w:val="0"/>
          <w:numId w:val="2"/>
        </w:numPr>
        <w:spacing w:after="40" w:before="40" w:line="280"/>
      </w:pPr>
      <w:r>
        <w:rPr>
          <w:rFonts w:ascii="Calibri" w:cs="Calibri" w:eastAsia="Calibri" w:hAnsi="Calibri"/>
          <w:sz w:val="22"/>
          <w:szCs w:val="22"/>
        </w:rPr>
        <w:t xml:space="preserve">Rollback plan agreed with the Tech Authority and Programme Owner.</w:t>
      </w:r>
    </w:p>
    <w:p>
      <w:pPr>
        <w:pStyle w:val="Heading3"/>
        <w:spacing w:after="100" w:before="200"/>
      </w:pPr>
      <w:r>
        <w:rPr>
          <w:rFonts w:ascii="Cambria" w:cs="Cambria" w:eastAsia="Cambria" w:hAnsi="Cambria"/>
          <w:b/>
          <w:bCs/>
          <w:color w:val="0064DC"/>
          <w:sz w:val="24"/>
          <w:szCs w:val="24"/>
        </w:rPr>
        <w:t xml:space="preserve">26.2  Cutover Sequence</w:t>
      </w:r>
    </w:p>
    <w:p>
      <w:pPr>
        <w:pStyle w:val="ListParagraph"/>
        <w:numPr>
          <w:ilvl w:val="0"/>
          <w:numId w:val="3"/>
        </w:numPr>
        <w:spacing w:after="40" w:before="40" w:line="280"/>
      </w:pPr>
      <w:r>
        <w:rPr>
          <w:rFonts w:ascii="Calibri" w:cs="Calibri" w:eastAsia="Calibri" w:hAnsi="Calibri"/>
          <w:sz w:val="22"/>
          <w:szCs w:val="22"/>
        </w:rPr>
        <w:t xml:space="preserve">T-24h: communicate cutover window; freeze legacy site; final content sync.</w:t>
      </w:r>
    </w:p>
    <w:p>
      <w:pPr>
        <w:pStyle w:val="ListParagraph"/>
        <w:numPr>
          <w:ilvl w:val="0"/>
          <w:numId w:val="3"/>
        </w:numPr>
        <w:spacing w:after="40" w:before="40" w:line="280"/>
      </w:pPr>
      <w:r>
        <w:rPr>
          <w:rFonts w:ascii="Calibri" w:cs="Calibri" w:eastAsia="Calibri" w:hAnsi="Calibri"/>
          <w:sz w:val="22"/>
          <w:szCs w:val="22"/>
        </w:rPr>
        <w:t xml:space="preserve">T-2h: deploy production build; smoke test; warm caches.</w:t>
      </w:r>
    </w:p>
    <w:p>
      <w:pPr>
        <w:pStyle w:val="ListParagraph"/>
        <w:numPr>
          <w:ilvl w:val="0"/>
          <w:numId w:val="3"/>
        </w:numPr>
        <w:spacing w:after="40" w:before="40" w:line="280"/>
      </w:pPr>
      <w:r>
        <w:rPr>
          <w:rFonts w:ascii="Calibri" w:cs="Calibri" w:eastAsia="Calibri" w:hAnsi="Calibri"/>
          <w:sz w:val="22"/>
          <w:szCs w:val="22"/>
        </w:rPr>
        <w:t xml:space="preserve">T-0: switch DNS to new origin; monitor TTL convergence.</w:t>
      </w:r>
    </w:p>
    <w:p>
      <w:pPr>
        <w:pStyle w:val="ListParagraph"/>
        <w:numPr>
          <w:ilvl w:val="0"/>
          <w:numId w:val="3"/>
        </w:numPr>
        <w:spacing w:after="40" w:before="40" w:line="280"/>
      </w:pPr>
      <w:r>
        <w:rPr>
          <w:rFonts w:ascii="Calibri" w:cs="Calibri" w:eastAsia="Calibri" w:hAnsi="Calibri"/>
          <w:sz w:val="22"/>
          <w:szCs w:val="22"/>
        </w:rPr>
        <w:t xml:space="preserve">T+1h: full smoke test across priority journeys; verify analytics.</w:t>
      </w:r>
    </w:p>
    <w:p>
      <w:pPr>
        <w:pStyle w:val="ListParagraph"/>
        <w:numPr>
          <w:ilvl w:val="0"/>
          <w:numId w:val="3"/>
        </w:numPr>
        <w:spacing w:after="40" w:before="40" w:line="280"/>
      </w:pPr>
      <w:r>
        <w:rPr>
          <w:rFonts w:ascii="Calibri" w:cs="Calibri" w:eastAsia="Calibri" w:hAnsi="Calibri"/>
          <w:sz w:val="22"/>
          <w:szCs w:val="22"/>
        </w:rPr>
        <w:t xml:space="preserve">T+4h: cutover review; Go / No-Go on continuing operations.</w:t>
      </w:r>
    </w:p>
    <w:p>
      <w:pPr>
        <w:pStyle w:val="ListParagraph"/>
        <w:numPr>
          <w:ilvl w:val="0"/>
          <w:numId w:val="3"/>
        </w:numPr>
        <w:spacing w:after="40" w:before="40" w:line="280"/>
      </w:pPr>
      <w:r>
        <w:rPr>
          <w:rFonts w:ascii="Calibri" w:cs="Calibri" w:eastAsia="Calibri" w:hAnsi="Calibri"/>
          <w:sz w:val="22"/>
          <w:szCs w:val="22"/>
        </w:rPr>
        <w:t xml:space="preserve">T+24h: hypercare brief; defect log review.</w:t>
      </w:r>
    </w:p>
    <w:p>
      <w:pPr>
        <w:pStyle w:val="Heading3"/>
        <w:spacing w:after="100" w:before="200"/>
      </w:pPr>
      <w:r>
        <w:rPr>
          <w:rFonts w:ascii="Cambria" w:cs="Cambria" w:eastAsia="Cambria" w:hAnsi="Cambria"/>
          <w:b/>
          <w:bCs/>
          <w:color w:val="0064DC"/>
          <w:sz w:val="24"/>
          <w:szCs w:val="24"/>
        </w:rPr>
        <w:t xml:space="preserve">26.3  Rollback Plan</w:t>
      </w:r>
    </w:p>
    <w:p>
      <w:pPr>
        <w:pStyle w:val="ListParagraph"/>
        <w:numPr>
          <w:ilvl w:val="0"/>
          <w:numId w:val="2"/>
        </w:numPr>
        <w:spacing w:after="40" w:before="40" w:line="280"/>
      </w:pPr>
      <w:r>
        <w:rPr>
          <w:rFonts w:ascii="Calibri" w:cs="Calibri" w:eastAsia="Calibri" w:hAnsi="Calibri"/>
          <w:sz w:val="22"/>
          <w:szCs w:val="22"/>
        </w:rPr>
        <w:t xml:space="preserve">DNS rollback to legacy origin within 15 minutes if Critical defects manifest.</w:t>
      </w:r>
    </w:p>
    <w:p>
      <w:pPr>
        <w:pStyle w:val="ListParagraph"/>
        <w:numPr>
          <w:ilvl w:val="0"/>
          <w:numId w:val="2"/>
        </w:numPr>
        <w:spacing w:after="40" w:before="40" w:line="280"/>
      </w:pPr>
      <w:r>
        <w:rPr>
          <w:rFonts w:ascii="Calibri" w:cs="Calibri" w:eastAsia="Calibri" w:hAnsi="Calibri"/>
          <w:sz w:val="22"/>
          <w:szCs w:val="22"/>
        </w:rPr>
        <w:t xml:space="preserve">Content edits made post-cutover are reconciled on rollback per the runbook.</w:t>
      </w:r>
    </w:p>
    <w:p>
      <w:pPr>
        <w:pStyle w:val="ListParagraph"/>
        <w:numPr>
          <w:ilvl w:val="0"/>
          <w:numId w:val="2"/>
        </w:numPr>
        <w:spacing w:after="40" w:before="40" w:line="280"/>
      </w:pPr>
      <w:r>
        <w:rPr>
          <w:rFonts w:ascii="Calibri" w:cs="Calibri" w:eastAsia="Calibri" w:hAnsi="Calibri"/>
          <w:sz w:val="22"/>
          <w:szCs w:val="22"/>
        </w:rPr>
        <w:t xml:space="preserve">Rollback authority resides with the Programme Owner in consultation with the Tech Authority.</w:t>
      </w:r>
    </w:p>
    <w:p>
      <w:pPr>
        <w:pStyle w:val="Heading3"/>
        <w:spacing w:after="100" w:before="200"/>
      </w:pPr>
      <w:r>
        <w:rPr>
          <w:rFonts w:ascii="Cambria" w:cs="Cambria" w:eastAsia="Cambria" w:hAnsi="Cambria"/>
          <w:b/>
          <w:bCs/>
          <w:color w:val="0064DC"/>
          <w:sz w:val="24"/>
          <w:szCs w:val="24"/>
        </w:rPr>
        <w:t xml:space="preserve">26.4  Post Go-Live (Hypercare)</w:t>
      </w:r>
    </w:p>
    <w:p>
      <w:pPr>
        <w:pStyle w:val="ListParagraph"/>
        <w:numPr>
          <w:ilvl w:val="0"/>
          <w:numId w:val="2"/>
        </w:numPr>
        <w:spacing w:after="40" w:before="40" w:line="280"/>
      </w:pPr>
      <w:r>
        <w:rPr>
          <w:rFonts w:ascii="Calibri" w:cs="Calibri" w:eastAsia="Calibri" w:hAnsi="Calibri"/>
          <w:sz w:val="22"/>
          <w:szCs w:val="22"/>
        </w:rPr>
        <w:t xml:space="preserve">30-day hypercare with daily standups, accelerated defect SLAs, and a dedicated war-room channel.</w:t>
      </w:r>
    </w:p>
    <w:p>
      <w:pPr>
        <w:pStyle w:val="ListParagraph"/>
        <w:numPr>
          <w:ilvl w:val="0"/>
          <w:numId w:val="2"/>
        </w:numPr>
        <w:spacing w:after="40" w:before="40" w:line="280"/>
      </w:pPr>
      <w:r>
        <w:rPr>
          <w:rFonts w:ascii="Calibri" w:cs="Calibri" w:eastAsia="Calibri" w:hAnsi="Calibri"/>
          <w:sz w:val="22"/>
          <w:szCs w:val="22"/>
        </w:rPr>
        <w:t xml:space="preserve">Daily KPI snapshot for the first 30 days; weekly thereafter.</w:t>
      </w:r>
    </w:p>
    <w:p>
      <w:pPr>
        <w:pStyle w:val="ListParagraph"/>
        <w:numPr>
          <w:ilvl w:val="0"/>
          <w:numId w:val="2"/>
        </w:numPr>
        <w:spacing w:after="40" w:before="40" w:line="280"/>
      </w:pPr>
      <w:r>
        <w:rPr>
          <w:rFonts w:ascii="Calibri" w:cs="Calibri" w:eastAsia="Calibri" w:hAnsi="Calibri"/>
          <w:sz w:val="22"/>
          <w:szCs w:val="22"/>
        </w:rPr>
        <w:t xml:space="preserve">End-of-hypercare review and transition to steady-state operations.</w:t>
      </w:r>
    </w:p>
    <w:p>
      <w:r>
        <w:br w:type="page"/>
      </w:r>
    </w:p>
    <w:p>
      <w:pPr>
        <w:pStyle w:val="Heading1"/>
        <w:spacing w:after="180" w:before="360"/>
      </w:pPr>
      <w:r>
        <w:rPr>
          <w:rFonts w:ascii="Cambria" w:cs="Cambria" w:eastAsia="Cambria" w:hAnsi="Cambria"/>
          <w:b/>
          <w:bCs/>
          <w:color w:val="1B3A5C"/>
          <w:sz w:val="36"/>
          <w:szCs w:val="36"/>
        </w:rPr>
        <w:t xml:space="preserve">27.  Training &amp; Knowledge Transfer</w:t>
      </w:r>
    </w:p>
    <w:p>
      <w:pPr>
        <w:pStyle w:val="Heading3"/>
        <w:spacing w:after="100" w:before="200"/>
      </w:pPr>
      <w:r>
        <w:rPr>
          <w:rFonts w:ascii="Cambria" w:cs="Cambria" w:eastAsia="Cambria" w:hAnsi="Cambria"/>
          <w:b/>
          <w:bCs/>
          <w:color w:val="0064DC"/>
          <w:sz w:val="24"/>
          <w:szCs w:val="24"/>
        </w:rPr>
        <w:t xml:space="preserve">27.1  Audiences</w:t>
      </w:r>
    </w:p>
    <w:p>
      <w:pPr>
        <w:pStyle w:val="ListParagraph"/>
        <w:numPr>
          <w:ilvl w:val="0"/>
          <w:numId w:val="2"/>
        </w:numPr>
        <w:spacing w:after="40" w:before="40" w:line="280"/>
      </w:pPr>
      <w:r>
        <w:rPr>
          <w:rFonts w:ascii="Calibri" w:cs="Calibri" w:eastAsia="Calibri" w:hAnsi="Calibri"/>
          <w:sz w:val="22"/>
          <w:szCs w:val="22"/>
        </w:rPr>
        <w:t xml:space="preserve">Editorial team (authors, editors, legal reviewers, publishers).</w:t>
      </w:r>
    </w:p>
    <w:p>
      <w:pPr>
        <w:pStyle w:val="ListParagraph"/>
        <w:numPr>
          <w:ilvl w:val="0"/>
          <w:numId w:val="2"/>
        </w:numPr>
        <w:spacing w:after="40" w:before="40" w:line="280"/>
      </w:pPr>
      <w:r>
        <w:rPr>
          <w:rFonts w:ascii="Calibri" w:cs="Calibri" w:eastAsia="Calibri" w:hAnsi="Calibri"/>
          <w:sz w:val="22"/>
          <w:szCs w:val="22"/>
        </w:rPr>
        <w:t xml:space="preserve">Subsidiary Brand Liaisons.</w:t>
      </w:r>
    </w:p>
    <w:p>
      <w:pPr>
        <w:pStyle w:val="ListParagraph"/>
        <w:numPr>
          <w:ilvl w:val="0"/>
          <w:numId w:val="2"/>
        </w:numPr>
        <w:spacing w:after="40" w:before="40" w:line="280"/>
      </w:pPr>
      <w:r>
        <w:rPr>
          <w:rFonts w:ascii="Calibri" w:cs="Calibri" w:eastAsia="Calibri" w:hAnsi="Calibri"/>
          <w:sz w:val="22"/>
          <w:szCs w:val="22"/>
        </w:rPr>
        <w:t xml:space="preserve">Operations and on-call engineers.</w:t>
      </w:r>
    </w:p>
    <w:p>
      <w:pPr>
        <w:pStyle w:val="ListParagraph"/>
        <w:numPr>
          <w:ilvl w:val="0"/>
          <w:numId w:val="2"/>
        </w:numPr>
        <w:spacing w:after="40" w:before="40" w:line="280"/>
      </w:pPr>
      <w:r>
        <w:rPr>
          <w:rFonts w:ascii="Calibri" w:cs="Calibri" w:eastAsia="Calibri" w:hAnsi="Calibri"/>
          <w:sz w:val="22"/>
          <w:szCs w:val="22"/>
        </w:rPr>
        <w:t xml:space="preserve">Group Brand &amp; Communications leadership.</w:t>
      </w:r>
    </w:p>
    <w:p>
      <w:pPr>
        <w:pStyle w:val="Heading3"/>
        <w:spacing w:after="100" w:before="200"/>
      </w:pPr>
      <w:r>
        <w:rPr>
          <w:rFonts w:ascii="Cambria" w:cs="Cambria" w:eastAsia="Cambria" w:hAnsi="Cambria"/>
          <w:b/>
          <w:bCs/>
          <w:color w:val="0064DC"/>
          <w:sz w:val="24"/>
          <w:szCs w:val="24"/>
        </w:rPr>
        <w:t xml:space="preserve">27.2  Training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Module</w:t>
            </w:r>
          </w:p>
        </w:tc>
        <w:tc>
          <w:tcPr>
            <w:tcW w:type="dxa" w:w="18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Duration</w:t>
            </w:r>
          </w:p>
        </w:tc>
        <w:tc>
          <w:tcPr>
            <w:tcW w:type="dxa" w:w="51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Coverage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CMS authoring fundamentals</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2 sessions × 90 min</w:t>
            </w:r>
          </w:p>
        </w:tc>
        <w:tc>
          <w:tcPr>
            <w:tcW w:type="dxa" w:w="5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 blocks, media library, scheduling</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workflow</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 session × 90 min</w:t>
            </w:r>
          </w:p>
        </w:tc>
        <w:tc>
          <w:tcPr>
            <w:tcW w:type="dxa" w:w="5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Draft → Review → Legal → Approve → Publish</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Voice &amp; brand alignment</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 session × 60 min</w:t>
            </w:r>
          </w:p>
        </w:tc>
        <w:tc>
          <w:tcPr>
            <w:tcW w:type="dxa" w:w="5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Style Guide v2, samples, dos / don’ts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Disclosure publication</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 session × 60 min</w:t>
            </w:r>
          </w:p>
        </w:tc>
        <w:tc>
          <w:tcPr>
            <w:tcW w:type="dxa" w:w="5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Verbatim rule, checksum, four-eyes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content patterns</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 session × 60 min</w:t>
            </w:r>
          </w:p>
        </w:tc>
        <w:tc>
          <w:tcPr>
            <w:tcW w:type="dxa" w:w="5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Standardised entity overview</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Operations runbooks</w:t>
            </w:r>
          </w:p>
        </w:tc>
        <w:tc>
          <w:tcPr>
            <w:tcW w:type="dxa" w:w="18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 session × 90 min</w:t>
            </w:r>
          </w:p>
        </w:tc>
        <w:tc>
          <w:tcPr>
            <w:tcW w:type="dxa" w:w="51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Incident response, on-call, change management</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Translation &amp; locale</w:t>
            </w:r>
          </w:p>
        </w:tc>
        <w:tc>
          <w:tcPr>
            <w:tcW w:type="dxa" w:w="18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 session × 60 min</w:t>
            </w:r>
          </w:p>
        </w:tc>
        <w:tc>
          <w:tcPr>
            <w:tcW w:type="dxa" w:w="51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Phase 2 / 3 readiness</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27.3  Documentation Set</w:t>
      </w:r>
    </w:p>
    <w:p>
      <w:pPr>
        <w:pStyle w:val="ListParagraph"/>
        <w:numPr>
          <w:ilvl w:val="0"/>
          <w:numId w:val="2"/>
        </w:numPr>
        <w:spacing w:after="40" w:before="40" w:line="280"/>
      </w:pPr>
      <w:r>
        <w:rPr>
          <w:rFonts w:ascii="Calibri" w:cs="Calibri" w:eastAsia="Calibri" w:hAnsi="Calibri"/>
          <w:sz w:val="22"/>
          <w:szCs w:val="22"/>
        </w:rPr>
        <w:t xml:space="preserve">Editorial handbook (50–70 pages).</w:t>
      </w:r>
    </w:p>
    <w:p>
      <w:pPr>
        <w:pStyle w:val="ListParagraph"/>
        <w:numPr>
          <w:ilvl w:val="0"/>
          <w:numId w:val="2"/>
        </w:numPr>
        <w:spacing w:after="40" w:before="40" w:line="280"/>
      </w:pPr>
      <w:r>
        <w:rPr>
          <w:rFonts w:ascii="Calibri" w:cs="Calibri" w:eastAsia="Calibri" w:hAnsi="Calibri"/>
          <w:sz w:val="22"/>
          <w:szCs w:val="22"/>
        </w:rPr>
        <w:t xml:space="preserve">Operations runbook (40–60 pages).</w:t>
      </w:r>
    </w:p>
    <w:p>
      <w:pPr>
        <w:pStyle w:val="ListParagraph"/>
        <w:numPr>
          <w:ilvl w:val="0"/>
          <w:numId w:val="2"/>
        </w:numPr>
        <w:spacing w:after="40" w:before="40" w:line="280"/>
      </w:pPr>
      <w:r>
        <w:rPr>
          <w:rFonts w:ascii="Calibri" w:cs="Calibri" w:eastAsia="Calibri" w:hAnsi="Calibri"/>
          <w:sz w:val="22"/>
          <w:szCs w:val="22"/>
        </w:rPr>
        <w:t xml:space="preserve">Architecture reference (60–80 pages).</w:t>
      </w:r>
    </w:p>
    <w:p>
      <w:pPr>
        <w:pStyle w:val="ListParagraph"/>
        <w:numPr>
          <w:ilvl w:val="0"/>
          <w:numId w:val="2"/>
        </w:numPr>
        <w:spacing w:after="40" w:before="40" w:line="280"/>
      </w:pPr>
      <w:r>
        <w:rPr>
          <w:rFonts w:ascii="Calibri" w:cs="Calibri" w:eastAsia="Calibri" w:hAnsi="Calibri"/>
          <w:sz w:val="22"/>
          <w:szCs w:val="22"/>
        </w:rPr>
        <w:t xml:space="preserve">Style Guide v2 (web supplement).</w:t>
      </w:r>
    </w:p>
    <w:p>
      <w:pPr>
        <w:pStyle w:val="ListParagraph"/>
        <w:numPr>
          <w:ilvl w:val="0"/>
          <w:numId w:val="2"/>
        </w:numPr>
        <w:spacing w:after="40" w:before="40" w:line="280"/>
      </w:pPr>
      <w:r>
        <w:rPr>
          <w:rFonts w:ascii="Calibri" w:cs="Calibri" w:eastAsia="Calibri" w:hAnsi="Calibri"/>
          <w:sz w:val="22"/>
          <w:szCs w:val="22"/>
        </w:rPr>
        <w:t xml:space="preserve">Storybook for component reference.</w:t>
      </w:r>
    </w:p>
    <w:p>
      <w:pPr>
        <w:pStyle w:val="ListParagraph"/>
        <w:numPr>
          <w:ilvl w:val="0"/>
          <w:numId w:val="2"/>
        </w:numPr>
        <w:spacing w:after="40" w:before="40" w:line="280"/>
      </w:pPr>
      <w:r>
        <w:rPr>
          <w:rFonts w:ascii="Calibri" w:cs="Calibri" w:eastAsia="Calibri" w:hAnsi="Calibri"/>
          <w:sz w:val="22"/>
          <w:szCs w:val="22"/>
        </w:rPr>
        <w:t xml:space="preserve">Recorded training videos for each module above.</w:t>
      </w:r>
    </w:p>
    <w:p>
      <w:r>
        <w:br w:type="page"/>
      </w:r>
    </w:p>
    <w:p>
      <w:pPr>
        <w:pStyle w:val="Heading1"/>
        <w:spacing w:after="180" w:before="360"/>
      </w:pPr>
      <w:r>
        <w:rPr>
          <w:rFonts w:ascii="Cambria" w:cs="Cambria" w:eastAsia="Cambria" w:hAnsi="Cambria"/>
          <w:b/>
          <w:bCs/>
          <w:color w:val="1B3A5C"/>
          <w:sz w:val="36"/>
          <w:szCs w:val="36"/>
        </w:rPr>
        <w:t xml:space="preserve">28.  Post-Launch Support, SLA &amp; Maintenance</w:t>
      </w:r>
    </w:p>
    <w:p>
      <w:pPr>
        <w:pStyle w:val="Heading3"/>
        <w:spacing w:after="100" w:before="200"/>
      </w:pPr>
      <w:r>
        <w:rPr>
          <w:rFonts w:ascii="Cambria" w:cs="Cambria" w:eastAsia="Cambria" w:hAnsi="Cambria"/>
          <w:b/>
          <w:bCs/>
          <w:color w:val="0064DC"/>
          <w:sz w:val="24"/>
          <w:szCs w:val="24"/>
        </w:rPr>
        <w:t xml:space="preserve">28.1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660"/>
      </w:tblGrid>
      <w:tr>
        <w:trPr>
          <w:tblHeader/>
        </w:trPr>
        <w:tc>
          <w:tcPr>
            <w:tcW w:type="dxa" w:w="17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Severity</w:t>
            </w:r>
          </w:p>
        </w:tc>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Response</w:t>
            </w:r>
          </w:p>
        </w:tc>
        <w:tc>
          <w:tcPr>
            <w:tcW w:type="dxa" w:w="15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Resolution</w:t>
            </w:r>
          </w:p>
        </w:tc>
        <w:tc>
          <w:tcPr>
            <w:tcW w:type="dxa" w:w="46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Definition</w:t>
            </w:r>
          </w:p>
        </w:tc>
      </w:tr>
      <w:tr>
        <w:trPr>
          <w:tblHeader w:val="false"/>
        </w:trPr>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P1 — Critical</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15 min</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 h</w:t>
            </w:r>
          </w:p>
        </w:tc>
        <w:tc>
          <w:tcPr>
            <w:tcW w:type="dxa" w:w="4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Site down, severe security incident, data loss</w:t>
            </w:r>
          </w:p>
        </w:tc>
      </w:tr>
      <w:tr>
        <w:trPr>
          <w:tblHeader w:val="false"/>
        </w:trPr>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P2 — High</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30 min</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8 h</w:t>
            </w:r>
          </w:p>
        </w:tc>
        <w:tc>
          <w:tcPr>
            <w:tcW w:type="dxa" w:w="4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Major feature broken, significant performance regression</w:t>
            </w:r>
          </w:p>
        </w:tc>
      </w:tr>
      <w:tr>
        <w:trPr>
          <w:tblHeader w:val="false"/>
        </w:trPr>
        <w:tc>
          <w:tcPr>
            <w:tcW w:type="dxa" w:w="17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P3 — Medium</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4 h business</w:t>
            </w:r>
          </w:p>
        </w:tc>
        <w:tc>
          <w:tcPr>
            <w:tcW w:type="dxa" w:w="15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3 business days</w:t>
            </w:r>
          </w:p>
        </w:tc>
        <w:tc>
          <w:tcPr>
            <w:tcW w:type="dxa" w:w="46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Non-blocking defect, minor regression</w:t>
            </w:r>
          </w:p>
        </w:tc>
      </w:tr>
      <w:tr>
        <w:trPr>
          <w:tblHeader w:val="false"/>
        </w:trPr>
        <w:tc>
          <w:tcPr>
            <w:tcW w:type="dxa" w:w="17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P4 — Low</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 business day</w:t>
            </w:r>
          </w:p>
        </w:tc>
        <w:tc>
          <w:tcPr>
            <w:tcW w:type="dxa" w:w="15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10 business days</w:t>
            </w:r>
          </w:p>
        </w:tc>
        <w:tc>
          <w:tcPr>
            <w:tcW w:type="dxa" w:w="46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Cosmetic, enhancement</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28.2  Operations Cadence</w:t>
      </w:r>
    </w:p>
    <w:p>
      <w:pPr>
        <w:pStyle w:val="ListParagraph"/>
        <w:numPr>
          <w:ilvl w:val="0"/>
          <w:numId w:val="2"/>
        </w:numPr>
        <w:spacing w:after="40" w:before="40" w:line="280"/>
      </w:pPr>
      <w:r>
        <w:rPr>
          <w:rFonts w:ascii="Calibri" w:cs="Calibri" w:eastAsia="Calibri" w:hAnsi="Calibri"/>
          <w:sz w:val="22"/>
          <w:szCs w:val="22"/>
        </w:rPr>
        <w:t xml:space="preserve">On-call rotation 24x7 for P1/P2; business-hours coverage for P3/P4.</w:t>
      </w:r>
    </w:p>
    <w:p>
      <w:pPr>
        <w:pStyle w:val="ListParagraph"/>
        <w:numPr>
          <w:ilvl w:val="0"/>
          <w:numId w:val="2"/>
        </w:numPr>
        <w:spacing w:after="40" w:before="40" w:line="280"/>
      </w:pPr>
      <w:r>
        <w:rPr>
          <w:rFonts w:ascii="Calibri" w:cs="Calibri" w:eastAsia="Calibri" w:hAnsi="Calibri"/>
          <w:sz w:val="22"/>
          <w:szCs w:val="22"/>
        </w:rPr>
        <w:t xml:space="preserve">Weekly operations review.</w:t>
      </w:r>
    </w:p>
    <w:p>
      <w:pPr>
        <w:pStyle w:val="ListParagraph"/>
        <w:numPr>
          <w:ilvl w:val="0"/>
          <w:numId w:val="2"/>
        </w:numPr>
        <w:spacing w:after="40" w:before="40" w:line="280"/>
      </w:pPr>
      <w:r>
        <w:rPr>
          <w:rFonts w:ascii="Calibri" w:cs="Calibri" w:eastAsia="Calibri" w:hAnsi="Calibri"/>
          <w:sz w:val="22"/>
          <w:szCs w:val="22"/>
        </w:rPr>
        <w:t xml:space="preserve">Monthly programme review with KPI snapshot.</w:t>
      </w:r>
    </w:p>
    <w:p>
      <w:pPr>
        <w:pStyle w:val="ListParagraph"/>
        <w:numPr>
          <w:ilvl w:val="0"/>
          <w:numId w:val="2"/>
        </w:numPr>
        <w:spacing w:after="40" w:before="40" w:line="280"/>
      </w:pPr>
      <w:r>
        <w:rPr>
          <w:rFonts w:ascii="Calibri" w:cs="Calibri" w:eastAsia="Calibri" w:hAnsi="Calibri"/>
          <w:sz w:val="22"/>
          <w:szCs w:val="22"/>
        </w:rPr>
        <w:t xml:space="preserve">Quarterly steering review with sponsor.</w:t>
      </w:r>
    </w:p>
    <w:p>
      <w:pPr>
        <w:pStyle w:val="Heading3"/>
        <w:spacing w:after="100" w:before="200"/>
      </w:pPr>
      <w:r>
        <w:rPr>
          <w:rFonts w:ascii="Cambria" w:cs="Cambria" w:eastAsia="Cambria" w:hAnsi="Cambria"/>
          <w:b/>
          <w:bCs/>
          <w:color w:val="0064DC"/>
          <w:sz w:val="24"/>
          <w:szCs w:val="24"/>
        </w:rPr>
        <w:t xml:space="preserve">28.3  Continuous Improvement</w:t>
      </w:r>
    </w:p>
    <w:p>
      <w:pPr>
        <w:pStyle w:val="ListParagraph"/>
        <w:numPr>
          <w:ilvl w:val="0"/>
          <w:numId w:val="2"/>
        </w:numPr>
        <w:spacing w:after="40" w:before="40" w:line="280"/>
      </w:pPr>
      <w:r>
        <w:rPr>
          <w:rFonts w:ascii="Calibri" w:cs="Calibri" w:eastAsia="Calibri" w:hAnsi="Calibri"/>
          <w:sz w:val="22"/>
          <w:szCs w:val="22"/>
        </w:rPr>
        <w:t xml:space="preserve">Quarterly UX review on conversion paths.</w:t>
      </w:r>
    </w:p>
    <w:p>
      <w:pPr>
        <w:pStyle w:val="ListParagraph"/>
        <w:numPr>
          <w:ilvl w:val="0"/>
          <w:numId w:val="2"/>
        </w:numPr>
        <w:spacing w:after="40" w:before="40" w:line="280"/>
      </w:pPr>
      <w:r>
        <w:rPr>
          <w:rFonts w:ascii="Calibri" w:cs="Calibri" w:eastAsia="Calibri" w:hAnsi="Calibri"/>
          <w:sz w:val="22"/>
          <w:szCs w:val="22"/>
        </w:rPr>
        <w:t xml:space="preserve">Quarterly content audit; sunset content older than 36 months unless statutory.</w:t>
      </w:r>
    </w:p>
    <w:p>
      <w:pPr>
        <w:pStyle w:val="ListParagraph"/>
        <w:numPr>
          <w:ilvl w:val="0"/>
          <w:numId w:val="2"/>
        </w:numPr>
        <w:spacing w:after="40" w:before="40" w:line="280"/>
      </w:pPr>
      <w:r>
        <w:rPr>
          <w:rFonts w:ascii="Calibri" w:cs="Calibri" w:eastAsia="Calibri" w:hAnsi="Calibri"/>
          <w:sz w:val="22"/>
          <w:szCs w:val="22"/>
        </w:rPr>
        <w:t xml:space="preserve">Quarterly accessibility regression check.</w:t>
      </w:r>
    </w:p>
    <w:p>
      <w:pPr>
        <w:pStyle w:val="ListParagraph"/>
        <w:numPr>
          <w:ilvl w:val="0"/>
          <w:numId w:val="2"/>
        </w:numPr>
        <w:spacing w:after="40" w:before="40" w:line="280"/>
      </w:pPr>
      <w:r>
        <w:rPr>
          <w:rFonts w:ascii="Calibri" w:cs="Calibri" w:eastAsia="Calibri" w:hAnsi="Calibri"/>
          <w:sz w:val="22"/>
          <w:szCs w:val="22"/>
        </w:rPr>
        <w:t xml:space="preserve">Quarterly security review and dependency hygiene.</w:t>
      </w:r>
    </w:p>
    <w:p>
      <w:pPr>
        <w:pStyle w:val="ListParagraph"/>
        <w:numPr>
          <w:ilvl w:val="0"/>
          <w:numId w:val="2"/>
        </w:numPr>
        <w:spacing w:after="40" w:before="40" w:line="280"/>
      </w:pPr>
      <w:r>
        <w:rPr>
          <w:rFonts w:ascii="Calibri" w:cs="Calibri" w:eastAsia="Calibri" w:hAnsi="Calibri"/>
          <w:sz w:val="22"/>
          <w:szCs w:val="22"/>
        </w:rPr>
        <w:t xml:space="preserve">Annual brand review and design system version bump.</w:t>
      </w:r>
    </w:p>
    <w:p>
      <w:pPr>
        <w:pStyle w:val="Heading3"/>
        <w:spacing w:after="100" w:before="200"/>
      </w:pPr>
      <w:r>
        <w:rPr>
          <w:rFonts w:ascii="Cambria" w:cs="Cambria" w:eastAsia="Cambria" w:hAnsi="Cambria"/>
          <w:b/>
          <w:bCs/>
          <w:color w:val="0064DC"/>
          <w:sz w:val="24"/>
          <w:szCs w:val="24"/>
        </w:rPr>
        <w:t xml:space="preserve">28.4  Capacity Reviews</w:t>
      </w:r>
    </w:p>
    <w:p>
      <w:pPr>
        <w:pStyle w:val="ListParagraph"/>
        <w:numPr>
          <w:ilvl w:val="0"/>
          <w:numId w:val="2"/>
        </w:numPr>
        <w:spacing w:after="40" w:before="40" w:line="280"/>
      </w:pPr>
      <w:r>
        <w:rPr>
          <w:rFonts w:ascii="Calibri" w:cs="Calibri" w:eastAsia="Calibri" w:hAnsi="Calibri"/>
          <w:sz w:val="22"/>
          <w:szCs w:val="22"/>
        </w:rPr>
        <w:t xml:space="preserve">Monthly review of traffic, capacity utilisation and database growth.</w:t>
      </w:r>
    </w:p>
    <w:p>
      <w:pPr>
        <w:pStyle w:val="ListParagraph"/>
        <w:numPr>
          <w:ilvl w:val="0"/>
          <w:numId w:val="2"/>
        </w:numPr>
        <w:spacing w:after="40" w:before="40" w:line="280"/>
      </w:pPr>
      <w:r>
        <w:rPr>
          <w:rFonts w:ascii="Calibri" w:cs="Calibri" w:eastAsia="Calibri" w:hAnsi="Calibri"/>
          <w:sz w:val="22"/>
          <w:szCs w:val="22"/>
        </w:rPr>
        <w:t xml:space="preserve">Right-sizing review every six months.</w:t>
      </w:r>
    </w:p>
    <w:p>
      <w:pPr>
        <w:pStyle w:val="ListParagraph"/>
        <w:numPr>
          <w:ilvl w:val="0"/>
          <w:numId w:val="2"/>
        </w:numPr>
        <w:spacing w:after="40" w:before="40" w:line="280"/>
      </w:pPr>
      <w:r>
        <w:rPr>
          <w:rFonts w:ascii="Calibri" w:cs="Calibri" w:eastAsia="Calibri" w:hAnsi="Calibri"/>
          <w:sz w:val="22"/>
          <w:szCs w:val="22"/>
        </w:rPr>
        <w:t xml:space="preserve">Capacity uplift agreed with at least 30 days lead.</w:t>
      </w:r>
    </w:p>
    <w:p>
      <w:r>
        <w:br w:type="page"/>
      </w:r>
    </w:p>
    <w:p>
      <w:pPr>
        <w:pStyle w:val="Heading1"/>
        <w:spacing w:after="180" w:before="360"/>
      </w:pPr>
      <w:r>
        <w:rPr>
          <w:rFonts w:ascii="Cambria" w:cs="Cambria" w:eastAsia="Cambria" w:hAnsi="Cambria"/>
          <w:b/>
          <w:bCs/>
          <w:color w:val="1B3A5C"/>
          <w:sz w:val="36"/>
          <w:szCs w:val="36"/>
        </w:rPr>
        <w:t xml:space="preserve">29.  Governance &amp; Change Management</w:t>
      </w:r>
    </w:p>
    <w:p>
      <w:pPr>
        <w:pStyle w:val="Heading3"/>
        <w:spacing w:after="100" w:before="200"/>
      </w:pPr>
      <w:r>
        <w:rPr>
          <w:rFonts w:ascii="Cambria" w:cs="Cambria" w:eastAsia="Cambria" w:hAnsi="Cambria"/>
          <w:b/>
          <w:bCs/>
          <w:color w:val="0064DC"/>
          <w:sz w:val="24"/>
          <w:szCs w:val="24"/>
        </w:rPr>
        <w:t xml:space="preserve">29.1  Governance Forums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Forum</w:t>
            </w:r>
          </w:p>
        </w:tc>
        <w:tc>
          <w:tcPr>
            <w:tcW w:type="dxa" w:w="22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Cadence</w:t>
            </w:r>
          </w:p>
        </w:tc>
        <w:tc>
          <w:tcPr>
            <w:tcW w:type="dxa" w:w="47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Purpose</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Steering Committee</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Monthly</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Strategic direction, risks, scope, budget</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Programme Standup</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Weekly</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Delivery progress, blockers</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Board</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Weekly</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Content roadmap, voice, calendar</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Council</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Monthly</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Brand parity, lead routing, content placement</w:t>
            </w:r>
          </w:p>
        </w:tc>
      </w:tr>
      <w:tr>
        <w:trPr>
          <w:tblHeader w:val="false"/>
        </w:trPr>
        <w:tc>
          <w:tcPr>
            <w:tcW w:type="dxa" w:w="24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Architecture Review</w:t>
            </w:r>
          </w:p>
        </w:tc>
        <w:tc>
          <w:tcPr>
            <w:tcW w:type="dxa" w:w="22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Bi-weekly</w:t>
            </w:r>
          </w:p>
        </w:tc>
        <w:tc>
          <w:tcPr>
            <w:tcW w:type="dxa" w:w="47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ADRs, technology choices</w:t>
            </w:r>
          </w:p>
        </w:tc>
      </w:tr>
      <w:tr>
        <w:trPr>
          <w:tblHeader w:val="false"/>
        </w:trPr>
        <w:tc>
          <w:tcPr>
            <w:tcW w:type="dxa" w:w="24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Security Review</w:t>
            </w:r>
          </w:p>
        </w:tc>
        <w:tc>
          <w:tcPr>
            <w:tcW w:type="dxa" w:w="22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Monthly</w:t>
            </w:r>
          </w:p>
        </w:tc>
        <w:tc>
          <w:tcPr>
            <w:tcW w:type="dxa" w:w="47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Threats, findings, remediation</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29.2  Change Control</w:t>
      </w:r>
    </w:p>
    <w:p>
      <w:pPr>
        <w:pStyle w:val="ListParagraph"/>
        <w:numPr>
          <w:ilvl w:val="0"/>
          <w:numId w:val="3"/>
        </w:numPr>
        <w:spacing w:after="40" w:before="40" w:line="280"/>
      </w:pPr>
      <w:r>
        <w:rPr>
          <w:rFonts w:ascii="Calibri" w:cs="Calibri" w:eastAsia="Calibri" w:hAnsi="Calibri"/>
          <w:sz w:val="22"/>
          <w:szCs w:val="22"/>
        </w:rPr>
        <w:t xml:space="preserve">Change request raised in the project management tool.</w:t>
      </w:r>
    </w:p>
    <w:p>
      <w:pPr>
        <w:pStyle w:val="ListParagraph"/>
        <w:numPr>
          <w:ilvl w:val="0"/>
          <w:numId w:val="3"/>
        </w:numPr>
        <w:spacing w:after="40" w:before="40" w:line="280"/>
      </w:pPr>
      <w:r>
        <w:rPr>
          <w:rFonts w:ascii="Calibri" w:cs="Calibri" w:eastAsia="Calibri" w:hAnsi="Calibri"/>
          <w:sz w:val="22"/>
          <w:szCs w:val="22"/>
        </w:rPr>
        <w:t xml:space="preserve">Programme Owner triages by impact (scope, schedule, cost, risk).</w:t>
      </w:r>
    </w:p>
    <w:p>
      <w:pPr>
        <w:pStyle w:val="ListParagraph"/>
        <w:numPr>
          <w:ilvl w:val="0"/>
          <w:numId w:val="3"/>
        </w:numPr>
        <w:spacing w:after="40" w:before="40" w:line="280"/>
      </w:pPr>
      <w:r>
        <w:rPr>
          <w:rFonts w:ascii="Calibri" w:cs="Calibri" w:eastAsia="Calibri" w:hAnsi="Calibri"/>
          <w:sz w:val="22"/>
          <w:szCs w:val="22"/>
        </w:rPr>
        <w:t xml:space="preserve">Material changes routed to Steering for decision.</w:t>
      </w:r>
    </w:p>
    <w:p>
      <w:pPr>
        <w:pStyle w:val="ListParagraph"/>
        <w:numPr>
          <w:ilvl w:val="0"/>
          <w:numId w:val="3"/>
        </w:numPr>
        <w:spacing w:after="40" w:before="40" w:line="280"/>
      </w:pPr>
      <w:r>
        <w:rPr>
          <w:rFonts w:ascii="Calibri" w:cs="Calibri" w:eastAsia="Calibri" w:hAnsi="Calibri"/>
          <w:sz w:val="22"/>
          <w:szCs w:val="22"/>
        </w:rPr>
        <w:t xml:space="preserve">Approved changes added to the baseline; the DPR is updated under version control.</w:t>
      </w:r>
    </w:p>
    <w:p>
      <w:pPr>
        <w:pStyle w:val="Heading3"/>
        <w:spacing w:after="100" w:before="200"/>
      </w:pPr>
      <w:r>
        <w:rPr>
          <w:rFonts w:ascii="Cambria" w:cs="Cambria" w:eastAsia="Cambria" w:hAnsi="Cambria"/>
          <w:b/>
          <w:bCs/>
          <w:color w:val="0064DC"/>
          <w:sz w:val="24"/>
          <w:szCs w:val="24"/>
        </w:rPr>
        <w:t xml:space="preserve">29.3  Decision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Decision</w:t>
            </w:r>
          </w:p>
        </w:tc>
        <w:tc>
          <w:tcPr>
            <w:tcW w:type="dxa" w:w="64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Authority</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Strategic direction; brand voice</w:t>
            </w:r>
          </w:p>
        </w:tc>
        <w:tc>
          <w:tcPr>
            <w:tcW w:type="dxa" w:w="6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Sponsor / Founder Chairman</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Programme scope, schedule, budget</w:t>
            </w:r>
          </w:p>
        </w:tc>
        <w:tc>
          <w:tcPr>
            <w:tcW w:type="dxa" w:w="6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Steering Committee</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Architecture &amp; technical standards</w:t>
            </w:r>
          </w:p>
        </w:tc>
        <w:tc>
          <w:tcPr>
            <w:tcW w:type="dxa" w:w="6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Tech Authority</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Editorial calendar &amp; content priority</w:t>
            </w:r>
          </w:p>
        </w:tc>
        <w:tc>
          <w:tcPr>
            <w:tcW w:type="dxa" w:w="6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Programme Owner / Editorial Lead</w:t>
            </w:r>
          </w:p>
        </w:tc>
      </w:tr>
      <w:tr>
        <w:trPr>
          <w:tblHeader w:val="false"/>
        </w:trPr>
        <w:tc>
          <w:tcPr>
            <w:tcW w:type="dxa" w:w="29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content placement</w:t>
            </w:r>
          </w:p>
        </w:tc>
        <w:tc>
          <w:tcPr>
            <w:tcW w:type="dxa" w:w="64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Brand Liaison + Programme Owner</w:t>
            </w:r>
          </w:p>
        </w:tc>
      </w:tr>
      <w:tr>
        <w:trPr>
          <w:tblHeader w:val="false"/>
        </w:trPr>
        <w:tc>
          <w:tcPr>
            <w:tcW w:type="dxa" w:w="29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Operational change windows</w:t>
            </w:r>
          </w:p>
        </w:tc>
        <w:tc>
          <w:tcPr>
            <w:tcW w:type="dxa" w:w="64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Tech Authority + Programme Owner</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29.4  Reporting</w:t>
      </w:r>
    </w:p>
    <w:p>
      <w:pPr>
        <w:pStyle w:val="ListParagraph"/>
        <w:numPr>
          <w:ilvl w:val="0"/>
          <w:numId w:val="2"/>
        </w:numPr>
        <w:spacing w:after="40" w:before="40" w:line="280"/>
      </w:pPr>
      <w:r>
        <w:rPr>
          <w:rFonts w:ascii="Calibri" w:cs="Calibri" w:eastAsia="Calibri" w:hAnsi="Calibri"/>
          <w:sz w:val="22"/>
          <w:szCs w:val="22"/>
        </w:rPr>
        <w:t xml:space="preserve">Weekly status report (one page) circulated to the Steering Committee.</w:t>
      </w:r>
    </w:p>
    <w:p>
      <w:pPr>
        <w:pStyle w:val="ListParagraph"/>
        <w:numPr>
          <w:ilvl w:val="0"/>
          <w:numId w:val="2"/>
        </w:numPr>
        <w:spacing w:after="40" w:before="40" w:line="280"/>
      </w:pPr>
      <w:r>
        <w:rPr>
          <w:rFonts w:ascii="Calibri" w:cs="Calibri" w:eastAsia="Calibri" w:hAnsi="Calibri"/>
          <w:sz w:val="22"/>
          <w:szCs w:val="22"/>
        </w:rPr>
        <w:t xml:space="preserve">Monthly KPI deck, including risk top five and change log.</w:t>
      </w:r>
    </w:p>
    <w:p>
      <w:pPr>
        <w:pStyle w:val="ListParagraph"/>
        <w:numPr>
          <w:ilvl w:val="0"/>
          <w:numId w:val="2"/>
        </w:numPr>
        <w:spacing w:after="40" w:before="40" w:line="280"/>
      </w:pPr>
      <w:r>
        <w:rPr>
          <w:rFonts w:ascii="Calibri" w:cs="Calibri" w:eastAsia="Calibri" w:hAnsi="Calibri"/>
          <w:sz w:val="22"/>
          <w:szCs w:val="22"/>
        </w:rPr>
        <w:t xml:space="preserve">Quarterly review with the Sponsor; outcomes recorded as Steering minutes.</w:t>
      </w:r>
    </w:p>
    <w:p>
      <w:r>
        <w:br w:type="page"/>
      </w:r>
    </w:p>
    <w:p>
      <w:pPr>
        <w:pStyle w:val="Heading1"/>
        <w:spacing w:after="180" w:before="360"/>
      </w:pPr>
      <w:r>
        <w:rPr>
          <w:rFonts w:ascii="Cambria" w:cs="Cambria" w:eastAsia="Cambria" w:hAnsi="Cambria"/>
          <w:b/>
          <w:bCs/>
          <w:color w:val="1B3A5C"/>
          <w:sz w:val="36"/>
          <w:szCs w:val="36"/>
        </w:rPr>
        <w:t xml:space="preserve">30.  Annexures</w:t>
      </w:r>
    </w:p>
    <w:p>
      <w:pPr>
        <w:pStyle w:val="Heading3"/>
        <w:spacing w:after="100" w:before="200"/>
      </w:pPr>
      <w:r>
        <w:rPr>
          <w:rFonts w:ascii="Cambria" w:cs="Cambria" w:eastAsia="Cambria" w:hAnsi="Cambria"/>
          <w:b/>
          <w:bCs/>
          <w:color w:val="0064DC"/>
          <w:sz w:val="24"/>
          <w:szCs w:val="24"/>
        </w:rPr>
        <w:t xml:space="preserve">Annexure A — Acceptance Criteria (Module-wise)</w:t>
      </w:r>
    </w:p>
    <w:p>
      <w:pPr>
        <w:spacing w:after="60" w:before="60" w:line="300"/>
        <w:jc w:val="both"/>
      </w:pPr>
      <w:r>
        <w:rPr>
          <w:rFonts w:ascii="Calibri" w:cs="Calibri" w:eastAsia="Calibri" w:hAnsi="Calibri"/>
          <w:sz w:val="22"/>
          <w:szCs w:val="22"/>
        </w:rPr>
        <w:t xml:space="preserve">Each module from Section 11 carries acceptance criteria captured in the project management tool. The template applied to every module is listed below for reference; the live criteria are maintained in the working artefact.</w:t>
      </w:r>
    </w:p>
    <w:p>
      <w:pPr>
        <w:pStyle w:val="ListParagraph"/>
        <w:numPr>
          <w:ilvl w:val="0"/>
          <w:numId w:val="2"/>
        </w:numPr>
        <w:spacing w:after="40" w:before="40" w:line="280"/>
      </w:pPr>
      <w:r>
        <w:rPr>
          <w:rFonts w:ascii="Calibri" w:cs="Calibri" w:eastAsia="Calibri" w:hAnsi="Calibri"/>
          <w:sz w:val="22"/>
          <w:szCs w:val="22"/>
        </w:rPr>
        <w:t xml:space="preserve">Functional: each user story “given / when / then” scenario passes on staging and production smoke.</w:t>
      </w:r>
    </w:p>
    <w:p>
      <w:pPr>
        <w:pStyle w:val="ListParagraph"/>
        <w:numPr>
          <w:ilvl w:val="0"/>
          <w:numId w:val="2"/>
        </w:numPr>
        <w:spacing w:after="40" w:before="40" w:line="280"/>
      </w:pPr>
      <w:r>
        <w:rPr>
          <w:rFonts w:ascii="Calibri" w:cs="Calibri" w:eastAsia="Calibri" w:hAnsi="Calibri"/>
          <w:sz w:val="22"/>
          <w:szCs w:val="22"/>
        </w:rPr>
        <w:t xml:space="preserve">Non-functional: meets the corresponding NFR in Section 12.</w:t>
      </w:r>
    </w:p>
    <w:p>
      <w:pPr>
        <w:pStyle w:val="ListParagraph"/>
        <w:numPr>
          <w:ilvl w:val="0"/>
          <w:numId w:val="2"/>
        </w:numPr>
        <w:spacing w:after="40" w:before="40" w:line="280"/>
      </w:pPr>
      <w:r>
        <w:rPr>
          <w:rFonts w:ascii="Calibri" w:cs="Calibri" w:eastAsia="Calibri" w:hAnsi="Calibri"/>
          <w:sz w:val="22"/>
          <w:szCs w:val="22"/>
        </w:rPr>
        <w:t xml:space="preserve">Accessibility: zero Critical / Serious axe-core violations; manual screen-reader pass.</w:t>
      </w:r>
    </w:p>
    <w:p>
      <w:pPr>
        <w:pStyle w:val="ListParagraph"/>
        <w:numPr>
          <w:ilvl w:val="0"/>
          <w:numId w:val="2"/>
        </w:numPr>
        <w:spacing w:after="40" w:before="40" w:line="280"/>
      </w:pPr>
      <w:r>
        <w:rPr>
          <w:rFonts w:ascii="Calibri" w:cs="Calibri" w:eastAsia="Calibri" w:hAnsi="Calibri"/>
          <w:sz w:val="22"/>
          <w:szCs w:val="22"/>
        </w:rPr>
        <w:t xml:space="preserve">Security: no open Critical / High findings; SAST and DAST clean.</w:t>
      </w:r>
    </w:p>
    <w:p>
      <w:pPr>
        <w:pStyle w:val="ListParagraph"/>
        <w:numPr>
          <w:ilvl w:val="0"/>
          <w:numId w:val="2"/>
        </w:numPr>
        <w:spacing w:after="40" w:before="40" w:line="280"/>
      </w:pPr>
      <w:r>
        <w:rPr>
          <w:rFonts w:ascii="Calibri" w:cs="Calibri" w:eastAsia="Calibri" w:hAnsi="Calibri"/>
          <w:sz w:val="22"/>
          <w:szCs w:val="22"/>
        </w:rPr>
        <w:t xml:space="preserve">Performance: meets the budget in Section 17.3.</w:t>
      </w:r>
    </w:p>
    <w:p>
      <w:pPr>
        <w:pStyle w:val="ListParagraph"/>
        <w:numPr>
          <w:ilvl w:val="0"/>
          <w:numId w:val="2"/>
        </w:numPr>
        <w:spacing w:after="40" w:before="40" w:line="280"/>
      </w:pPr>
      <w:r>
        <w:rPr>
          <w:rFonts w:ascii="Calibri" w:cs="Calibri" w:eastAsia="Calibri" w:hAnsi="Calibri"/>
          <w:sz w:val="22"/>
          <w:szCs w:val="22"/>
        </w:rPr>
        <w:t xml:space="preserve">Documentation: runbook and editorial guidance updated.</w:t>
      </w:r>
    </w:p>
    <w:p>
      <w:pPr>
        <w:pStyle w:val="Heading3"/>
        <w:spacing w:after="100" w:before="200"/>
      </w:pPr>
      <w:r>
        <w:rPr>
          <w:rFonts w:ascii="Cambria" w:cs="Cambria" w:eastAsia="Cambria" w:hAnsi="Cambria"/>
          <w:b/>
          <w:bCs/>
          <w:color w:val="0064DC"/>
          <w:sz w:val="24"/>
          <w:szCs w:val="24"/>
        </w:rPr>
        <w:t xml:space="preserve">Annexure B — Analytics Event Taxonomy</w:t>
      </w:r>
    </w:p>
    <w:p>
      <w:pPr>
        <w:pStyle w:val="ListParagraph"/>
        <w:numPr>
          <w:ilvl w:val="0"/>
          <w:numId w:val="2"/>
        </w:numPr>
        <w:spacing w:after="40" w:before="40" w:line="280"/>
      </w:pPr>
      <w:r>
        <w:rPr>
          <w:rFonts w:ascii="Calibri" w:cs="Calibri" w:eastAsia="Calibri" w:hAnsi="Calibri"/>
          <w:sz w:val="22"/>
          <w:szCs w:val="22"/>
        </w:rPr>
        <w:t xml:space="preserve">page_view — standard, with section and entity dimensions.</w:t>
      </w:r>
    </w:p>
    <w:p>
      <w:pPr>
        <w:pStyle w:val="ListParagraph"/>
        <w:numPr>
          <w:ilvl w:val="0"/>
          <w:numId w:val="2"/>
        </w:numPr>
        <w:spacing w:after="40" w:before="40" w:line="280"/>
      </w:pPr>
      <w:r>
        <w:rPr>
          <w:rFonts w:ascii="Calibri" w:cs="Calibri" w:eastAsia="Calibri" w:hAnsi="Calibri"/>
          <w:sz w:val="22"/>
          <w:szCs w:val="22"/>
        </w:rPr>
        <w:t xml:space="preserve">view_investor_kpis — KPI tile in viewport on /investors.</w:t>
      </w:r>
    </w:p>
    <w:p>
      <w:pPr>
        <w:pStyle w:val="ListParagraph"/>
        <w:numPr>
          <w:ilvl w:val="0"/>
          <w:numId w:val="2"/>
        </w:numPr>
        <w:spacing w:after="40" w:before="40" w:line="280"/>
      </w:pPr>
      <w:r>
        <w:rPr>
          <w:rFonts w:ascii="Calibri" w:cs="Calibri" w:eastAsia="Calibri" w:hAnsi="Calibri"/>
          <w:sz w:val="22"/>
          <w:szCs w:val="22"/>
        </w:rPr>
        <w:t xml:space="preserve">download_disclosure — disclosure category, document id.</w:t>
      </w:r>
    </w:p>
    <w:p>
      <w:pPr>
        <w:pStyle w:val="ListParagraph"/>
        <w:numPr>
          <w:ilvl w:val="0"/>
          <w:numId w:val="2"/>
        </w:numPr>
        <w:spacing w:after="40" w:before="40" w:line="280"/>
      </w:pPr>
      <w:r>
        <w:rPr>
          <w:rFonts w:ascii="Calibri" w:cs="Calibri" w:eastAsia="Calibri" w:hAnsi="Calibri"/>
          <w:sz w:val="22"/>
          <w:szCs w:val="22"/>
        </w:rPr>
        <w:t xml:space="preserve">download_media_asset — asset type.</w:t>
      </w:r>
    </w:p>
    <w:p>
      <w:pPr>
        <w:pStyle w:val="ListParagraph"/>
        <w:numPr>
          <w:ilvl w:val="0"/>
          <w:numId w:val="2"/>
        </w:numPr>
        <w:spacing w:after="40" w:before="40" w:line="280"/>
      </w:pPr>
      <w:r>
        <w:rPr>
          <w:rFonts w:ascii="Calibri" w:cs="Calibri" w:eastAsia="Calibri" w:hAnsi="Calibri"/>
          <w:sz w:val="22"/>
          <w:szCs w:val="22"/>
        </w:rPr>
        <w:t xml:space="preserve">submit_form_investor_enquiry — conversion.</w:t>
      </w:r>
    </w:p>
    <w:p>
      <w:pPr>
        <w:pStyle w:val="ListParagraph"/>
        <w:numPr>
          <w:ilvl w:val="0"/>
          <w:numId w:val="2"/>
        </w:numPr>
        <w:spacing w:after="40" w:before="40" w:line="280"/>
      </w:pPr>
      <w:r>
        <w:rPr>
          <w:rFonts w:ascii="Calibri" w:cs="Calibri" w:eastAsia="Calibri" w:hAnsi="Calibri"/>
          <w:sz w:val="22"/>
          <w:szCs w:val="22"/>
        </w:rPr>
        <w:t xml:space="preserve">submit_form_vendor_intake — vendor category.</w:t>
      </w:r>
    </w:p>
    <w:p>
      <w:pPr>
        <w:pStyle w:val="ListParagraph"/>
        <w:numPr>
          <w:ilvl w:val="0"/>
          <w:numId w:val="2"/>
        </w:numPr>
        <w:spacing w:after="40" w:before="40" w:line="280"/>
      </w:pPr>
      <w:r>
        <w:rPr>
          <w:rFonts w:ascii="Calibri" w:cs="Calibri" w:eastAsia="Calibri" w:hAnsi="Calibri"/>
          <w:sz w:val="22"/>
          <w:szCs w:val="22"/>
        </w:rPr>
        <w:t xml:space="preserve">submit_form_buyer_intake — industry.</w:t>
      </w:r>
    </w:p>
    <w:p>
      <w:pPr>
        <w:pStyle w:val="ListParagraph"/>
        <w:numPr>
          <w:ilvl w:val="0"/>
          <w:numId w:val="2"/>
        </w:numPr>
        <w:spacing w:after="40" w:before="40" w:line="280"/>
      </w:pPr>
      <w:r>
        <w:rPr>
          <w:rFonts w:ascii="Calibri" w:cs="Calibri" w:eastAsia="Calibri" w:hAnsi="Calibri"/>
          <w:sz w:val="22"/>
          <w:szCs w:val="22"/>
        </w:rPr>
        <w:t xml:space="preserve">submit_form_partner_intake — partner type.</w:t>
      </w:r>
    </w:p>
    <w:p>
      <w:pPr>
        <w:pStyle w:val="ListParagraph"/>
        <w:numPr>
          <w:ilvl w:val="0"/>
          <w:numId w:val="2"/>
        </w:numPr>
        <w:spacing w:after="40" w:before="40" w:line="280"/>
      </w:pPr>
      <w:r>
        <w:rPr>
          <w:rFonts w:ascii="Calibri" w:cs="Calibri" w:eastAsia="Calibri" w:hAnsi="Calibri"/>
          <w:sz w:val="22"/>
          <w:szCs w:val="22"/>
        </w:rPr>
        <w:t xml:space="preserve">submit_form_career_application — role, entity.</w:t>
      </w:r>
    </w:p>
    <w:p>
      <w:pPr>
        <w:pStyle w:val="ListParagraph"/>
        <w:numPr>
          <w:ilvl w:val="0"/>
          <w:numId w:val="2"/>
        </w:numPr>
        <w:spacing w:after="40" w:before="40" w:line="280"/>
      </w:pPr>
      <w:r>
        <w:rPr>
          <w:rFonts w:ascii="Calibri" w:cs="Calibri" w:eastAsia="Calibri" w:hAnsi="Calibri"/>
          <w:sz w:val="22"/>
          <w:szCs w:val="22"/>
        </w:rPr>
        <w:t xml:space="preserve">submit_form_press_enquiry — conversion.</w:t>
      </w:r>
    </w:p>
    <w:p>
      <w:pPr>
        <w:pStyle w:val="ListParagraph"/>
        <w:numPr>
          <w:ilvl w:val="0"/>
          <w:numId w:val="2"/>
        </w:numPr>
        <w:spacing w:after="40" w:before="40" w:line="280"/>
      </w:pPr>
      <w:r>
        <w:rPr>
          <w:rFonts w:ascii="Calibri" w:cs="Calibri" w:eastAsia="Calibri" w:hAnsi="Calibri"/>
          <w:sz w:val="22"/>
          <w:szCs w:val="22"/>
        </w:rPr>
        <w:t xml:space="preserve">submit_form_general_contact — conversion.</w:t>
      </w:r>
    </w:p>
    <w:p>
      <w:pPr>
        <w:pStyle w:val="ListParagraph"/>
        <w:numPr>
          <w:ilvl w:val="0"/>
          <w:numId w:val="2"/>
        </w:numPr>
        <w:spacing w:after="40" w:before="40" w:line="280"/>
      </w:pPr>
      <w:r>
        <w:rPr>
          <w:rFonts w:ascii="Calibri" w:cs="Calibri" w:eastAsia="Calibri" w:hAnsi="Calibri"/>
          <w:sz w:val="22"/>
          <w:szCs w:val="22"/>
        </w:rPr>
        <w:t xml:space="preserve">search_query — query, results count.</w:t>
      </w:r>
    </w:p>
    <w:p>
      <w:pPr>
        <w:pStyle w:val="ListParagraph"/>
        <w:numPr>
          <w:ilvl w:val="0"/>
          <w:numId w:val="2"/>
        </w:numPr>
        <w:spacing w:after="40" w:before="40" w:line="280"/>
      </w:pPr>
      <w:r>
        <w:rPr>
          <w:rFonts w:ascii="Calibri" w:cs="Calibri" w:eastAsia="Calibri" w:hAnsi="Calibri"/>
          <w:sz w:val="22"/>
          <w:szCs w:val="22"/>
        </w:rPr>
        <w:t xml:space="preserve">language_switch — from, to.</w:t>
      </w:r>
    </w:p>
    <w:p>
      <w:pPr>
        <w:pStyle w:val="Heading3"/>
        <w:spacing w:after="100" w:before="200"/>
      </w:pPr>
      <w:r>
        <w:rPr>
          <w:rFonts w:ascii="Cambria" w:cs="Cambria" w:eastAsia="Cambria" w:hAnsi="Cambria"/>
          <w:b/>
          <w:bCs/>
          <w:color w:val="0064DC"/>
          <w:sz w:val="24"/>
          <w:szCs w:val="24"/>
        </w:rPr>
        <w:t xml:space="preserve">Annexure C — Page-by-Page Schema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Page Type</w:t>
            </w:r>
          </w:p>
        </w:tc>
        <w:tc>
          <w:tcPr>
            <w:tcW w:type="dxa" w:w="6060"/>
            <w:tcBorders>
              <w:top w:val="single" w:color="B9C6D6" w:sz="4"/>
              <w:left w:val="single" w:color="B9C6D6" w:sz="4"/>
              <w:bottom w:val="single" w:color="B9C6D6" w:sz="4"/>
              <w:right w:val="single" w:color="B9C6D6" w:sz="4"/>
            </w:tcBorders>
            <w:shd w:fill="1B3A5C" w:val="clear"/>
            <w:tcMar>
              <w:top w:type="dxa" w:w="100"/>
              <w:left w:type="dxa" w:w="140"/>
              <w:bottom w:type="dxa" w:w="100"/>
              <w:right w:type="dxa" w:w="140"/>
            </w:tcMar>
            <w:vAlign w:val="center"/>
          </w:tcPr>
          <w:p>
            <w:pPr>
              <w:spacing w:after="30" w:before="30"/>
              <w:jc w:val="left"/>
            </w:pPr>
            <w:r>
              <w:rPr>
                <w:rFonts w:ascii="Calibri" w:cs="Calibri" w:eastAsia="Calibri" w:hAnsi="Calibri"/>
                <w:b/>
                <w:bCs/>
                <w:color w:val="FFFFFF"/>
                <w:sz w:val="20"/>
                <w:szCs w:val="20"/>
              </w:rPr>
              <w:t xml:space="preserve">Schema Markup</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Home, Group narrative</w:t>
            </w:r>
          </w:p>
        </w:tc>
        <w:tc>
          <w:tcPr>
            <w:tcW w:type="dxa" w:w="60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Organization (root); BreadcrumbList</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Subsidiary overview</w:t>
            </w:r>
          </w:p>
        </w:tc>
        <w:tc>
          <w:tcPr>
            <w:tcW w:type="dxa" w:w="60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Organization (subsidiary), BreadcrumbList</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Leadership / People</w:t>
            </w:r>
          </w:p>
        </w:tc>
        <w:tc>
          <w:tcPr>
            <w:tcW w:type="dxa" w:w="60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Person; BreadcrumbList</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Press release</w:t>
            </w:r>
          </w:p>
        </w:tc>
        <w:tc>
          <w:tcPr>
            <w:tcW w:type="dxa" w:w="60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NewsArticle; BreadcrumbList; Organization</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Viewpoint article</w:t>
            </w:r>
          </w:p>
        </w:tc>
        <w:tc>
          <w:tcPr>
            <w:tcW w:type="dxa" w:w="60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Article; Person (author); BreadcrumbList</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Event</w:t>
            </w:r>
          </w:p>
        </w:tc>
        <w:tc>
          <w:tcPr>
            <w:tcW w:type="dxa" w:w="60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Event; Place; Organization</w:t>
            </w:r>
          </w:p>
        </w:tc>
      </w:tr>
      <w:tr>
        <w:trPr>
          <w:tblHeader w:val="false"/>
        </w:trPr>
        <w:tc>
          <w:tcPr>
            <w:tcW w:type="dxa" w:w="330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Career opening</w:t>
            </w:r>
          </w:p>
        </w:tc>
        <w:tc>
          <w:tcPr>
            <w:tcW w:type="dxa" w:w="6060"/>
            <w:tcBorders>
              <w:top w:val="single" w:color="B9C6D6" w:sz="4"/>
              <w:left w:val="single" w:color="B9C6D6" w:sz="4"/>
              <w:bottom w:val="single" w:color="B9C6D6" w:sz="4"/>
              <w:right w:val="single" w:color="B9C6D6" w:sz="4"/>
            </w:tcBorders>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JobPosting; Organization</w:t>
            </w:r>
          </w:p>
        </w:tc>
      </w:tr>
      <w:tr>
        <w:trPr>
          <w:tblHeader w:val="false"/>
        </w:trPr>
        <w:tc>
          <w:tcPr>
            <w:tcW w:type="dxa" w:w="330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FAQ</w:t>
            </w:r>
          </w:p>
        </w:tc>
        <w:tc>
          <w:tcPr>
            <w:tcW w:type="dxa" w:w="6060"/>
            <w:tcBorders>
              <w:top w:val="single" w:color="B9C6D6" w:sz="4"/>
              <w:left w:val="single" w:color="B9C6D6" w:sz="4"/>
              <w:bottom w:val="single" w:color="B9C6D6" w:sz="4"/>
              <w:right w:val="single" w:color="B9C6D6" w:sz="4"/>
            </w:tcBorders>
            <w:shd w:fill="F4F6FA" w:val="clear"/>
            <w:tcMar>
              <w:top w:type="dxa" w:w="100"/>
              <w:left w:type="dxa" w:w="140"/>
              <w:bottom w:type="dxa" w:w="100"/>
              <w:right w:type="dxa" w:w="140"/>
            </w:tcMar>
            <w:vAlign w:val="center"/>
          </w:tcPr>
          <w:p>
            <w:pPr>
              <w:spacing w:after="30" w:before="30"/>
              <w:jc w:val="left"/>
            </w:pPr>
            <w:r>
              <w:rPr>
                <w:rFonts w:ascii="Calibri" w:cs="Calibri" w:eastAsia="Calibri" w:hAnsi="Calibri"/>
                <w:color w:val="1A1A1A"/>
                <w:sz w:val="20"/>
                <w:szCs w:val="20"/>
              </w:rPr>
              <w:t xml:space="preserve">FAQPage</w:t>
            </w:r>
          </w:p>
        </w:tc>
      </w:tr>
    </w:tbl>
    <w:p>
      <w:pPr>
        <w:spacing w:after="120" w:before="120"/>
      </w:pPr>
      <w:r>
        <w:t xml:space="preserve"/>
      </w:r>
    </w:p>
    <w:p>
      <w:pPr>
        <w:pStyle w:val="Heading3"/>
        <w:spacing w:after="100" w:before="200"/>
      </w:pPr>
      <w:r>
        <w:rPr>
          <w:rFonts w:ascii="Cambria" w:cs="Cambria" w:eastAsia="Cambria" w:hAnsi="Cambria"/>
          <w:b/>
          <w:bCs/>
          <w:color w:val="0064DC"/>
          <w:sz w:val="24"/>
          <w:szCs w:val="24"/>
        </w:rPr>
        <w:t xml:space="preserve">Annexure D — URL Plan &amp; Redirect Map</w:t>
      </w:r>
    </w:p>
    <w:p>
      <w:pPr>
        <w:pStyle w:val="ListParagraph"/>
        <w:numPr>
          <w:ilvl w:val="0"/>
          <w:numId w:val="2"/>
        </w:numPr>
        <w:spacing w:after="40" w:before="40" w:line="280"/>
      </w:pPr>
      <w:r>
        <w:rPr>
          <w:rFonts w:ascii="Calibri" w:cs="Calibri" w:eastAsia="Calibri" w:hAnsi="Calibri"/>
          <w:sz w:val="22"/>
          <w:szCs w:val="22"/>
        </w:rPr>
        <w:t xml:space="preserve">Canonical URLs are lowercase, hyphen-delimited, with no trailing slash.</w:t>
      </w:r>
    </w:p>
    <w:p>
      <w:pPr>
        <w:pStyle w:val="ListParagraph"/>
        <w:numPr>
          <w:ilvl w:val="0"/>
          <w:numId w:val="2"/>
        </w:numPr>
        <w:spacing w:after="40" w:before="40" w:line="280"/>
      </w:pPr>
      <w:r>
        <w:rPr>
          <w:rFonts w:ascii="Calibri" w:cs="Calibri" w:eastAsia="Calibri" w:hAnsi="Calibri"/>
          <w:sz w:val="22"/>
          <w:szCs w:val="22"/>
        </w:rPr>
        <w:t xml:space="preserve">301 redirects from any legacy paths to the new IA paths.</w:t>
      </w:r>
    </w:p>
    <w:p>
      <w:pPr>
        <w:pStyle w:val="ListParagraph"/>
        <w:numPr>
          <w:ilvl w:val="0"/>
          <w:numId w:val="2"/>
        </w:numPr>
        <w:spacing w:after="40" w:before="40" w:line="280"/>
      </w:pPr>
      <w:r>
        <w:rPr>
          <w:rFonts w:ascii="Calibri" w:cs="Calibri" w:eastAsia="Calibri" w:hAnsi="Calibri"/>
          <w:sz w:val="22"/>
          <w:szCs w:val="22"/>
        </w:rPr>
        <w:t xml:space="preserve">404 page surfaces curated alternatives drawn from the search index.</w:t>
      </w:r>
    </w:p>
    <w:p>
      <w:pPr>
        <w:pStyle w:val="ListParagraph"/>
        <w:numPr>
          <w:ilvl w:val="0"/>
          <w:numId w:val="2"/>
        </w:numPr>
        <w:spacing w:after="40" w:before="40" w:line="280"/>
      </w:pPr>
      <w:r>
        <w:rPr>
          <w:rFonts w:ascii="Calibri" w:cs="Calibri" w:eastAsia="Calibri" w:hAnsi="Calibri"/>
          <w:sz w:val="22"/>
          <w:szCs w:val="22"/>
        </w:rPr>
        <w:t xml:space="preserve">URL plan recorded in a controlled spreadsheet with section and owner.</w:t>
      </w:r>
    </w:p>
    <w:p>
      <w:pPr>
        <w:pStyle w:val="Heading3"/>
        <w:spacing w:after="100" w:before="200"/>
      </w:pPr>
      <w:r>
        <w:rPr>
          <w:rFonts w:ascii="Cambria" w:cs="Cambria" w:eastAsia="Cambria" w:hAnsi="Cambria"/>
          <w:b/>
          <w:bCs/>
          <w:color w:val="0064DC"/>
          <w:sz w:val="24"/>
          <w:szCs w:val="24"/>
        </w:rPr>
        <w:t xml:space="preserve">Annexure E — Glossary</w:t>
      </w:r>
    </w:p>
    <w:p>
      <w:pPr>
        <w:pStyle w:val="ListParagraph"/>
        <w:numPr>
          <w:ilvl w:val="0"/>
          <w:numId w:val="2"/>
        </w:numPr>
        <w:spacing w:after="40" w:before="40" w:line="280"/>
      </w:pPr>
      <w:r>
        <w:rPr>
          <w:rFonts w:ascii="Calibri" w:cs="Calibri" w:eastAsia="Calibri" w:hAnsi="Calibri"/>
          <w:sz w:val="22"/>
          <w:szCs w:val="22"/>
        </w:rPr>
        <w:t xml:space="preserve">DPDPA — Digital Personal Data Protection Act, 2023.</w:t>
      </w:r>
    </w:p>
    <w:p>
      <w:pPr>
        <w:pStyle w:val="ListParagraph"/>
        <w:numPr>
          <w:ilvl w:val="0"/>
          <w:numId w:val="2"/>
        </w:numPr>
        <w:spacing w:after="40" w:before="40" w:line="280"/>
      </w:pPr>
      <w:r>
        <w:rPr>
          <w:rFonts w:ascii="Calibri" w:cs="Calibri" w:eastAsia="Calibri" w:hAnsi="Calibri"/>
          <w:sz w:val="22"/>
          <w:szCs w:val="22"/>
        </w:rPr>
        <w:t xml:space="preserve">DPR — Detailed Project Report.</w:t>
      </w:r>
    </w:p>
    <w:p>
      <w:pPr>
        <w:pStyle w:val="ListParagraph"/>
        <w:numPr>
          <w:ilvl w:val="0"/>
          <w:numId w:val="2"/>
        </w:numPr>
        <w:spacing w:after="40" w:before="40" w:line="280"/>
      </w:pPr>
      <w:r>
        <w:rPr>
          <w:rFonts w:ascii="Calibri" w:cs="Calibri" w:eastAsia="Calibri" w:hAnsi="Calibri"/>
          <w:sz w:val="22"/>
          <w:szCs w:val="22"/>
        </w:rPr>
        <w:t xml:space="preserve">ESG — Environmental, Social and Governance.</w:t>
      </w:r>
    </w:p>
    <w:p>
      <w:pPr>
        <w:pStyle w:val="ListParagraph"/>
        <w:numPr>
          <w:ilvl w:val="0"/>
          <w:numId w:val="2"/>
        </w:numPr>
        <w:spacing w:after="40" w:before="40" w:line="280"/>
      </w:pPr>
      <w:r>
        <w:rPr>
          <w:rFonts w:ascii="Calibri" w:cs="Calibri" w:eastAsia="Calibri" w:hAnsi="Calibri"/>
          <w:sz w:val="22"/>
          <w:szCs w:val="22"/>
        </w:rPr>
        <w:t xml:space="preserve">IA — Information Architecture.</w:t>
      </w:r>
    </w:p>
    <w:p>
      <w:pPr>
        <w:pStyle w:val="ListParagraph"/>
        <w:numPr>
          <w:ilvl w:val="0"/>
          <w:numId w:val="2"/>
        </w:numPr>
        <w:spacing w:after="40" w:before="40" w:line="280"/>
      </w:pPr>
      <w:r>
        <w:rPr>
          <w:rFonts w:ascii="Calibri" w:cs="Calibri" w:eastAsia="Calibri" w:hAnsi="Calibri"/>
          <w:sz w:val="22"/>
          <w:szCs w:val="22"/>
        </w:rPr>
        <w:t xml:space="preserve">LCP / INP / CLS — Largest Contentful Paint / Interaction to Next Paint / Cumulative Layout Shift.</w:t>
      </w:r>
    </w:p>
    <w:p>
      <w:pPr>
        <w:pStyle w:val="ListParagraph"/>
        <w:numPr>
          <w:ilvl w:val="0"/>
          <w:numId w:val="2"/>
        </w:numPr>
        <w:spacing w:after="40" w:before="40" w:line="280"/>
      </w:pPr>
      <w:r>
        <w:rPr>
          <w:rFonts w:ascii="Calibri" w:cs="Calibri" w:eastAsia="Calibri" w:hAnsi="Calibri"/>
          <w:sz w:val="22"/>
          <w:szCs w:val="22"/>
        </w:rPr>
        <w:t xml:space="preserve">RACI — Responsible, Accountable, Consulted, Informed.</w:t>
      </w:r>
    </w:p>
    <w:p>
      <w:pPr>
        <w:pStyle w:val="ListParagraph"/>
        <w:numPr>
          <w:ilvl w:val="0"/>
          <w:numId w:val="2"/>
        </w:numPr>
        <w:spacing w:after="40" w:before="40" w:line="280"/>
      </w:pPr>
      <w:r>
        <w:rPr>
          <w:rFonts w:ascii="Calibri" w:cs="Calibri" w:eastAsia="Calibri" w:hAnsi="Calibri"/>
          <w:sz w:val="22"/>
          <w:szCs w:val="22"/>
        </w:rPr>
        <w:t xml:space="preserve">RPO / RTO — Recovery Point Objective / Recovery Time Objective.</w:t>
      </w:r>
    </w:p>
    <w:p>
      <w:pPr>
        <w:pStyle w:val="ListParagraph"/>
        <w:numPr>
          <w:ilvl w:val="0"/>
          <w:numId w:val="2"/>
        </w:numPr>
        <w:spacing w:after="40" w:before="40" w:line="280"/>
      </w:pPr>
      <w:r>
        <w:rPr>
          <w:rFonts w:ascii="Calibri" w:cs="Calibri" w:eastAsia="Calibri" w:hAnsi="Calibri"/>
          <w:sz w:val="22"/>
          <w:szCs w:val="22"/>
        </w:rPr>
        <w:t xml:space="preserve">SOTP — Sum of the Parts (valuation).</w:t>
      </w:r>
    </w:p>
    <w:p>
      <w:pPr>
        <w:pStyle w:val="ListParagraph"/>
        <w:numPr>
          <w:ilvl w:val="0"/>
          <w:numId w:val="2"/>
        </w:numPr>
        <w:spacing w:after="40" w:before="40" w:line="280"/>
      </w:pPr>
      <w:r>
        <w:rPr>
          <w:rFonts w:ascii="Calibri" w:cs="Calibri" w:eastAsia="Calibri" w:hAnsi="Calibri"/>
          <w:sz w:val="22"/>
          <w:szCs w:val="22"/>
        </w:rPr>
        <w:t xml:space="preserve">UAT — User Acceptance Testing.</w:t>
      </w:r>
    </w:p>
    <w:p>
      <w:pPr>
        <w:pStyle w:val="ListParagraph"/>
        <w:numPr>
          <w:ilvl w:val="0"/>
          <w:numId w:val="2"/>
        </w:numPr>
        <w:spacing w:after="40" w:before="40" w:line="280"/>
      </w:pPr>
      <w:r>
        <w:rPr>
          <w:rFonts w:ascii="Calibri" w:cs="Calibri" w:eastAsia="Calibri" w:hAnsi="Calibri"/>
          <w:sz w:val="22"/>
          <w:szCs w:val="22"/>
        </w:rPr>
        <w:t xml:space="preserve">WCAG — Web Content Accessibility Guidelines.</w:t>
      </w:r>
    </w:p>
    <w:p>
      <w:pPr>
        <w:pStyle w:val="Heading3"/>
        <w:spacing w:after="100" w:before="200"/>
      </w:pPr>
      <w:r>
        <w:rPr>
          <w:rFonts w:ascii="Cambria" w:cs="Cambria" w:eastAsia="Cambria" w:hAnsi="Cambria"/>
          <w:b/>
          <w:bCs/>
          <w:color w:val="0064DC"/>
          <w:sz w:val="24"/>
          <w:szCs w:val="24"/>
        </w:rPr>
        <w:t xml:space="preserve">Annexure F — Approval Sign-off</w:t>
      </w:r>
    </w:p>
    <w:p>
      <w:pPr>
        <w:spacing w:after="60" w:before="60" w:line="300"/>
        <w:jc w:val="both"/>
      </w:pPr>
      <w:r>
        <w:rPr>
          <w:rFonts w:ascii="Calibri" w:cs="Calibri" w:eastAsia="Calibri" w:hAnsi="Calibri"/>
          <w:sz w:val="22"/>
          <w:szCs w:val="22"/>
        </w:rPr>
        <w:t xml:space="preserve">Approval of this DPR is captured in the Approval Matrix in Section 1. Signatures may be applied physically or via the Group’s e-signature platform. Once signed, this DPR becomes the baseline reference for the engagement and supersedes any prior informal scope discussions.</w:t>
      </w:r>
    </w:p>
    <w:p>
      <w:pPr>
        <w:spacing w:after="120" w:before="120"/>
      </w:pPr>
      <w:r>
        <w:t xml:space="preserve"/>
      </w:r>
    </w:p>
    <w:p>
      <w:pPr>
        <w:pBdr>
          <w:bottom w:val="single" w:color="C8A041" w:sz="6" w:space="1"/>
        </w:pBdr>
        <w:spacing w:after="80" w:before="80"/>
      </w:pPr>
      <w:r>
        <w:t xml:space="preserve"/>
      </w:r>
    </w:p>
    <w:p>
      <w:pPr>
        <w:spacing w:after="60" w:before="60" w:line="300"/>
        <w:jc w:val="center"/>
      </w:pPr>
      <w:r>
        <w:rPr>
          <w:rFonts w:ascii="Cambria" w:cs="Cambria" w:eastAsia="Cambria" w:hAnsi="Cambria"/>
          <w:b/>
          <w:bCs/>
          <w:color w:val="1B3A5C"/>
          <w:sz w:val="24"/>
          <w:szCs w:val="24"/>
        </w:rPr>
        <w:t xml:space="preserve">— End of Document —</w:t>
      </w:r>
    </w:p>
    <w:p>
      <w:pPr>
        <w:spacing w:after="60" w:before="60" w:line="300"/>
        <w:jc w:val="center"/>
      </w:pPr>
      <w:r>
        <w:rPr>
          <w:rFonts w:ascii="Calibri" w:cs="Calibri" w:eastAsia="Calibri" w:hAnsi="Calibri"/>
          <w:color w:val="5B6573"/>
          <w:sz w:val="18"/>
          <w:szCs w:val="18"/>
        </w:rPr>
        <w:t xml:space="preserve">Detailed Project Report — jigisha.in Master Corporate Website  |  JIGISHA-WEB-DPR-2026-001  |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041" w:sz="6" w:space="1"/>
      </w:pBdr>
      <w:spacing w:before="80"/>
      <w:jc w:val="center"/>
    </w:pPr>
    <w:r>
      <w:rPr>
        <w:rFonts w:ascii="Calibri" w:cs="Calibri" w:eastAsia="Calibri" w:hAnsi="Calibri"/>
        <w:color w:val="5B6573"/>
        <w:sz w:val="16"/>
        <w:szCs w:val="16"/>
      </w:rPr>
      <w:t xml:space="preserve">JIGISHA-WEB-DPR-2026-001  │  v1.0  │  Internal — Group Confidential  │  Page </w:t>
    </w:r>
    <w:r>
      <w:rPr>
        <w:rFonts w:ascii="Calibri" w:cs="Calibri" w:eastAsia="Calibri" w:hAnsi="Calibri"/>
        <w:color w:val="5B6573"/>
        <w:sz w:val="16"/>
        <w:szCs w:val="16"/>
      </w:rPr>
      <w:fldChar w:fldCharType="begin"/>
      <w:instrText xml:space="preserve">PAGE</w:instrText>
      <w:fldChar w:fldCharType="separate"/>
      <w:fldChar w:fldCharType="end"/>
    </w:r>
    <w:r>
      <w:rPr>
        <w:rFonts w:ascii="Calibri" w:cs="Calibri" w:eastAsia="Calibri" w:hAnsi="Calibri"/>
        <w:color w:val="5B6573"/>
        <w:sz w:val="16"/>
        <w:szCs w:val="16"/>
      </w:rPr>
      <w:t xml:space="preserve"> of </w:t>
    </w:r>
    <w:r>
      <w:rPr>
        <w:rFonts w:ascii="Calibri" w:cs="Calibri" w:eastAsia="Calibri" w:hAnsi="Calibri"/>
        <w:color w:val="5B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41" w:sz="6" w:space="1"/>
      </w:pBdr>
      <w:spacing w:after="80"/>
      <w:jc w:val="right"/>
    </w:pPr>
    <w:r>
      <w:rPr>
        <w:rFonts w:ascii="Cambria" w:cs="Cambria" w:eastAsia="Cambria" w:hAnsi="Cambria"/>
        <w:b/>
        <w:bCs/>
        <w:color w:val="1B3A5C"/>
        <w:sz w:val="18"/>
        <w:szCs w:val="18"/>
      </w:rPr>
      <w:t xml:space="preserve">JIGISHA GROUP OF COMPANIES</w:t>
    </w:r>
    <w:r>
      <w:rPr>
        <w:color w:val="5B6573"/>
        <w:sz w:val="16"/>
        <w:szCs w:val="16"/>
      </w:rPr>
      <w:t xml:space="preserve">  │  </w:t>
    </w:r>
    <w:r>
      <w:rPr>
        <w:rFonts w:ascii="Cambria" w:cs="Cambria" w:eastAsia="Cambria" w:hAnsi="Cambria"/>
        <w:color w:val="5B6573"/>
        <w:sz w:val="18"/>
        <w:szCs w:val="18"/>
      </w:rPr>
      <w:t xml:space="preserve">DPR — jigisha.in Master Corporate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color w:val="1B3A5C"/>
      <w:sz w:val="36"/>
      <w:szCs w:val="36"/>
    </w:rPr>
  </w:style>
  <w:style w:type="paragraph" w:styleId="Heading2">
    <w:name w:val="Heading 2"/>
    <w:basedOn w:val="Normal"/>
    <w:next w:val="Normal"/>
    <w:qFormat/>
    <w:pPr>
      <w:spacing w:after="140" w:before="280"/>
      <w:outlineLvl w:val="1"/>
    </w:pPr>
    <w:rPr>
      <w:rFonts w:ascii="Cambria" w:cs="Cambria" w:eastAsia="Cambria" w:hAnsi="Cambria"/>
      <w:b/>
      <w:bCs/>
      <w:color w:val="1B3A5C"/>
      <w:sz w:val="28"/>
      <w:szCs w:val="28"/>
    </w:rPr>
  </w:style>
  <w:style w:type="paragraph" w:styleId="Heading3">
    <w:name w:val="Heading 3"/>
    <w:basedOn w:val="Normal"/>
    <w:next w:val="Normal"/>
    <w:qFormat/>
    <w:pPr>
      <w:spacing w:after="100" w:before="200"/>
      <w:outlineLvl w:val="2"/>
    </w:pPr>
    <w:rPr>
      <w:rFonts w:ascii="Cambria" w:cs="Cambria" w:eastAsia="Cambria" w:hAnsi="Cambria"/>
      <w:b/>
      <w:bCs/>
      <w:color w:val="0064DC"/>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5B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Project Report — jigisha.in Master Corporate Website</dc:title>
  <dc:creator>Jigisha Infotech Pvt. Ltd. — Web Engineering Practice</dc:creator>
  <dc:description>JIGISHA-WEB-DPR-2026-001</dc:description>
  <cp:lastModifiedBy>Un-named</cp:lastModifiedBy>
  <cp:revision>1</cp:revision>
  <dcterms:created xsi:type="dcterms:W3CDTF">2026-04-27T10:33:01.802Z</dcterms:created>
  <dcterms:modified xsi:type="dcterms:W3CDTF">2026-04-27T10:33:01.803Z</dcterms:modified>
</cp:coreProperties>
</file>

<file path=docProps/custom.xml><?xml version="1.0" encoding="utf-8"?>
<Properties xmlns="http://schemas.openxmlformats.org/officeDocument/2006/custom-properties" xmlns:vt="http://schemas.openxmlformats.org/officeDocument/2006/docPropsVTypes"/>
</file>