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pPr>
      <w:r>
        <w:rPr>
          <w:rFonts w:ascii="Arial" w:cs="Arial" w:eastAsia="Arial" w:hAnsi="Arial"/>
          <w:b/>
          <w:bCs/>
          <w:color w:val="2E75B6"/>
          <w:spacing w:val="40"/>
          <w:sz w:val="22"/>
          <w:szCs w:val="22"/>
        </w:rPr>
        <w:t xml:space="preserve">INTERNATIONAL VALOR SYSTEMS</w:t>
      </w:r>
    </w:p>
    <w:p>
      <w:pPr>
        <w:pBdr>
          <w:bottom w:val="single" w:color="1F3864" w:sz="12" w:space="6"/>
        </w:pBdr>
        <w:spacing w:after="160"/>
      </w:pPr>
    </w:p>
    <w:p>
      <w:pPr>
        <w:spacing w:after="120" w:before="200"/>
      </w:pPr>
      <w:r>
        <w:rPr>
          <w:rFonts w:ascii="Arial" w:cs="Arial" w:eastAsia="Arial" w:hAnsi="Arial"/>
          <w:b/>
          <w:bCs/>
          <w:color w:val="1F3864"/>
          <w:sz w:val="52"/>
          <w:szCs w:val="52"/>
        </w:rPr>
        <w:t xml:space="preserve">Business Requirements Document</w:t>
      </w:r>
    </w:p>
    <w:p>
      <w:pPr>
        <w:spacing w:after="600"/>
      </w:pPr>
      <w:r>
        <w:rPr>
          <w:rFonts w:ascii="Arial" w:cs="Arial" w:eastAsia="Arial" w:hAnsi="Arial"/>
          <w:color w:val="595959"/>
          <w:sz w:val="26"/>
          <w:szCs w:val="26"/>
        </w:rPr>
        <w:t xml:space="preserve">CGMS – Contracts &amp; Guarantees Management System (SaaS for Kuwait)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Product</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CGMS – Contracts &amp; Guarantees Management System (working name)</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Document</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BRD v1.0 – Draft for owner review</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Date</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3 October 2026</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Owner</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Shahbaz Sheikh Alanam, CEO, International Valor Systems</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Prepared with</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Claude (Anthropic)</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Companion documents</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CGMS Functional Specification v1.0; CGMS Data Schema v1.0</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Market</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Private businesses in Kuwait; English and Arabic; KWD</w:t>
            </w:r>
          </w:p>
        </w:tc>
      </w:tr>
    </w:tbl>
    <w:p>
      <w:pPr>
        <w:spacing w:after="100" w:before="0"/>
      </w:pPr>
    </w:p>
    <w:p>
      <w:pPr>
        <w:pageBreakBefore/>
        <w:spacing w:after="200"/>
      </w:pPr>
      <w:r>
        <w:rPr>
          <w:rFonts w:ascii="Arial" w:cs="Arial" w:eastAsia="Arial" w:hAnsi="Arial"/>
          <w:b/>
          <w:bCs/>
          <w:color w:val="1F3864"/>
          <w:sz w:val="32"/>
          <w:szCs w:val="32"/>
        </w:rPr>
        <w:t xml:space="preserve">Contents</w:t>
      </w:r>
    </w:p>
    <w:p>
      <w:pPr>
        <w:spacing w:after="60" w:before="40"/>
      </w:pPr>
      <w:r>
        <w:rPr>
          <w:rFonts w:ascii="Arial" w:cs="Arial" w:eastAsia="Arial" w:hAnsi="Arial"/>
          <w:sz w:val="21"/>
          <w:szCs w:val="21"/>
        </w:rPr>
        <w:t xml:space="preserve">1. Executive Summary</w:t>
      </w:r>
    </w:p>
    <w:p>
      <w:pPr>
        <w:spacing w:after="60" w:before="40"/>
      </w:pPr>
      <w:r>
        <w:rPr>
          <w:rFonts w:ascii="Arial" w:cs="Arial" w:eastAsia="Arial" w:hAnsi="Arial"/>
          <w:sz w:val="21"/>
          <w:szCs w:val="21"/>
        </w:rPr>
        <w:t xml:space="preserve">2. Product Vision &amp; Positioning</w:t>
      </w:r>
    </w:p>
    <w:p>
      <w:pPr>
        <w:spacing w:after="60" w:before="40"/>
      </w:pPr>
      <w:r>
        <w:rPr>
          <w:rFonts w:ascii="Arial" w:cs="Arial" w:eastAsia="Arial" w:hAnsi="Arial"/>
          <w:sz w:val="21"/>
          <w:szCs w:val="21"/>
        </w:rPr>
        <w:t xml:space="preserve">3. Business Context</w:t>
      </w:r>
    </w:p>
    <w:p>
      <w:pPr>
        <w:spacing w:after="60" w:before="40"/>
      </w:pPr>
      <w:r>
        <w:rPr>
          <w:rFonts w:ascii="Arial" w:cs="Arial" w:eastAsia="Arial" w:hAnsi="Arial"/>
          <w:sz w:val="21"/>
          <w:szCs w:val="21"/>
        </w:rPr>
        <w:t xml:space="preserve">4. Problem Statement</w:t>
      </w:r>
    </w:p>
    <w:p>
      <w:pPr>
        <w:spacing w:after="60" w:before="40"/>
      </w:pPr>
      <w:r>
        <w:rPr>
          <w:rFonts w:ascii="Arial" w:cs="Arial" w:eastAsia="Arial" w:hAnsi="Arial"/>
          <w:sz w:val="21"/>
          <w:szCs w:val="21"/>
        </w:rPr>
        <w:t xml:space="preserve">5. Target Market &amp; Personas</w:t>
      </w:r>
    </w:p>
    <w:p>
      <w:pPr>
        <w:spacing w:after="60" w:before="40"/>
      </w:pPr>
      <w:r>
        <w:rPr>
          <w:rFonts w:ascii="Arial" w:cs="Arial" w:eastAsia="Arial" w:hAnsi="Arial"/>
          <w:sz w:val="21"/>
          <w:szCs w:val="21"/>
        </w:rPr>
        <w:t xml:space="preserve">6. Business Objectives &amp; Success Measures</w:t>
      </w:r>
    </w:p>
    <w:p>
      <w:pPr>
        <w:spacing w:after="60" w:before="40"/>
      </w:pPr>
      <w:r>
        <w:rPr>
          <w:rFonts w:ascii="Arial" w:cs="Arial" w:eastAsia="Arial" w:hAnsi="Arial"/>
          <w:sz w:val="21"/>
          <w:szCs w:val="21"/>
        </w:rPr>
        <w:t xml:space="preserve">7. Scope</w:t>
      </w:r>
    </w:p>
    <w:p>
      <w:pPr>
        <w:spacing w:after="60" w:before="40"/>
      </w:pPr>
      <w:r>
        <w:rPr>
          <w:rFonts w:ascii="Arial" w:cs="Arial" w:eastAsia="Arial" w:hAnsi="Arial"/>
          <w:sz w:val="21"/>
          <w:szCs w:val="21"/>
        </w:rPr>
        <w:t xml:space="preserve">8. Business Requirements</w:t>
      </w:r>
    </w:p>
    <w:p>
      <w:pPr>
        <w:spacing w:after="60" w:before="40"/>
      </w:pPr>
      <w:r>
        <w:rPr>
          <w:rFonts w:ascii="Arial" w:cs="Arial" w:eastAsia="Arial" w:hAnsi="Arial"/>
          <w:sz w:val="21"/>
          <w:szCs w:val="21"/>
        </w:rPr>
        <w:t xml:space="preserve">9. Kuwait Business Practice Reference</w:t>
      </w:r>
    </w:p>
    <w:p>
      <w:pPr>
        <w:spacing w:after="60" w:before="40"/>
      </w:pPr>
      <w:r>
        <w:rPr>
          <w:rFonts w:ascii="Arial" w:cs="Arial" w:eastAsia="Arial" w:hAnsi="Arial"/>
          <w:sz w:val="21"/>
          <w:szCs w:val="21"/>
        </w:rPr>
        <w:t xml:space="preserve">10. Industry Packs</w:t>
      </w:r>
    </w:p>
    <w:p>
      <w:pPr>
        <w:spacing w:after="60" w:before="40"/>
      </w:pPr>
      <w:r>
        <w:rPr>
          <w:rFonts w:ascii="Arial" w:cs="Arial" w:eastAsia="Arial" w:hAnsi="Arial"/>
          <w:sz w:val="21"/>
          <w:szCs w:val="21"/>
        </w:rPr>
        <w:t xml:space="preserve">11. Commercial Model</w:t>
      </w:r>
    </w:p>
    <w:p>
      <w:pPr>
        <w:spacing w:after="60" w:before="40"/>
      </w:pPr>
      <w:r>
        <w:rPr>
          <w:rFonts w:ascii="Arial" w:cs="Arial" w:eastAsia="Arial" w:hAnsi="Arial"/>
          <w:sz w:val="21"/>
          <w:szCs w:val="21"/>
        </w:rPr>
        <w:t xml:space="preserve">12. Go-to-Market Outline</w:t>
      </w:r>
    </w:p>
    <w:p>
      <w:pPr>
        <w:spacing w:after="60" w:before="40"/>
      </w:pPr>
      <w:r>
        <w:rPr>
          <w:rFonts w:ascii="Arial" w:cs="Arial" w:eastAsia="Arial" w:hAnsi="Arial"/>
          <w:sz w:val="21"/>
          <w:szCs w:val="21"/>
        </w:rPr>
        <w:t xml:space="preserve">13. Assumptions, Constraints, Dependencies</w:t>
      </w:r>
    </w:p>
    <w:p>
      <w:pPr>
        <w:spacing w:after="60" w:before="40"/>
      </w:pPr>
      <w:r>
        <w:rPr>
          <w:rFonts w:ascii="Arial" w:cs="Arial" w:eastAsia="Arial" w:hAnsi="Arial"/>
          <w:sz w:val="21"/>
          <w:szCs w:val="21"/>
        </w:rPr>
        <w:t xml:space="preserve">14. Risks</w:t>
      </w:r>
    </w:p>
    <w:p>
      <w:pPr>
        <w:spacing w:after="60" w:before="40"/>
      </w:pPr>
      <w:r>
        <w:rPr>
          <w:rFonts w:ascii="Arial" w:cs="Arial" w:eastAsia="Arial" w:hAnsi="Arial"/>
          <w:sz w:val="21"/>
          <w:szCs w:val="21"/>
        </w:rPr>
        <w:t xml:space="preserve">15. Legal &amp; Compliance Considerations</w:t>
      </w:r>
    </w:p>
    <w:p>
      <w:pPr>
        <w:spacing w:after="60" w:before="40"/>
      </w:pPr>
      <w:r>
        <w:rPr>
          <w:rFonts w:ascii="Arial" w:cs="Arial" w:eastAsia="Arial" w:hAnsi="Arial"/>
          <w:sz w:val="21"/>
          <w:szCs w:val="21"/>
        </w:rPr>
        <w:t xml:space="preserve">16. Roadmap &amp; Delivery Approach</w:t>
      </w:r>
    </w:p>
    <w:p>
      <w:pPr>
        <w:spacing w:after="60" w:before="40"/>
      </w:pPr>
      <w:r>
        <w:rPr>
          <w:rFonts w:ascii="Arial" w:cs="Arial" w:eastAsia="Arial" w:hAnsi="Arial"/>
          <w:sz w:val="21"/>
          <w:szCs w:val="21"/>
        </w:rPr>
        <w:t xml:space="preserve">17. Acceptance &amp; Sign-off</w:t>
      </w:r>
    </w:p>
    <w:p>
      <w:pPr>
        <w:spacing w:after="60" w:before="40"/>
      </w:pPr>
      <w:r>
        <w:rPr>
          <w:rFonts w:ascii="Arial" w:cs="Arial" w:eastAsia="Arial" w:hAnsi="Arial"/>
          <w:sz w:val="21"/>
          <w:szCs w:val="21"/>
        </w:rPr>
        <w:t xml:space="preserve">18. Decisions Needed From the Owner</w:t>
      </w:r>
    </w:p>
    <w:p>
      <w:pPr>
        <w:spacing w:after="60" w:before="40"/>
      </w:pPr>
      <w:r>
        <w:rPr>
          <w:rFonts w:ascii="Arial" w:cs="Arial" w:eastAsia="Arial" w:hAnsi="Arial"/>
          <w:sz w:val="21"/>
          <w:szCs w:val="21"/>
        </w:rPr>
        <w:t xml:space="preserve">Appendix A. Glossary</w:t>
      </w:r>
    </w:p>
    <w:p>
      <w:pPr>
        <w:spacing w:after="60" w:before="40"/>
      </w:pPr>
      <w:r>
        <w:rPr>
          <w:rFonts w:ascii="Arial" w:cs="Arial" w:eastAsia="Arial" w:hAnsi="Arial"/>
          <w:sz w:val="21"/>
          <w:szCs w:val="21"/>
        </w:rPr>
        <w:t xml:space="preserve">Appendix B. Decisions Log</w:t>
      </w:r>
    </w:p>
    <w:p>
      <w:pPr>
        <w:pStyle w:val="Heading1"/>
        <w:pageBreakBefore/>
      </w:pPr>
      <w:r>
        <w:rPr>
          <w:rFonts w:ascii="Arial" w:cs="Arial" w:eastAsia="Arial" w:hAnsi="Arial"/>
        </w:rPr>
        <w:t xml:space="preserve">1. Executive Summary</w:t>
      </w:r>
    </w:p>
    <w:p>
      <w:pPr>
        <w:spacing w:after="100" w:before="6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CGMS (Contracts &amp; Guarantees Management System)</w:t>
      </w:r>
      <w:r>
        <w:rPr>
          <w:rFonts w:ascii="Arial" w:cs="Arial" w:eastAsia="Arial" w:hAnsi="Arial"/>
          <w:b w:val="false"/>
          <w:bCs w:val="false"/>
          <w:sz w:val="20"/>
          <w:szCs w:val="20"/>
        </w:rPr>
        <w:t xml:space="preserve"> is a bilingual (English / Arabic) cloud application that helps private businesses in Kuwait keep every contract, bank guarantee, cheque and compliance document in one place, and warns the right people before anything expires, renews or falls due.</w:t>
      </w:r>
    </w:p>
    <w:p>
      <w:pPr>
        <w:spacing w:after="100" w:before="60" w:line="276"/>
      </w:pPr>
      <w:r>
        <w:rPr>
          <w:rFonts w:ascii="Arial" w:cs="Arial" w:eastAsia="Arial" w:hAnsi="Arial"/>
          <w:b w:val="false"/>
          <w:bCs w:val="false"/>
          <w:sz w:val="20"/>
          <w:szCs w:val="20"/>
        </w:rPr>
        <w:t xml:space="preserve">It is built and sold by International Valor Systems (IVS) as a subscription product: </w:t>
      </w:r>
      <w:r>
        <w:rPr>
          <w:rFonts w:ascii="Arial" w:cs="Arial" w:eastAsia="Arial" w:hAnsi="Arial"/>
          <w:b/>
          <w:bCs/>
          <w:sz w:val="20"/>
          <w:szCs w:val="20"/>
        </w:rPr>
        <w:t xml:space="preserve">yearly, per-user pricing in KWD</w:t>
      </w:r>
      <w:r>
        <w:rPr>
          <w:rFonts w:ascii="Arial" w:cs="Arial" w:eastAsia="Arial" w:hAnsi="Arial"/>
          <w:b w:val="false"/>
          <w:bCs w:val="false"/>
          <w:sz w:val="20"/>
          <w:szCs w:val="20"/>
        </w:rPr>
        <w:t xml:space="preserve">, with IVS as the single super-administrator of the platform and each client company running as a fully isolated tenant.</w:t>
      </w:r>
    </w:p>
    <w:p>
      <w:pPr>
        <w:pStyle w:val="Heading3"/>
        <w:keepNext/>
      </w:pPr>
      <w:r>
        <w:rPr>
          <w:rFonts w:ascii="Arial" w:cs="Arial" w:eastAsia="Arial" w:hAnsi="Arial"/>
        </w:rPr>
        <w:t xml:space="preserve">Why this product, why now</w:t>
      </w:r>
    </w:p>
    <w:p>
      <w:pPr>
        <w:pStyle w:val="ListParagraph"/>
        <w:numPr>
          <w:ilvl w:val="0"/>
          <w:numId w:val="2"/>
        </w:numPr>
        <w:spacing w:after="40" w:before="20" w:line="264"/>
      </w:pPr>
      <w:r>
        <w:rPr>
          <w:rFonts w:ascii="Arial" w:cs="Arial" w:eastAsia="Arial" w:hAnsi="Arial"/>
          <w:b w:val="false"/>
          <w:bCs w:val="false"/>
          <w:sz w:val="20"/>
          <w:szCs w:val="20"/>
        </w:rPr>
        <w:t xml:space="preserve">Most Kuwaiti SMEs and mid-sized companies track contracts in Excel, paper files and personal reminders. A missed renewal date, an expired letter of guarantee or a forgotten post-dated cheque has a direct money cost.</w:t>
      </w:r>
    </w:p>
    <w:p>
      <w:pPr>
        <w:pStyle w:val="ListParagraph"/>
        <w:numPr>
          <w:ilvl w:val="0"/>
          <w:numId w:val="2"/>
        </w:numPr>
        <w:spacing w:after="40" w:before="20" w:line="264"/>
      </w:pPr>
      <w:r>
        <w:rPr>
          <w:rFonts w:ascii="Arial" w:cs="Arial" w:eastAsia="Arial" w:hAnsi="Arial"/>
          <w:b w:val="false"/>
          <w:bCs w:val="false"/>
          <w:sz w:val="20"/>
          <w:szCs w:val="20"/>
        </w:rPr>
        <w:t xml:space="preserve">Global contract-management tools are expensive, English-first, priced in USD and unaware of local practice (letters of guarantee, post-dated cheques, Friday–Saturday weekend, KWD with three decimals, Arabic legal wording).</w:t>
      </w:r>
    </w:p>
    <w:p>
      <w:pPr>
        <w:pStyle w:val="ListParagraph"/>
        <w:numPr>
          <w:ilvl w:val="0"/>
          <w:numId w:val="2"/>
        </w:numPr>
        <w:spacing w:after="40" w:before="20" w:line="264"/>
      </w:pPr>
      <w:r>
        <w:rPr>
          <w:rFonts w:ascii="Arial" w:cs="Arial" w:eastAsia="Arial" w:hAnsi="Arial"/>
          <w:b w:val="false"/>
          <w:bCs w:val="false"/>
          <w:sz w:val="20"/>
          <w:szCs w:val="20"/>
        </w:rPr>
        <w:t xml:space="preserve">IVS already sells ERP, POS, automation and IT services to this same buyer. CGMS is both a product and a door-opener for those services.</w:t>
      </w:r>
    </w:p>
    <w:p>
      <w:pPr>
        <w:pStyle w:val="Heading3"/>
        <w:keepNext/>
      </w:pPr>
      <w:r>
        <w:rPr>
          <w:rFonts w:ascii="Arial" w:cs="Arial" w:eastAsia="Arial" w:hAnsi="Arial"/>
        </w:rPr>
        <w:t xml:space="preserve">What the first release delivers (Phase 1)</w:t>
      </w:r>
    </w:p>
    <w:p>
      <w:pPr>
        <w:pStyle w:val="ListParagraph"/>
        <w:numPr>
          <w:ilvl w:val="0"/>
          <w:numId w:val="2"/>
        </w:numPr>
        <w:spacing w:after="40" w:before="20" w:line="264"/>
      </w:pPr>
      <w:r>
        <w:rPr>
          <w:rFonts w:ascii="Arial" w:cs="Arial" w:eastAsia="Arial" w:hAnsi="Arial"/>
          <w:b w:val="false"/>
          <w:bCs w:val="false"/>
          <w:sz w:val="20"/>
          <w:szCs w:val="20"/>
        </w:rPr>
        <w:t xml:space="preserve">A secure, multi-client platform with a Super Admin console and yearly seat-based subscriptions.</w:t>
      </w:r>
    </w:p>
    <w:p>
      <w:pPr>
        <w:pStyle w:val="ListParagraph"/>
        <w:numPr>
          <w:ilvl w:val="0"/>
          <w:numId w:val="2"/>
        </w:numPr>
        <w:spacing w:after="40" w:before="20" w:line="264"/>
      </w:pPr>
      <w:r>
        <w:rPr>
          <w:rFonts w:ascii="Arial" w:cs="Arial" w:eastAsia="Arial" w:hAnsi="Arial"/>
          <w:b w:val="false"/>
          <w:bCs w:val="false"/>
          <w:sz w:val="20"/>
          <w:szCs w:val="20"/>
        </w:rPr>
        <w:t xml:space="preserve">Parties (vendors, customers, tenants, etc.), contracts, bank guarantees, security and post-dated cheques, and a versioned document library with expiry dates.</w:t>
      </w:r>
    </w:p>
    <w:p>
      <w:pPr>
        <w:pStyle w:val="ListParagraph"/>
        <w:numPr>
          <w:ilvl w:val="0"/>
          <w:numId w:val="2"/>
        </w:numPr>
        <w:spacing w:after="40" w:before="20" w:line="264"/>
      </w:pPr>
      <w:r>
        <w:rPr>
          <w:rFonts w:ascii="Arial" w:cs="Arial" w:eastAsia="Arial" w:hAnsi="Arial"/>
          <w:b w:val="false"/>
          <w:bCs w:val="false"/>
          <w:sz w:val="20"/>
          <w:szCs w:val="20"/>
        </w:rPr>
        <w:t xml:space="preserve">A configurable alert engine (for example 90 / 60 / 30 / 14 / 7 days before expiry) with dashboard and email delivery in Arabic or English.</w:t>
      </w:r>
    </w:p>
    <w:p>
      <w:pPr>
        <w:pStyle w:val="ListParagraph"/>
        <w:numPr>
          <w:ilvl w:val="0"/>
          <w:numId w:val="2"/>
        </w:numPr>
        <w:spacing w:after="40" w:before="20" w:line="264"/>
      </w:pPr>
      <w:r>
        <w:rPr>
          <w:rFonts w:ascii="Arial" w:cs="Arial" w:eastAsia="Arial" w:hAnsi="Arial"/>
          <w:b w:val="false"/>
          <w:bCs w:val="false"/>
          <w:sz w:val="20"/>
          <w:szCs w:val="20"/>
        </w:rPr>
        <w:t xml:space="preserve">Per-client configuration: contract types, custom fields and lists, preloaded from an </w:t>
      </w:r>
      <w:r>
        <w:rPr>
          <w:rFonts w:ascii="Arial" w:cs="Arial" w:eastAsia="Arial" w:hAnsi="Arial"/>
          <w:b/>
          <w:bCs/>
          <w:sz w:val="20"/>
          <w:szCs w:val="20"/>
        </w:rPr>
        <w:t xml:space="preserve">industry pack</w:t>
      </w:r>
      <w:r>
        <w:rPr>
          <w:rFonts w:ascii="Arial" w:cs="Arial" w:eastAsia="Arial" w:hAnsi="Arial"/>
          <w:b w:val="false"/>
          <w:bCs w:val="false"/>
          <w:sz w:val="20"/>
          <w:szCs w:val="20"/>
        </w:rPr>
        <w:t xml:space="preserve"> for the client’s business domain.</w:t>
      </w:r>
    </w:p>
    <w:p>
      <w:pPr>
        <w:pStyle w:val="ListParagraph"/>
        <w:numPr>
          <w:ilvl w:val="0"/>
          <w:numId w:val="2"/>
        </w:numPr>
        <w:spacing w:after="40" w:before="20" w:line="264"/>
      </w:pPr>
      <w:r>
        <w:rPr>
          <w:rFonts w:ascii="Arial" w:cs="Arial" w:eastAsia="Arial" w:hAnsi="Arial"/>
          <w:b w:val="false"/>
          <w:bCs w:val="false"/>
          <w:sz w:val="20"/>
          <w:szCs w:val="20"/>
        </w:rPr>
        <w:t xml:space="preserve">Full Arabic right-to-left interface, bilingual records and Excel / PDF reports.</w:t>
      </w:r>
    </w:p>
    <w:p>
      <w:pPr>
        <w:pBdr>
          <w:left w:val="single" w:color="2E75B6" w:sz="24" w:space="8"/>
        </w:pBdr>
        <w:shd w:fill="DEEAF6" w:color="auto" w:val="clear"/>
        <w:spacing w:after="140" w:before="100" w:line="276"/>
        <w:ind w:left="160" w:right="80"/>
      </w:pPr>
      <w:r>
        <w:rPr>
          <w:rFonts w:ascii="Arial" w:cs="Arial" w:eastAsia="Arial" w:hAnsi="Arial"/>
          <w:b w:val="false"/>
          <w:bCs w:val="false"/>
          <w:sz w:val="19"/>
          <w:szCs w:val="19"/>
        </w:rPr>
        <w:t xml:space="preserve"/>
      </w:r>
      <w:r>
        <w:rPr>
          <w:rFonts w:ascii="Arial" w:cs="Arial" w:eastAsia="Arial" w:hAnsi="Arial"/>
          <w:b/>
          <w:bCs/>
          <w:sz w:val="19"/>
          <w:szCs w:val="19"/>
        </w:rPr>
        <w:t xml:space="preserve">Scope decisions you made for this version:</w:t>
      </w:r>
      <w:r>
        <w:rPr>
          <w:rFonts w:ascii="Arial" w:cs="Arial" w:eastAsia="Arial" w:hAnsi="Arial"/>
          <w:b w:val="false"/>
          <w:bCs w:val="false"/>
          <w:sz w:val="19"/>
          <w:szCs w:val="19"/>
        </w:rPr>
        <w:t xml:space="preserve"> private-sector clients only (no government); Kuwait only, KWD only; general contract structure with configuration per client and per business domain; yearly per-user subscription; IVS as super user. These are recorded in Appendix B.</w:t>
      </w:r>
    </w:p>
    <w:p>
      <w:pPr>
        <w:pStyle w:val="Heading1"/>
        <w:pageBreakBefore/>
      </w:pPr>
      <w:r>
        <w:rPr>
          <w:rFonts w:ascii="Arial" w:cs="Arial" w:eastAsia="Arial" w:hAnsi="Arial"/>
        </w:rPr>
        <w:t xml:space="preserve">2. Product Vision &amp; Positioning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Vision</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Be the contract and guarantee control tower that Kuwaiti businesses trust to never miss a date that matters.</w:t>
            </w:r>
          </w:p>
        </w:tc>
      </w:tr>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Positioning statement</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For Kuwaiti private companies that manage contracts, guarantees and cheques in spreadsheets and paper, CGMS is a bilingual cloud system that gives one reliable view and timely alerts. Unlike global contract suites, CGMS speaks Arabic natively and is built around local practice at a local price.</w:t>
            </w:r>
          </w:p>
        </w:tc>
      </w:tr>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Product name</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CGMS is the working name. A brand name should be chosen before the first pilot (see Section 18).</w:t>
            </w:r>
          </w:p>
        </w:tc>
      </w:tr>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Owner</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Shahbaz Sheikh Alanam, CEO, International Valor Systems (IVS).</w:t>
            </w:r>
          </w:p>
        </w:tc>
      </w:tr>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Service line</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Service 6 in the IVS portfolio (FP&amp;A and CGMS). Aligned with ERP, AI Automation and IT services as cross-sell.</w:t>
            </w:r>
          </w:p>
        </w:tc>
      </w:tr>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Commercial form</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Software-as-a-Service, hosted by IVS, sold per user per year.</w:t>
            </w:r>
          </w:p>
        </w:tc>
      </w:tr>
    </w:tbl>
    <w:p>
      <w:pPr>
        <w:spacing w:after="100" w:before="0"/>
      </w:pPr>
    </w:p>
    <w:p>
      <w:pPr>
        <w:pStyle w:val="Heading3"/>
        <w:keepNext/>
      </w:pPr>
      <w:r>
        <w:rPr>
          <w:rFonts w:ascii="Arial" w:cs="Arial" w:eastAsia="Arial" w:hAnsi="Arial"/>
        </w:rPr>
        <w:t xml:space="preserve">Product principles</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Alerts first.</w:t>
      </w:r>
      <w:r>
        <w:rPr>
          <w:rFonts w:ascii="Arial" w:cs="Arial" w:eastAsia="Arial" w:hAnsi="Arial"/>
          <w:b w:val="false"/>
          <w:bCs w:val="false"/>
          <w:sz w:val="20"/>
          <w:szCs w:val="20"/>
        </w:rPr>
        <w:t xml:space="preserve"> The core promise is “no missed dates”. Every design choice is tested against it.</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Arabic is not a translation layer.</w:t>
      </w:r>
      <w:r>
        <w:rPr>
          <w:rFonts w:ascii="Arial" w:cs="Arial" w:eastAsia="Arial" w:hAnsi="Arial"/>
          <w:b w:val="false"/>
          <w:bCs w:val="false"/>
          <w:sz w:val="20"/>
          <w:szCs w:val="20"/>
        </w:rPr>
        <w:t xml:space="preserve"> Right-to-left layout, Arabic names, Arabic search and Arabic reports are first-class.</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Configure, don’t customise.</w:t>
      </w:r>
      <w:r>
        <w:rPr>
          <w:rFonts w:ascii="Arial" w:cs="Arial" w:eastAsia="Arial" w:hAnsi="Arial"/>
          <w:b w:val="false"/>
          <w:bCs w:val="false"/>
          <w:sz w:val="20"/>
          <w:szCs w:val="20"/>
        </w:rPr>
        <w:t xml:space="preserve"> Each client’s differences are handled by configuration (types, fields, lists, rules), not by changing code.</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Local practice built in.</w:t>
      </w:r>
      <w:r>
        <w:rPr>
          <w:rFonts w:ascii="Arial" w:cs="Arial" w:eastAsia="Arial" w:hAnsi="Arial"/>
          <w:b w:val="false"/>
          <w:bCs w:val="false"/>
          <w:sz w:val="20"/>
          <w:szCs w:val="20"/>
        </w:rPr>
        <w:t xml:space="preserve"> Letters of guarantee, post-dated cheques, Fri–Sat weekend, KWD three decimals, Hijri dates.</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Tenant trust.</w:t>
      </w:r>
      <w:r>
        <w:rPr>
          <w:rFonts w:ascii="Arial" w:cs="Arial" w:eastAsia="Arial" w:hAnsi="Arial"/>
          <w:b w:val="false"/>
          <w:bCs w:val="false"/>
          <w:sz w:val="20"/>
          <w:szCs w:val="20"/>
        </w:rPr>
        <w:t xml:space="preserve"> A client’s contracts are confidential. IVS staff do not browse client data.</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Small and dependable beats large and fragile.</w:t>
      </w:r>
      <w:r>
        <w:rPr>
          <w:rFonts w:ascii="Arial" w:cs="Arial" w:eastAsia="Arial" w:hAnsi="Arial"/>
          <w:b w:val="false"/>
          <w:bCs w:val="false"/>
          <w:sz w:val="20"/>
          <w:szCs w:val="20"/>
        </w:rPr>
        <w:t xml:space="preserve"> Ship a smaller feature set that works every time.</w:t>
      </w:r>
    </w:p>
    <w:p>
      <w:pPr>
        <w:pStyle w:val="Heading1"/>
        <w:pageBreakBefore/>
      </w:pPr>
      <w:r>
        <w:rPr>
          <w:rFonts w:ascii="Arial" w:cs="Arial" w:eastAsia="Arial" w:hAnsi="Arial"/>
        </w:rPr>
        <w:t xml:space="preserve">3. Business Context</w:t>
      </w:r>
    </w:p>
    <w:p>
      <w:pPr>
        <w:pStyle w:val="Heading2"/>
        <w:keepNext/>
      </w:pPr>
      <w:r>
        <w:rPr>
          <w:rFonts w:ascii="Arial" w:cs="Arial" w:eastAsia="Arial" w:hAnsi="Arial"/>
        </w:rPr>
        <w:t xml:space="preserve">3.1 IVS portfolio and where CGMS 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4240"/>
        <w:gridCol w:w="4820"/>
      </w:tblGrid>
      <w:tr>
        <w:trPr>
          <w:cantSplit/>
          <w:tblHeader/>
        </w:trPr>
        <w:tc>
          <w:tcPr>
            <w:tcW w:type="dxa" w:w="57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w:t>
            </w:r>
          </w:p>
        </w:tc>
        <w:tc>
          <w:tcPr>
            <w:tcW w:type="dxa" w:w="42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IVS service</w:t>
            </w:r>
          </w:p>
        </w:tc>
        <w:tc>
          <w:tcPr>
            <w:tcW w:type="dxa" w:w="48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Relationship to CGMS</w:t>
            </w:r>
          </w:p>
        </w:tc>
      </w:tr>
      <w:tr>
        <w:trPr>
          <w:cantSplit/>
        </w:trPr>
        <w:tc>
          <w:tcPr>
            <w:tcW w:type="dxa" w:w="57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ERP setup / customisation (Oracle Fusion, NetSuite, Dynamics 365, Odoo)</w:t>
            </w:r>
          </w:p>
        </w:tc>
        <w:tc>
          <w:tcPr>
            <w:tcW w:type="dxa" w:w="48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CGMS clients often need ERP. Later: ERP connectors for vendor and contract sync.</w:t>
            </w:r>
          </w:p>
        </w:tc>
      </w:tr>
      <w:tr>
        <w:trPr>
          <w:cantSplit/>
        </w:trPr>
        <w:tc>
          <w:tcPr>
            <w:tcW w:type="dxa" w:w="5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c>
          <w:tcPr>
            <w:tcW w:type="dxa" w:w="42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POS setup / customisation (eatPOS)</w:t>
            </w:r>
          </w:p>
        </w:tc>
        <w:tc>
          <w:tcPr>
            <w:tcW w:type="dxa" w:w="48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Retail and F&amp;B clients: lease and supplier contract tracking.</w:t>
            </w:r>
          </w:p>
        </w:tc>
      </w:tr>
      <w:tr>
        <w:trPr>
          <w:cantSplit/>
        </w:trPr>
        <w:tc>
          <w:tcPr>
            <w:tcW w:type="dxa" w:w="57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AI Automation tools (10 planned products)</w:t>
            </w:r>
          </w:p>
        </w:tc>
        <w:tc>
          <w:tcPr>
            <w:tcW w:type="dxa" w:w="48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Phase 3: AI contract summary, clause extraction, renewal-risk scoring.</w:t>
            </w:r>
          </w:p>
        </w:tc>
      </w:tr>
      <w:tr>
        <w:trPr>
          <w:cantSplit/>
        </w:trPr>
        <w:tc>
          <w:tcPr>
            <w:tcW w:type="dxa" w:w="5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4</w:t>
            </w:r>
          </w:p>
        </w:tc>
        <w:tc>
          <w:tcPr>
            <w:tcW w:type="dxa" w:w="42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Web and mobile applications</w:t>
            </w:r>
          </w:p>
        </w:tc>
        <w:tc>
          <w:tcPr>
            <w:tcW w:type="dxa" w:w="48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CGMS is a web application; the mobile app is a Phase 3 candidate using this service line.</w:t>
            </w:r>
          </w:p>
        </w:tc>
      </w:tr>
      <w:tr>
        <w:trPr>
          <w:cantSplit/>
        </w:trPr>
        <w:tc>
          <w:tcPr>
            <w:tcW w:type="dxa" w:w="57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5</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FP&amp;A and CGMS</w:t>
            </w:r>
          </w:p>
        </w:tc>
        <w:tc>
          <w:tcPr>
            <w:tcW w:type="dxa" w:w="48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This product.</w:t>
            </w:r>
          </w:p>
        </w:tc>
      </w:tr>
      <w:tr>
        <w:trPr>
          <w:cantSplit/>
        </w:trPr>
        <w:tc>
          <w:tcPr>
            <w:tcW w:type="dxa" w:w="5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6</w:t>
            </w:r>
          </w:p>
        </w:tc>
        <w:tc>
          <w:tcPr>
            <w:tcW w:type="dxa" w:w="42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IT infrastructure projects and AMC</w:t>
            </w:r>
          </w:p>
        </w:tc>
        <w:tc>
          <w:tcPr>
            <w:tcW w:type="dxa" w:w="48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Client hosting needs; CGMS subscription includes updates and bug fixes (the AMC element).</w:t>
            </w:r>
          </w:p>
        </w:tc>
      </w:tr>
      <w:tr>
        <w:trPr>
          <w:cantSplit/>
        </w:trPr>
        <w:tc>
          <w:tcPr>
            <w:tcW w:type="dxa" w:w="57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7</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Data mining and business data analysis</w:t>
            </w:r>
          </w:p>
        </w:tc>
        <w:tc>
          <w:tcPr>
            <w:tcW w:type="dxa" w:w="48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Phase 3: portfolio analytics built on CGMS data.</w:t>
            </w:r>
          </w:p>
        </w:tc>
      </w:tr>
    </w:tbl>
    <w:p>
      <w:pPr>
        <w:spacing w:after="100" w:before="0"/>
      </w:pPr>
    </w:p>
    <w:p>
      <w:pPr>
        <w:spacing w:after="100" w:before="60" w:line="276"/>
      </w:pPr>
      <w:r>
        <w:rPr>
          <w:rFonts w:ascii="Arial" w:cs="Arial" w:eastAsia="Arial" w:hAnsi="Arial"/>
          <w:b w:val="false"/>
          <w:bCs w:val="false"/>
          <w:sz w:val="20"/>
          <w:szCs w:val="20"/>
        </w:rPr>
        <w:t xml:space="preserve">The original service list numbers eight items (web and mobile are items 4 and 5 but sold as one); this table uses seven.</w:t>
      </w:r>
    </w:p>
    <w:p>
      <w:pPr>
        <w:pStyle w:val="Heading2"/>
        <w:keepNext/>
      </w:pPr>
      <w:r>
        <w:rPr>
          <w:rFonts w:ascii="Arial" w:cs="Arial" w:eastAsia="Arial" w:hAnsi="Arial"/>
        </w:rPr>
        <w:t xml:space="preserve">3.2 Operating base</w:t>
      </w:r>
    </w:p>
    <w:p>
      <w:pPr>
        <w:spacing w:after="100" w:before="60" w:line="276"/>
      </w:pPr>
      <w:r>
        <w:rPr>
          <w:rFonts w:ascii="Arial" w:cs="Arial" w:eastAsia="Arial" w:hAnsi="Arial"/>
          <w:b w:val="false"/>
          <w:bCs w:val="false"/>
          <w:sz w:val="20"/>
          <w:szCs w:val="20"/>
        </w:rPr>
        <w:t xml:space="preserve">IVS Kuwait is currently running a trial period under the umbrella of an established Kuwaiti general trading and contracting company, using its office. The product, brand, tools and software are IVS property. The commercial relationship should be documented in writing, including ownership of the CGMS software and brand (see Section 15).</w:t>
      </w:r>
    </w:p>
    <w:p>
      <w:pPr>
        <w:pStyle w:val="Heading2"/>
        <w:keepNext/>
      </w:pPr>
      <w:r>
        <w:rPr>
          <w:rFonts w:ascii="Arial" w:cs="Arial" w:eastAsia="Arial" w:hAnsi="Arial"/>
        </w:rPr>
        <w:t xml:space="preserve">3.3 Relationship to earlier project documents</w:t>
      </w:r>
    </w:p>
    <w:p>
      <w:pPr>
        <w:spacing w:after="100" w:before="60" w:line="276"/>
      </w:pPr>
      <w:r>
        <w:rPr>
          <w:rFonts w:ascii="Arial" w:cs="Arial" w:eastAsia="Arial" w:hAnsi="Arial"/>
          <w:b w:val="false"/>
          <w:bCs w:val="false"/>
          <w:sz w:val="20"/>
          <w:szCs w:val="20"/>
        </w:rPr>
        <w:t xml:space="preserve">This BRD builds on the Project Charter (26-10-25), Data Schema (26-10-25), FSD (26-10-25), Practical SDLC draft and the Reconciled Schema v1.0. Two Charter constraints no longer apply: the “restricted use of foreign cloud solutions” clause (dropped by the owner) and the focus on a single client company (CGMS is now a multi-client product). The Charter’s purpose, deliverables, risks and success criteria remain valid and are carried forward.</w:t>
      </w:r>
    </w:p>
    <w:p>
      <w:pPr>
        <w:pStyle w:val="Heading1"/>
        <w:pageBreakBefore/>
      </w:pPr>
      <w:r>
        <w:rPr>
          <w:rFonts w:ascii="Arial" w:cs="Arial" w:eastAsia="Arial" w:hAnsi="Arial"/>
        </w:rPr>
        <w:t xml:space="preserve">4. Problem Statement</w:t>
      </w:r>
    </w:p>
    <w:p>
      <w:pPr>
        <w:spacing w:after="100" w:before="60" w:line="276"/>
      </w:pPr>
      <w:r>
        <w:rPr>
          <w:rFonts w:ascii="Arial" w:cs="Arial" w:eastAsia="Arial" w:hAnsi="Arial"/>
          <w:b w:val="false"/>
          <w:bCs w:val="false"/>
          <w:sz w:val="20"/>
          <w:szCs w:val="20"/>
        </w:rPr>
        <w:t xml:space="preserve">Businesses sign dozens to thousands of agreements with landlords, suppliers, customers, contractors, insurers and banks. Each carries dates, money and conditions. Today these are managed through:</w:t>
      </w:r>
    </w:p>
    <w:p>
      <w:pPr>
        <w:pStyle w:val="ListParagraph"/>
        <w:numPr>
          <w:ilvl w:val="0"/>
          <w:numId w:val="2"/>
        </w:numPr>
        <w:spacing w:after="40" w:before="20" w:line="264"/>
      </w:pPr>
      <w:r>
        <w:rPr>
          <w:rFonts w:ascii="Arial" w:cs="Arial" w:eastAsia="Arial" w:hAnsi="Arial"/>
          <w:b w:val="false"/>
          <w:bCs w:val="false"/>
          <w:sz w:val="20"/>
          <w:szCs w:val="20"/>
        </w:rPr>
        <w:t xml:space="preserve">Excel sheets maintained by one person.</w:t>
      </w:r>
    </w:p>
    <w:p>
      <w:pPr>
        <w:pStyle w:val="ListParagraph"/>
        <w:numPr>
          <w:ilvl w:val="0"/>
          <w:numId w:val="2"/>
        </w:numPr>
        <w:spacing w:after="40" w:before="20" w:line="264"/>
      </w:pPr>
      <w:r>
        <w:rPr>
          <w:rFonts w:ascii="Arial" w:cs="Arial" w:eastAsia="Arial" w:hAnsi="Arial"/>
          <w:b w:val="false"/>
          <w:bCs w:val="false"/>
          <w:sz w:val="20"/>
          <w:szCs w:val="20"/>
        </w:rPr>
        <w:t xml:space="preserve">Paper files and the original bank guarantee in a safe.</w:t>
      </w:r>
    </w:p>
    <w:p>
      <w:pPr>
        <w:pStyle w:val="ListParagraph"/>
        <w:numPr>
          <w:ilvl w:val="0"/>
          <w:numId w:val="2"/>
        </w:numPr>
        <w:spacing w:after="40" w:before="20" w:line="264"/>
      </w:pPr>
      <w:r>
        <w:rPr>
          <w:rFonts w:ascii="Arial" w:cs="Arial" w:eastAsia="Arial" w:hAnsi="Arial"/>
          <w:b w:val="false"/>
          <w:bCs w:val="false"/>
          <w:sz w:val="20"/>
          <w:szCs w:val="20"/>
        </w:rPr>
        <w:t xml:space="preserve">Calendar reminders and memory.</w:t>
      </w:r>
    </w:p>
    <w:p>
      <w:pPr>
        <w:pStyle w:val="ListParagraph"/>
        <w:numPr>
          <w:ilvl w:val="0"/>
          <w:numId w:val="2"/>
        </w:numPr>
        <w:spacing w:after="40" w:before="20" w:line="264"/>
      </w:pPr>
      <w:r>
        <w:rPr>
          <w:rFonts w:ascii="Arial" w:cs="Arial" w:eastAsia="Arial" w:hAnsi="Arial"/>
          <w:b w:val="false"/>
          <w:bCs w:val="false"/>
          <w:sz w:val="20"/>
          <w:szCs w:val="20"/>
        </w:rPr>
        <w:t xml:space="preserve">Separate email threads for renewal negotiations.</w:t>
      </w:r>
    </w:p>
    <w:p>
      <w:pPr>
        <w:pStyle w:val="Heading3"/>
        <w:keepNext/>
      </w:pPr>
      <w:r>
        <w:rPr>
          <w:rFonts w:ascii="Arial" w:cs="Arial" w:eastAsia="Arial" w:hAnsi="Arial"/>
        </w:rPr>
        <w:t xml:space="preserve">Typical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Failure</w:t>
            </w:r>
          </w:p>
        </w:tc>
        <w:tc>
          <w:tcPr>
            <w:tcW w:type="dxa" w:w="578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Business impact</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Auto-renewal notice deadline missed</w:t>
            </w:r>
          </w:p>
        </w:tc>
        <w:tc>
          <w:tcPr>
            <w:tcW w:type="dxa" w:w="5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Company is locked into another term, perhaps on worse pricing.</w:t>
            </w:r>
          </w:p>
        </w:tc>
      </w:tr>
      <w:tr>
        <w:trPr>
          <w:cantSplit/>
        </w:trPr>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expires unnoticed</w:t>
            </w:r>
          </w:p>
        </w:tc>
        <w:tc>
          <w:tcPr>
            <w:tcW w:type="dxa" w:w="578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Service stops, or work continues without cover; rent or supply disputes.</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Bank guarantee expires or is not extended</w:t>
            </w:r>
          </w:p>
        </w:tc>
        <w:tc>
          <w:tcPr>
            <w:tcW w:type="dxa" w:w="5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Loss of cover, or an “extend or pay” demand; cash tied up unnecessarily when release is forgotten.</w:t>
            </w:r>
          </w:p>
        </w:tc>
      </w:tr>
      <w:tr>
        <w:trPr>
          <w:cantSplit/>
        </w:trPr>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Post-dated cheque not deposited on time, or returned cheque not followed up</w:t>
            </w:r>
          </w:p>
        </w:tc>
        <w:tc>
          <w:tcPr>
            <w:tcW w:type="dxa" w:w="578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Delayed cash collection and weaker legal position.</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Trade licence, insurance or power of attorney expires</w:t>
            </w:r>
          </w:p>
        </w:tc>
        <w:tc>
          <w:tcPr>
            <w:tcW w:type="dxa" w:w="5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Penalties, rejected payments, invalid signatory authority.</w:t>
            </w:r>
          </w:p>
        </w:tc>
      </w:tr>
      <w:tr>
        <w:trPr>
          <w:cantSplit/>
        </w:trPr>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Staff leave and knowledge goes with them</w:t>
            </w:r>
          </w:p>
        </w:tc>
        <w:tc>
          <w:tcPr>
            <w:tcW w:type="dxa" w:w="578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 one knows what was agreed or where the original is held.</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 single exposure view</w:t>
            </w:r>
          </w:p>
        </w:tc>
        <w:tc>
          <w:tcPr>
            <w:tcW w:type="dxa" w:w="5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Management cannot answer “how much guarantee value is out there and when does it expire?”</w:t>
            </w:r>
          </w:p>
        </w:tc>
      </w:tr>
    </w:tbl>
    <w:p>
      <w:pPr>
        <w:spacing w:after="100" w:before="0"/>
      </w:pPr>
    </w:p>
    <w:p>
      <w:pPr>
        <w:pBdr>
          <w:left w:val="single" w:color="BF9000" w:sz="24" w:space="8"/>
        </w:pBdr>
        <w:shd w:fill="FFF2CC" w:color="auto" w:val="clear"/>
        <w:spacing w:after="140" w:before="100" w:line="276"/>
        <w:ind w:left="160" w:right="80"/>
      </w:pPr>
      <w:r>
        <w:rPr>
          <w:rFonts w:ascii="Arial" w:cs="Arial" w:eastAsia="Arial" w:hAnsi="Arial"/>
          <w:b w:val="false"/>
          <w:bCs w:val="false"/>
          <w:sz w:val="19"/>
          <w:szCs w:val="19"/>
        </w:rPr>
        <w:t xml:space="preserve">These problems are well known in practice but not yet measured by you. Before pricing, run 10 short discovery conversations across the target domains (Section 12) to confirm which failure hurts most in each domain and what buyers currently pay to avoid it.</w:t>
      </w:r>
    </w:p>
    <w:p>
      <w:pPr>
        <w:pStyle w:val="Heading1"/>
        <w:pageBreakBefore/>
      </w:pPr>
      <w:r>
        <w:rPr>
          <w:rFonts w:ascii="Arial" w:cs="Arial" w:eastAsia="Arial" w:hAnsi="Arial"/>
        </w:rPr>
        <w:t xml:space="preserve">5. Target Market &amp; Personas</w:t>
      </w:r>
    </w:p>
    <w:p>
      <w:pPr>
        <w:pStyle w:val="Heading2"/>
        <w:keepNext/>
      </w:pPr>
      <w:r>
        <w:rPr>
          <w:rFonts w:ascii="Arial" w:cs="Arial" w:eastAsia="Arial" w:hAnsi="Arial"/>
        </w:rPr>
        <w:t xml:space="preserve">5.1 Target customers</w:t>
      </w:r>
    </w:p>
    <w:p>
      <w:pPr>
        <w:pStyle w:val="ListParagraph"/>
        <w:numPr>
          <w:ilvl w:val="0"/>
          <w:numId w:val="2"/>
        </w:numPr>
        <w:spacing w:after="40" w:before="20" w:line="264"/>
      </w:pPr>
      <w:r>
        <w:rPr>
          <w:rFonts w:ascii="Arial" w:cs="Arial" w:eastAsia="Arial" w:hAnsi="Arial"/>
          <w:b w:val="false"/>
          <w:bCs w:val="false"/>
          <w:sz w:val="20"/>
          <w:szCs w:val="20"/>
        </w:rPr>
        <w:t xml:space="preserve">Private companies in Kuwait, roughly 10 to 500 employees, with 5 to 50 potential users.</w:t>
      </w:r>
    </w:p>
    <w:p>
      <w:pPr>
        <w:pStyle w:val="ListParagraph"/>
        <w:numPr>
          <w:ilvl w:val="0"/>
          <w:numId w:val="2"/>
        </w:numPr>
        <w:spacing w:after="40" w:before="20" w:line="264"/>
      </w:pPr>
      <w:r>
        <w:rPr>
          <w:rFonts w:ascii="Arial" w:cs="Arial" w:eastAsia="Arial" w:hAnsi="Arial"/>
          <w:b w:val="false"/>
          <w:bCs w:val="false"/>
          <w:sz w:val="20"/>
          <w:szCs w:val="20"/>
        </w:rPr>
        <w:t xml:space="preserve">Domains in this release: real estate, retail, distribution, trading, wholesale, healthcare (private), and service and contracting companies such as central A/C contractors.</w:t>
      </w:r>
    </w:p>
    <w:p>
      <w:pPr>
        <w:pStyle w:val="ListParagraph"/>
        <w:numPr>
          <w:ilvl w:val="0"/>
          <w:numId w:val="2"/>
        </w:numPr>
        <w:spacing w:after="40" w:before="20" w:line="264"/>
      </w:pPr>
      <w:r>
        <w:rPr>
          <w:rFonts w:ascii="Arial" w:cs="Arial" w:eastAsia="Arial" w:hAnsi="Arial"/>
          <w:b w:val="false"/>
          <w:bCs w:val="false"/>
          <w:sz w:val="20"/>
          <w:szCs w:val="20"/>
        </w:rPr>
        <w:t xml:space="preserve">Not targeted now: government and semi-government bodies (long sales cycles, tender rules, hosting conditions), and companies outside Kuwait.</w:t>
      </w:r>
    </w:p>
    <w:p>
      <w:pPr>
        <w:pStyle w:val="Heading2"/>
        <w:keepNext/>
      </w:pPr>
      <w:r>
        <w:rPr>
          <w:rFonts w:ascii="Arial" w:cs="Arial" w:eastAsia="Arial" w:hAnsi="Arial"/>
        </w:rPr>
        <w:t xml:space="preserve">5.2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469"/>
        <w:gridCol w:w="3856"/>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Persona</w:t>
            </w:r>
          </w:p>
        </w:tc>
        <w:tc>
          <w:tcPr>
            <w:tcW w:type="dxa" w:w="346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Role in buying / using</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What they care about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Owner / General Manager</w:t>
            </w:r>
          </w:p>
        </w:tc>
        <w:tc>
          <w:tcPr>
            <w:tcW w:type="dxa" w:w="34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Economic buyer. Mostly views dashboards.</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Never being surprised. Total exposure. Cost.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Finance Manager</w:t>
            </w:r>
          </w:p>
        </w:tc>
        <w:tc>
          <w:tcPr>
            <w:tcW w:type="dxa" w:w="34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Influencer and daily user (guarantees, cheques, payments).</w:t>
            </w:r>
          </w:p>
        </w:tc>
        <w:tc>
          <w:tcPr>
            <w:tcW w:type="dxa" w:w="38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Cheque and guarantee tracking, cash planning.</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Legal / Admin Officer</w:t>
            </w:r>
          </w:p>
        </w:tc>
        <w:tc>
          <w:tcPr>
            <w:tcW w:type="dxa" w:w="34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Daily user (contracts, documents, licences).</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Accurate records, versions, signatory authority.</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Contracts / Procurement Officer</w:t>
            </w:r>
          </w:p>
        </w:tc>
        <w:tc>
          <w:tcPr>
            <w:tcW w:type="dxa" w:w="34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Daily user (create and maintain contracts).</w:t>
            </w:r>
          </w:p>
        </w:tc>
        <w:tc>
          <w:tcPr>
            <w:tcW w:type="dxa" w:w="38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Fast entry, import from Excel, templates.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Operations / Department Manager</w:t>
            </w:r>
          </w:p>
        </w:tc>
        <w:tc>
          <w:tcPr>
            <w:tcW w:type="dxa" w:w="34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manager for assigned contracts.</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Alerts for their contracts only, simple screens.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Auditor (internal / external)</w:t>
            </w:r>
          </w:p>
        </w:tc>
        <w:tc>
          <w:tcPr>
            <w:tcW w:type="dxa" w:w="34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Read-only user.</w:t>
            </w:r>
          </w:p>
        </w:tc>
        <w:tc>
          <w:tcPr>
            <w:tcW w:type="dxa" w:w="38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Audit trail, evidence that alerts were sent and acknowledged.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IT Manager</w:t>
            </w:r>
          </w:p>
        </w:tc>
        <w:tc>
          <w:tcPr>
            <w:tcW w:type="dxa" w:w="34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Gatekeeper on security.</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Data protection, backups, access control.</w:t>
            </w:r>
          </w:p>
        </w:tc>
      </w:tr>
    </w:tbl>
    <w:p>
      <w:pPr>
        <w:spacing w:after="100" w:before="0"/>
      </w:pPr>
    </w:p>
    <w:p>
      <w:pPr>
        <w:pStyle w:val="Heading2"/>
        <w:keepNext/>
      </w:pPr>
      <w:r>
        <w:rPr>
          <w:rFonts w:ascii="Arial" w:cs="Arial" w:eastAsia="Arial" w:hAnsi="Arial"/>
        </w:rPr>
        <w:t xml:space="preserve">5.3 Domain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Domain</w:t>
            </w:r>
          </w:p>
        </w:tc>
        <w:tc>
          <w:tcPr>
            <w:tcW w:type="dxa" w:w="751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Most valuable CGMS capability</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Real estate</w:t>
            </w:r>
          </w:p>
        </w:tc>
        <w:tc>
          <w:tcPr>
            <w:tcW w:type="dxa" w:w="75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Tenancy expiry and post-dated rent cheques across many units; security deposits.</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Retail</w:t>
            </w:r>
          </w:p>
        </w:tc>
        <w:tc>
          <w:tcPr>
            <w:tcW w:type="dxa" w:w="75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Outlet-by-outlet lease and brand-licence calendar; supplier agreements.</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Distribution</w:t>
            </w:r>
          </w:p>
        </w:tc>
        <w:tc>
          <w:tcPr>
            <w:tcW w:type="dxa" w:w="75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Distribution/agency agreement terms; customer security cheques and credit guarantees.</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Trading</w:t>
            </w:r>
          </w:p>
        </w:tc>
        <w:tc>
          <w:tcPr>
            <w:tcW w:type="dxa" w:w="75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Supply and sales contracts with guarantees and price-validity dates.</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Wholesale</w:t>
            </w:r>
          </w:p>
        </w:tc>
        <w:tc>
          <w:tcPr>
            <w:tcW w:type="dxa" w:w="75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Customer credit cheques due and returned; supplier price agreements.</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Healthcare</w:t>
            </w:r>
          </w:p>
        </w:tc>
        <w:tc>
          <w:tcPr>
            <w:tcW w:type="dxa" w:w="75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Equipment service and calibration; practitioner licences; insurer (TPA) agreements.</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Services / contracting</w:t>
            </w:r>
          </w:p>
        </w:tc>
        <w:tc>
          <w:tcPr>
            <w:tcW w:type="dxa" w:w="75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AMC renewal pipeline; performance guarantees and retention release.</w:t>
            </w:r>
          </w:p>
        </w:tc>
      </w:tr>
    </w:tbl>
    <w:p>
      <w:pPr>
        <w:spacing w:after="100" w:before="0"/>
      </w:pPr>
    </w:p>
    <w:p>
      <w:pPr>
        <w:pStyle w:val="Heading1"/>
        <w:pageBreakBefore/>
      </w:pPr>
      <w:r>
        <w:rPr>
          <w:rFonts w:ascii="Arial" w:cs="Arial" w:eastAsia="Arial" w:hAnsi="Arial"/>
        </w:rPr>
        <w:t xml:space="preserve">6. Business Objectives &amp; Success Measures</w:t>
      </w:r>
    </w:p>
    <w:p>
      <w:pPr>
        <w:spacing w:after="100" w:before="60" w:line="276"/>
      </w:pPr>
      <w:r>
        <w:rPr>
          <w:rFonts w:ascii="Arial" w:cs="Arial" w:eastAsia="Arial" w:hAnsi="Arial"/>
          <w:b w:val="false"/>
          <w:bCs w:val="false"/>
          <w:sz w:val="20"/>
          <w:szCs w:val="20"/>
        </w:rPr>
        <w:t xml:space="preserve">Targets below are proposals for you to confirm or change. They are meant to be measured, so each has a number.</w:t>
      </w:r>
    </w:p>
    <w:p>
      <w:pPr>
        <w:pStyle w:val="Heading2"/>
        <w:keepNext/>
      </w:pPr>
      <w:r>
        <w:rPr>
          <w:rFonts w:ascii="Arial" w:cs="Arial" w:eastAsia="Arial" w:hAnsi="Arial"/>
        </w:rPr>
        <w:t xml:space="preserve">6.1 Product outcomes for clients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Objective</w:t>
            </w:r>
          </w:p>
        </w:tc>
        <w:tc>
          <w:tcPr>
            <w:tcW w:type="dxa" w:w="481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Measure</w:t>
            </w:r>
          </w:p>
        </w:tc>
        <w:tc>
          <w:tcPr>
            <w:tcW w:type="dxa" w:w="241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Target</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 missed dates</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guarantee and cheque deadlines missed while data was in CGMS</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0 after first 30 days of full data entry</w:t>
            </w:r>
          </w:p>
        </w:tc>
      </w:tr>
      <w:tr>
        <w:trPr>
          <w:cantSplit/>
        </w:trPr>
        <w:tc>
          <w:tcPr>
            <w:tcW w:type="dxa" w:w="24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Fast onboarding</w:t>
            </w:r>
          </w:p>
        </w:tc>
        <w:tc>
          <w:tcPr>
            <w:tcW w:type="dxa" w:w="48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Working days from signed order to client live with imported data</w:t>
            </w:r>
          </w:p>
        </w:tc>
        <w:tc>
          <w:tcPr>
            <w:tcW w:type="dxa" w:w="24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5 working days or less for up to 200 records</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Daily usefulness</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Active users logging in at least weekly</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70% or more of purchased seats</w:t>
            </w:r>
          </w:p>
        </w:tc>
      </w:tr>
      <w:tr>
        <w:trPr>
          <w:cantSplit/>
        </w:trPr>
        <w:tc>
          <w:tcPr>
            <w:tcW w:type="dxa" w:w="24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Alerts that work</w:t>
            </w:r>
          </w:p>
        </w:tc>
        <w:tc>
          <w:tcPr>
            <w:tcW w:type="dxa" w:w="48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Critical alerts acknowledged within 3 working days</w:t>
            </w:r>
          </w:p>
        </w:tc>
        <w:tc>
          <w:tcPr>
            <w:tcW w:type="dxa" w:w="24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90% or more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Adoption of Arabic</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Clients using Arabic UI for at least one user</w:t>
            </w:r>
          </w:p>
        </w:tc>
        <w:tc>
          <w:tcPr>
            <w:tcW w:type="dxa" w:w="24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Tracked, no target</w:t>
            </w:r>
          </w:p>
        </w:tc>
      </w:tr>
    </w:tbl>
    <w:p>
      <w:pPr>
        <w:spacing w:after="100" w:before="0"/>
      </w:pPr>
    </w:p>
    <w:p>
      <w:pPr>
        <w:pStyle w:val="Heading2"/>
        <w:keepNext/>
      </w:pPr>
      <w:r>
        <w:rPr>
          <w:rFonts w:ascii="Arial" w:cs="Arial" w:eastAsia="Arial" w:hAnsi="Arial"/>
        </w:rPr>
        <w:t xml:space="preserve">6.2 Business outcomes for IVS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337"/>
        <w:gridCol w:w="2892"/>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Objective</w:t>
            </w:r>
          </w:p>
        </w:tc>
        <w:tc>
          <w:tcPr>
            <w:tcW w:type="dxa" w:w="433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Measure</w:t>
            </w:r>
          </w:p>
        </w:tc>
        <w:tc>
          <w:tcPr>
            <w:tcW w:type="dxa" w:w="289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Target (proposed)</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Prove the product</w:t>
            </w:r>
          </w:p>
        </w:tc>
        <w:tc>
          <w:tcPr>
            <w:tcW w:type="dxa" w:w="43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Design-partner clients live on Phase 1</w:t>
            </w:r>
          </w:p>
        </w:tc>
        <w:tc>
          <w:tcPr>
            <w:tcW w:type="dxa" w:w="28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 within 4 months of build start</w:t>
            </w:r>
          </w:p>
        </w:tc>
      </w:tr>
      <w:tr>
        <w:trPr>
          <w:cantSplit/>
        </w:trPr>
        <w:tc>
          <w:tcPr>
            <w:tcW w:type="dxa" w:w="24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First revenue</w:t>
            </w:r>
          </w:p>
        </w:tc>
        <w:tc>
          <w:tcPr>
            <w:tcW w:type="dxa" w:w="433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Paying subscription clients</w:t>
            </w:r>
          </w:p>
        </w:tc>
        <w:tc>
          <w:tcPr>
            <w:tcW w:type="dxa" w:w="289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5 by end of first year after Phase 1 release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Retention</w:t>
            </w:r>
          </w:p>
        </w:tc>
        <w:tc>
          <w:tcPr>
            <w:tcW w:type="dxa" w:w="43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Clients renewing yearly subscription</w:t>
            </w:r>
          </w:p>
        </w:tc>
        <w:tc>
          <w:tcPr>
            <w:tcW w:type="dxa" w:w="28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85% or more</w:t>
            </w:r>
          </w:p>
        </w:tc>
      </w:tr>
      <w:tr>
        <w:trPr>
          <w:cantSplit/>
        </w:trPr>
        <w:tc>
          <w:tcPr>
            <w:tcW w:type="dxa" w:w="24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Cross-sell</w:t>
            </w:r>
          </w:p>
        </w:tc>
        <w:tc>
          <w:tcPr>
            <w:tcW w:type="dxa" w:w="433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CGMS clients buying another IVS service</w:t>
            </w:r>
          </w:p>
        </w:tc>
        <w:tc>
          <w:tcPr>
            <w:tcW w:type="dxa" w:w="289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At least 1 in 4 within 18 months</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Quality</w:t>
            </w:r>
          </w:p>
        </w:tc>
        <w:tc>
          <w:tcPr>
            <w:tcW w:type="dxa" w:w="43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Critical production defects per release</w:t>
            </w:r>
          </w:p>
        </w:tc>
        <w:tc>
          <w:tcPr>
            <w:tcW w:type="dxa" w:w="28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0 data-loss or cross-client data exposure events (non-negotiable)</w:t>
            </w:r>
          </w:p>
        </w:tc>
      </w:tr>
    </w:tbl>
    <w:p>
      <w:pPr>
        <w:spacing w:after="100" w:before="0"/>
      </w:pPr>
    </w:p>
    <w:p>
      <w:pPr>
        <w:pStyle w:val="Heading1"/>
        <w:pageBreakBefore/>
      </w:pPr>
      <w:r>
        <w:rPr>
          <w:rFonts w:ascii="Arial" w:cs="Arial" w:eastAsia="Arial" w:hAnsi="Arial"/>
        </w:rPr>
        <w:t xml:space="preserve">7. Scope</w:t>
      </w:r>
    </w:p>
    <w:p>
      <w:pPr>
        <w:pStyle w:val="Heading2"/>
        <w:keepNext/>
      </w:pPr>
      <w:r>
        <w:rPr>
          <w:rFonts w:ascii="Arial" w:cs="Arial" w:eastAsia="Arial" w:hAnsi="Arial"/>
        </w:rPr>
        <w:t xml:space="preserve">7.1 In scope by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409"/>
        <w:gridCol w:w="6073"/>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c>
          <w:tcPr>
            <w:tcW w:type="dxa" w:w="24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Theme</w:t>
            </w:r>
          </w:p>
        </w:tc>
        <w:tc>
          <w:tcPr>
            <w:tcW w:type="dxa" w:w="607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Main content</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Phase 1</w:t>
            </w:r>
          </w:p>
        </w:tc>
        <w:tc>
          <w:tcPr>
            <w:tcW w:type="dxa" w:w="2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Core platform and alerts (sellable MVP)</w:t>
            </w:r>
          </w:p>
        </w:tc>
        <w:tc>
          <w:tcPr>
            <w:tcW w:type="dxa" w:w="607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Super Admin console (lite); client onboarding with industry packs; users, roles; parties and contacts; contracts and lines; guarantees with extension history; cheque register; documents with versions and expiry; configurable alert engine (dashboard + email); dashboard and 5 standard reports; audit log; English/Arabic RTL; Excel/CSV import.</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Phase 2</w:t>
            </w:r>
          </w:p>
        </w:tc>
        <w:tc>
          <w:tcPr>
            <w:tcW w:type="dxa" w:w="24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Lifecycle and control</w:t>
            </w:r>
          </w:p>
        </w:tc>
        <w:tc>
          <w:tcPr>
            <w:tcW w:type="dxa" w:w="607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Amendments and extensions; renewal cases and pipeline; termination; payment schedule and retention; obligations and SLA/penalty tracking; assets and equipment; approval workflow; escalation and digests; Hijri display; two-step login; support-access grant; full industry pack library; remaining reports; saved views.</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Phase 3</w:t>
            </w:r>
          </w:p>
        </w:tc>
        <w:tc>
          <w:tcPr>
            <w:tcW w:type="dxa" w:w="2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Scale and intelligence</w:t>
            </w:r>
          </w:p>
        </w:tc>
        <w:tc>
          <w:tcPr>
            <w:tcW w:type="dxa" w:w="607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Self-service sign-up and online payment (e.g. KNET); SMS/WhatsApp alerts; REST API and ERP connectors; e-signature integration; vendor/counterparty portal; mobile app; AI features (summaries, clause extraction, renewal risk); report builder; on-premises package if ever requested.</w:t>
            </w:r>
          </w:p>
        </w:tc>
      </w:tr>
    </w:tbl>
    <w:p>
      <w:pPr>
        <w:spacing w:after="100" w:before="0"/>
      </w:pPr>
    </w:p>
    <w:p>
      <w:pPr>
        <w:pStyle w:val="Heading2"/>
        <w:keepNext/>
      </w:pPr>
      <w:r>
        <w:rPr>
          <w:rFonts w:ascii="Arial" w:cs="Arial" w:eastAsia="Arial" w:hAnsi="Arial"/>
        </w:rPr>
        <w:t xml:space="preserve">7.2 Out of scope for now</w:t>
      </w:r>
    </w:p>
    <w:p>
      <w:pPr>
        <w:pStyle w:val="ListParagraph"/>
        <w:numPr>
          <w:ilvl w:val="0"/>
          <w:numId w:val="2"/>
        </w:numPr>
        <w:spacing w:after="40" w:before="20" w:line="264"/>
      </w:pPr>
      <w:r>
        <w:rPr>
          <w:rFonts w:ascii="Arial" w:cs="Arial" w:eastAsia="Arial" w:hAnsi="Arial"/>
          <w:b w:val="false"/>
          <w:bCs w:val="false"/>
          <w:sz w:val="20"/>
          <w:szCs w:val="20"/>
        </w:rPr>
        <w:t xml:space="preserve">Government and semi-government clients, tender portals and public-procurement rules.</w:t>
      </w:r>
    </w:p>
    <w:p>
      <w:pPr>
        <w:pStyle w:val="ListParagraph"/>
        <w:numPr>
          <w:ilvl w:val="0"/>
          <w:numId w:val="2"/>
        </w:numPr>
        <w:spacing w:after="40" w:before="20" w:line="264"/>
      </w:pPr>
      <w:r>
        <w:rPr>
          <w:rFonts w:ascii="Arial" w:cs="Arial" w:eastAsia="Arial" w:hAnsi="Arial"/>
          <w:b w:val="false"/>
          <w:bCs w:val="false"/>
          <w:sz w:val="20"/>
          <w:szCs w:val="20"/>
        </w:rPr>
        <w:t xml:space="preserve">Countries other than Kuwait; currencies other than KWD (the data model keeps a currency column so expansion later does not require a redesign, but only KWD is enabled).</w:t>
      </w:r>
    </w:p>
    <w:p>
      <w:pPr>
        <w:pStyle w:val="ListParagraph"/>
        <w:numPr>
          <w:ilvl w:val="0"/>
          <w:numId w:val="2"/>
        </w:numPr>
        <w:spacing w:after="40" w:before="20" w:line="264"/>
      </w:pPr>
      <w:r>
        <w:rPr>
          <w:rFonts w:ascii="Arial" w:cs="Arial" w:eastAsia="Arial" w:hAnsi="Arial"/>
          <w:b w:val="false"/>
          <w:bCs w:val="false"/>
          <w:sz w:val="20"/>
          <w:szCs w:val="20"/>
        </w:rPr>
        <w:t xml:space="preserve">Payment processing or any movement of money. CGMS records and reminds; it does not pay or collect.</w:t>
      </w:r>
    </w:p>
    <w:p>
      <w:pPr>
        <w:pStyle w:val="ListParagraph"/>
        <w:numPr>
          <w:ilvl w:val="0"/>
          <w:numId w:val="2"/>
        </w:numPr>
        <w:spacing w:after="40" w:before="20" w:line="264"/>
      </w:pPr>
      <w:r>
        <w:rPr>
          <w:rFonts w:ascii="Arial" w:cs="Arial" w:eastAsia="Arial" w:hAnsi="Arial"/>
          <w:b w:val="false"/>
          <w:bCs w:val="false"/>
          <w:sz w:val="20"/>
          <w:szCs w:val="20"/>
        </w:rPr>
        <w:t xml:space="preserve">Contract drafting and clause libraries, performance evaluation of contractors, tax or VAT calculation.</w:t>
      </w:r>
    </w:p>
    <w:p>
      <w:pPr>
        <w:pStyle w:val="ListParagraph"/>
        <w:numPr>
          <w:ilvl w:val="0"/>
          <w:numId w:val="2"/>
        </w:numPr>
        <w:spacing w:after="40" w:before="20" w:line="264"/>
      </w:pPr>
      <w:r>
        <w:rPr>
          <w:rFonts w:ascii="Arial" w:cs="Arial" w:eastAsia="Arial" w:hAnsi="Arial"/>
          <w:b w:val="false"/>
          <w:bCs w:val="false"/>
          <w:sz w:val="20"/>
          <w:szCs w:val="20"/>
        </w:rPr>
        <w:t xml:space="preserve">Legal advice. CGMS stores values the client enters; it does not interpret law.</w:t>
      </w:r>
    </w:p>
    <w:p>
      <w:pPr>
        <w:pStyle w:val="Heading1"/>
        <w:pageBreakBefore/>
      </w:pPr>
      <w:r>
        <w:rPr>
          <w:rFonts w:ascii="Arial" w:cs="Arial" w:eastAsia="Arial" w:hAnsi="Arial"/>
        </w:rPr>
        <w:t xml:space="preserve">8. Business Requirements</w:t>
      </w:r>
    </w:p>
    <w:p>
      <w:pPr>
        <w:spacing w:after="100" w:before="60" w:line="276"/>
      </w:pPr>
      <w:r>
        <w:rPr>
          <w:rFonts w:ascii="Arial" w:cs="Arial" w:eastAsia="Arial" w:hAnsi="Arial"/>
          <w:b w:val="false"/>
          <w:bCs w:val="false"/>
          <w:sz w:val="20"/>
          <w:szCs w:val="20"/>
        </w:rPr>
        <w:t xml:space="preserve">Priority: </w:t>
      </w:r>
      <w:r>
        <w:rPr>
          <w:rFonts w:ascii="Arial" w:cs="Arial" w:eastAsia="Arial" w:hAnsi="Arial"/>
          <w:b/>
          <w:bCs/>
          <w:sz w:val="20"/>
          <w:szCs w:val="20"/>
        </w:rPr>
        <w:t xml:space="preserve">M</w:t>
      </w:r>
      <w:r>
        <w:rPr>
          <w:rFonts w:ascii="Arial" w:cs="Arial" w:eastAsia="Arial" w:hAnsi="Arial"/>
          <w:b w:val="false"/>
          <w:bCs w:val="false"/>
          <w:sz w:val="20"/>
          <w:szCs w:val="20"/>
        </w:rPr>
        <w:t xml:space="preserve"> = Must, </w:t>
      </w:r>
      <w:r>
        <w:rPr>
          <w:rFonts w:ascii="Arial" w:cs="Arial" w:eastAsia="Arial" w:hAnsi="Arial"/>
          <w:b/>
          <w:bCs/>
          <w:sz w:val="20"/>
          <w:szCs w:val="20"/>
        </w:rPr>
        <w:t xml:space="preserve">S</w:t>
      </w:r>
      <w:r>
        <w:rPr>
          <w:rFonts w:ascii="Arial" w:cs="Arial" w:eastAsia="Arial" w:hAnsi="Arial"/>
          <w:b w:val="false"/>
          <w:bCs w:val="false"/>
          <w:sz w:val="20"/>
          <w:szCs w:val="20"/>
        </w:rPr>
        <w:t xml:space="preserve"> = Should, </w:t>
      </w:r>
      <w:r>
        <w:rPr>
          <w:rFonts w:ascii="Arial" w:cs="Arial" w:eastAsia="Arial" w:hAnsi="Arial"/>
          <w:b/>
          <w:bCs/>
          <w:sz w:val="20"/>
          <w:szCs w:val="20"/>
        </w:rPr>
        <w:t xml:space="preserve">C</w:t>
      </w:r>
      <w:r>
        <w:rPr>
          <w:rFonts w:ascii="Arial" w:cs="Arial" w:eastAsia="Arial" w:hAnsi="Arial"/>
          <w:b w:val="false"/>
          <w:bCs w:val="false"/>
          <w:sz w:val="20"/>
          <w:szCs w:val="20"/>
        </w:rPr>
        <w:t xml:space="preserve"> = Could. Phase is the planned release. Functional detail for each requirement is in the FSD; the data behind it is in the Data Schema.</w:t>
      </w:r>
    </w:p>
    <w:p>
      <w:pPr>
        <w:pStyle w:val="Heading3"/>
        <w:keepNext/>
      </w:pPr>
      <w:r>
        <w:rPr>
          <w:rFonts w:ascii="Arial" w:cs="Arial" w:eastAsia="Arial" w:hAnsi="Arial"/>
        </w:rPr>
        <w:t xml:space="preserve">Platform and subscription (PL)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6842"/>
        <w:gridCol w:w="674"/>
        <w:gridCol w:w="1255"/>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68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Requirement</w:t>
            </w:r>
          </w:p>
        </w:tc>
        <w:tc>
          <w:tcPr>
            <w:tcW w:type="dxa" w:w="6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Pri</w:t>
            </w:r>
          </w:p>
        </w:tc>
        <w:tc>
          <w:tcPr>
            <w:tcW w:type="dxa" w:w="12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PL-01</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Super Admin console to create, edit, suspend, reactivate and close client companies (tenants).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PL-02</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Each client’s data is completely isolated from every other client.</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PL-03</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Record each client’s yearly subscription: plan, number of seats, price per user, start and end dates, status.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PL-04</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The system prevents creating users beyond purchased seats and shows seats used and remaining.</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PL-05</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Subscription expiry handling: warnings at 60/30/7 days, a grace period (read-only), then suspension; clients can always export their data.</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PL-06</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IVS staff have no routine access to client contract data. Support access only through a time-limited grant by the client’s admin, fully logged.</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 (rule), 2 (tool)</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PL-07</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Super Admin dashboard: clients, seats, upcoming subscription renewals, usage.</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PL-08</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Record subscription invoices and payments received (manual entry).</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PL-09</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Apply an industry pack at onboarding to preload contract types, fields, lists and alert rules. Two packs in Phase 1, all seven in Phase 2.</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 / 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PL-10</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Self-service sign-up with online payment.</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w:t>
            </w:r>
          </w:p>
        </w:tc>
      </w:tr>
    </w:tbl>
    <w:p>
      <w:pPr>
        <w:spacing w:after="100" w:before="0"/>
      </w:pPr>
    </w:p>
    <w:p>
      <w:pPr>
        <w:pStyle w:val="Heading3"/>
        <w:keepNext/>
      </w:pPr>
      <w:r>
        <w:rPr>
          <w:rFonts w:ascii="Arial" w:cs="Arial" w:eastAsia="Arial" w:hAnsi="Arial"/>
        </w:rPr>
        <w:t xml:space="preserve">Configuration (CF)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6842"/>
        <w:gridCol w:w="674"/>
        <w:gridCol w:w="1255"/>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68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Requirement</w:t>
            </w:r>
          </w:p>
        </w:tc>
        <w:tc>
          <w:tcPr>
            <w:tcW w:type="dxa" w:w="6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Pri</w:t>
            </w:r>
          </w:p>
        </w:tc>
        <w:tc>
          <w:tcPr>
            <w:tcW w:type="dxa" w:w="12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CF-01</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Client admin maintains contract types and value lists (budget heads, departments, guarantee purposes, document types, asset categories, custody locations) in English and Arabic.</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CF-02</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Client admin adds custom fields (text, number, KWD amount, date, yes/no, single or multiple choice) to parties, contracts, guarantees and assets, optionally only for certain contract types.</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CF-03</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Roles and permissions configurable by module and action; sensible default roles supplied.</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CF-04</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Weekend days (default Friday and Saturday) and public-holiday calendar configurable.</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CF-05</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Client logo and bilingual company name on reports.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CF-06</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Configurable approval rules by contract type and value band.</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Heading3"/>
        <w:keepNext/>
      </w:pPr>
      <w:r>
        <w:rPr>
          <w:rFonts w:ascii="Arial" w:cs="Arial" w:eastAsia="Arial" w:hAnsi="Arial"/>
        </w:rPr>
        <w:t xml:space="preserve">Security and audit (SC)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6842"/>
        <w:gridCol w:w="674"/>
        <w:gridCol w:w="1255"/>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68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Requirement</w:t>
            </w:r>
          </w:p>
        </w:tc>
        <w:tc>
          <w:tcPr>
            <w:tcW w:type="dxa" w:w="6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Pri</w:t>
            </w:r>
          </w:p>
        </w:tc>
        <w:tc>
          <w:tcPr>
            <w:tcW w:type="dxa" w:w="12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SC-01</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Secure login: strong passwords (10+ characters), lockout after repeated failures, session timeout.</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SC-02</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Two-step verification with an authenticator app; mandatory for client admins.</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SC-03</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Role-based access by module and action; sensitive fields (Civil ID) masked unless permitted; financial values can be hidden per role.</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SC-04</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Complete audit trail of changes, logins, downloads and exports that cannot be edited or deleted from the application.</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SC-05</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Data encrypted in transit and at rest; daily backups with a tested restore.</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bl>
    <w:p>
      <w:pPr>
        <w:spacing w:after="100" w:before="0"/>
      </w:pPr>
    </w:p>
    <w:p>
      <w:pPr>
        <w:pStyle w:val="Heading3"/>
        <w:keepNext/>
      </w:pPr>
      <w:r>
        <w:rPr>
          <w:rFonts w:ascii="Arial" w:cs="Arial" w:eastAsia="Arial" w:hAnsi="Arial"/>
        </w:rPr>
        <w:t xml:space="preserve">Parties (PT)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6842"/>
        <w:gridCol w:w="674"/>
        <w:gridCol w:w="1255"/>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68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Requirement</w:t>
            </w:r>
          </w:p>
        </w:tc>
        <w:tc>
          <w:tcPr>
            <w:tcW w:type="dxa" w:w="6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Pri</w:t>
            </w:r>
          </w:p>
        </w:tc>
        <w:tc>
          <w:tcPr>
            <w:tcW w:type="dxa" w:w="12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PT-01</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One directory of counterparties (vendors, customers, tenants, landlords, subcontractors and so on); a party may hold several roles.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PT-02</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Several contacts per party, with a primary contact and an authorised-signatory flag.</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PT-03</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Track commercial registration / licence number and licence expiry, with alerts.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PT-04</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Party status Active, Inactive or Blacklisted; non-active parties cannot receive new contracts or guarantees.</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PT-05</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Warn about likely duplicate parties on entry.</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bl>
    <w:p>
      <w:pPr>
        <w:spacing w:after="100" w:before="0"/>
      </w:pPr>
    </w:p>
    <w:p>
      <w:pPr>
        <w:pStyle w:val="Heading3"/>
        <w:keepNext/>
      </w:pPr>
      <w:r>
        <w:rPr>
          <w:rFonts w:ascii="Arial" w:cs="Arial" w:eastAsia="Arial" w:hAnsi="Arial"/>
        </w:rPr>
        <w:t xml:space="preserve">Contracts (CT) and lifecycle (LC)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6842"/>
        <w:gridCol w:w="674"/>
        <w:gridCol w:w="1255"/>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68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Requirement</w:t>
            </w:r>
          </w:p>
        </w:tc>
        <w:tc>
          <w:tcPr>
            <w:tcW w:type="dxa" w:w="6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Pri</w:t>
            </w:r>
          </w:p>
        </w:tc>
        <w:tc>
          <w:tcPr>
            <w:tcW w:type="dxa" w:w="12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CT-01</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Create and maintain contracts: number, titles (English/Arabic), type, direction (we pay / we receive), party, dates, value in KWD (3 decimals), manager, status.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CT-02</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Duration calculated automatically; end date cannot precede start date.</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CT-03</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lines: clauses, items, milestones.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CT-04</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Controlled status lifecycle: Draft, Pending Approval, Active, Suspended, Expired, Terminated, Closed.</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CT-05</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Parent/child links (framework agreement and call-offs) and renewed-from links.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CT-06</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Third parties on a contract (subcontractors, guarantors, witnesses).</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CT-07</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Signed copy mandatory before a contract becomes Active, where the contract type requires it.</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CT-08</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Search, filter, sort and export contracts by any main field, including Arabic text.</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CT-09</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Activity timeline on every record.</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LC-01</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Store auto-renewal flag, renewal notice period and termination notice period; compute the notice deadline.</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LC-02</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Amendments and addenda including extensions and value changes; originals preserved, current values updated when approved.</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LC-03</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Renewal decision workflow: renew, renegotiate, let expire, terminate; deadline, owner, outcome, and creation of the renewed contract.</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LC-04</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Renewal pipeline view by month.</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LC-05</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Termination record with reason, date and proof of notice.</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LC-06</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Obligations, SLA and penalty clauses with owners and due dates.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LC-07</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Payment schedule (instalments and milestones) with status and overdue flag.</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LC-08</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Retention and advance-payment tracking.</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Heading3"/>
        <w:keepNext/>
      </w:pPr>
      <w:r>
        <w:rPr>
          <w:rFonts w:ascii="Arial" w:cs="Arial" w:eastAsia="Arial" w:hAnsi="Arial"/>
        </w:rPr>
        <w:t xml:space="preserve">Guarantees and cheques (GC)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6842"/>
        <w:gridCol w:w="674"/>
        <w:gridCol w:w="1255"/>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68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Requirement</w:t>
            </w:r>
          </w:p>
        </w:tc>
        <w:tc>
          <w:tcPr>
            <w:tcW w:type="dxa" w:w="6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Pri</w:t>
            </w:r>
          </w:p>
        </w:tc>
        <w:tc>
          <w:tcPr>
            <w:tcW w:type="dxa" w:w="12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GC-01</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Register guarantees both received and issued, for any instrument type: bank guarantee, security cheque, cash deposit, insurance bond, corporate guarantee.</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GC-02</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Record purpose, issuer, number, issue and expiry dates, value, percentage of contract, and where the original is held.</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GC-03</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Extension history; release and claim records.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GC-04</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Warn when guarantee value exceeds the linked contract value; require a reason.</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GC-05</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Cheque register (received and issued, including post-dated) with lifecycle Held, Deposited, Cleared, Returned and so on; alerts before due date.</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GC-06</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Exposure view: total active guarantees by direction, issuer and expiry bucket.</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bl>
    <w:p>
      <w:pPr>
        <w:spacing w:after="100" w:before="0"/>
      </w:pPr>
    </w:p>
    <w:p>
      <w:pPr>
        <w:pStyle w:val="Heading3"/>
        <w:keepNext/>
      </w:pPr>
      <w:r>
        <w:rPr>
          <w:rFonts w:ascii="Arial" w:cs="Arial" w:eastAsia="Arial" w:hAnsi="Arial"/>
        </w:rPr>
        <w:t xml:space="preserve">Assets (AS), Documents (DC)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6842"/>
        <w:gridCol w:w="674"/>
        <w:gridCol w:w="1255"/>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68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Requirement</w:t>
            </w:r>
          </w:p>
        </w:tc>
        <w:tc>
          <w:tcPr>
            <w:tcW w:type="dxa" w:w="6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Pri</w:t>
            </w:r>
          </w:p>
        </w:tc>
        <w:tc>
          <w:tcPr>
            <w:tcW w:type="dxa" w:w="12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AS-01</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General asset / equipment register linked to contracts and parties, with warranty and service dates; categories configurable per domain.</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AS-02</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Alerts for warranty expiry and service due.</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DC-01</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Upload and download files linked to any record (PDF, Word, Excel, images); 25 MB per file by default.</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DC-02</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Document versions: a new version replaces the old as current, old versions retained.</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DC-03</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Document expiry date with alerts (licences, insurance, power of attorney).</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DC-04</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Confidentiality level restricting who can see a document.</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DC-05</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Virus scan on upload.</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Heading3"/>
        <w:keepNext/>
      </w:pPr>
      <w:r>
        <w:rPr>
          <w:rFonts w:ascii="Arial" w:cs="Arial" w:eastAsia="Arial" w:hAnsi="Arial"/>
        </w:rPr>
        <w:t xml:space="preserve">Alerts (AL), Reports (RP), Language (LG), Import (IM), Integration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6842"/>
        <w:gridCol w:w="674"/>
        <w:gridCol w:w="1255"/>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68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Requirement</w:t>
            </w:r>
          </w:p>
        </w:tc>
        <w:tc>
          <w:tcPr>
            <w:tcW w:type="dxa" w:w="6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Pri</w:t>
            </w:r>
          </w:p>
        </w:tc>
        <w:tc>
          <w:tcPr>
            <w:tcW w:type="dxa" w:w="12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AL-01</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Configurable alert rules: which date, how many days before/after, who receives, which channel.</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AL-02</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Default rules supplied by the industry pack (for example 90/60/30/14/7/0 days).</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AL-03</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 centre: acknowledge, snooze, resolve; alerts close automatically when the underlying issue is fixed.</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AL-04</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Email in each recipient’s chosen language (Arabic or English).</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AL-05</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Escalation to a manager when a critical alert is not acknowledged.</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AL-06</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Weekend and holiday handling so alerts do not fall on non-working days.</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AL-07</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SMS and WhatsApp delivery.</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AL-08</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Weekly digest email.</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RP-01</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Dashboard: contracts by status, expiring in 30/60/90 days, guarantees expiring, cheques due, overdue payments.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RP-02</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Standard reports with export to Excel and PDF in English or Arabic (5 in Phase 1, remainder Phase 2).</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 / 2</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RP-03</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Saved filters and views.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RP-04</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Custom report builder.</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LG-01</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Complete English and Arabic user interface, user-selectable, with right-to-left layout.</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LG-02</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Bilingual names on records; reports printable in either language.</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LG-03</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Hijri date shown next to Gregorian, optional per user.</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IM-01</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Import parties, contracts, guarantees and cheques from Excel/CSV with a validation report.</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IM-02</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IVS-assisted data migration package for new clients.</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IN-01</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Transactional email sending service.</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IN-02</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ERP connectors (Odoo, NetSuite, Dynamics 365, Oracle Fusion).</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IN-03</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REST API for client integrations.</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IN-04</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E-signature integration.</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IN-05</w:t>
            </w:r>
          </w:p>
        </w:tc>
        <w:tc>
          <w:tcPr>
            <w:tcW w:type="dxa" w:w="68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Mobile app for iOS and Android.</w:t>
            </w:r>
          </w:p>
        </w:tc>
        <w:tc>
          <w:tcPr>
            <w:tcW w:type="dxa" w:w="67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w:t>
            </w:r>
          </w:p>
        </w:tc>
        <w:tc>
          <w:tcPr>
            <w:tcW w:type="dxa" w:w="12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IN-06</w:t>
            </w:r>
          </w:p>
        </w:tc>
        <w:tc>
          <w:tcPr>
            <w:tcW w:type="dxa" w:w="68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AI features: summaries, clause extraction, renewal risk.</w:t>
            </w:r>
          </w:p>
        </w:tc>
        <w:tc>
          <w:tcPr>
            <w:tcW w:type="dxa" w:w="67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w:t>
            </w:r>
          </w:p>
        </w:tc>
        <w:tc>
          <w:tcPr>
            <w:tcW w:type="dxa" w:w="12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w:t>
            </w:r>
          </w:p>
        </w:tc>
      </w:tr>
    </w:tbl>
    <w:p>
      <w:pPr>
        <w:spacing w:after="100" w:before="0"/>
      </w:pPr>
    </w:p>
    <w:p>
      <w:pPr>
        <w:pStyle w:val="Heading1"/>
        <w:pageBreakBefore/>
      </w:pPr>
      <w:r>
        <w:rPr>
          <w:rFonts w:ascii="Arial" w:cs="Arial" w:eastAsia="Arial" w:hAnsi="Arial"/>
        </w:rPr>
        <w:t xml:space="preserve">9. Kuwait Business Practice Reference</w:t>
      </w:r>
    </w:p>
    <w:p>
      <w:pPr>
        <w:spacing w:after="100" w:before="60" w:line="276"/>
      </w:pPr>
      <w:r>
        <w:rPr>
          <w:rFonts w:ascii="Arial" w:cs="Arial" w:eastAsia="Arial" w:hAnsi="Arial"/>
          <w:b w:val="false"/>
          <w:bCs w:val="false"/>
          <w:sz w:val="20"/>
          <w:szCs w:val="20"/>
        </w:rPr>
        <w:t xml:space="preserve">You asked for what is practised in Kuwait. The table below lists the practices that shape the product, how CGMS responds, and how sure I am. </w:t>
      </w:r>
      <w:r>
        <w:rPr>
          <w:rFonts w:ascii="Arial" w:cs="Arial" w:eastAsia="Arial" w:hAnsi="Arial"/>
          <w:b/>
          <w:bCs/>
          <w:sz w:val="20"/>
          <w:szCs w:val="20"/>
        </w:rPr>
        <w:t xml:space="preserve">Confidence</w:t>
      </w:r>
      <w:r>
        <w:rPr>
          <w:rFonts w:ascii="Arial" w:cs="Arial" w:eastAsia="Arial" w:hAnsi="Arial"/>
          <w:b w:val="false"/>
          <w:bCs w:val="false"/>
          <w:sz w:val="20"/>
          <w:szCs w:val="20"/>
        </w:rPr>
        <w:t xml:space="preserve"> reflects how widely the practice is known and how much it varies by contract.</w:t>
      </w:r>
    </w:p>
    <w:p>
      <w:pPr>
        <w:pBdr>
          <w:left w:val="single" w:color="BF9000" w:sz="24" w:space="8"/>
        </w:pBdr>
        <w:shd w:fill="FFF2CC" w:color="auto" w:val="clear"/>
        <w:spacing w:after="140" w:before="100" w:line="276"/>
        <w:ind w:left="160" w:right="80"/>
      </w:pPr>
      <w:r>
        <w:rPr>
          <w:rFonts w:ascii="Arial" w:cs="Arial" w:eastAsia="Arial" w:hAnsi="Arial"/>
          <w:b w:val="false"/>
          <w:bCs w:val="false"/>
          <w:sz w:val="19"/>
          <w:szCs w:val="19"/>
        </w:rPr>
        <w:t xml:space="preserve">This is a product-design reference based on general knowledge of commercial practice. It is not legal advice and I cannot verify current regulations from this conversation. Rates, periods and rules marked Medium or Low must be confirmed with a Kuwaiti lawyer and with pilot clients. CGMS is designed to store whatever values the client enters; it never enforces a legal percentage or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3662"/>
        <w:gridCol w:w="4240"/>
        <w:gridCol w:w="1351"/>
      </w:tblGrid>
      <w:tr>
        <w:trPr>
          <w:cantSplit/>
          <w:tblHeader/>
        </w:trPr>
        <w:tc>
          <w:tcPr>
            <w:tcW w:type="dxa" w:w="38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w:t>
            </w:r>
          </w:p>
        </w:tc>
        <w:tc>
          <w:tcPr>
            <w:tcW w:type="dxa" w:w="36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Practice in Kuwait</w:t>
            </w:r>
          </w:p>
        </w:tc>
        <w:tc>
          <w:tcPr>
            <w:tcW w:type="dxa" w:w="42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How CGMS responds</w:t>
            </w:r>
          </w:p>
        </w:tc>
        <w:tc>
          <w:tcPr>
            <w:tcW w:type="dxa" w:w="135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Confidence</w:t>
            </w:r>
          </w:p>
        </w:tc>
      </w:tr>
      <w:tr>
        <w:trPr>
          <w:cantSplit/>
        </w:trPr>
        <w:tc>
          <w:tcPr>
            <w:tcW w:type="dxa" w:w="38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Letters of guarantee from banks are standard security for bids, performance, advance payment and retention. Validity dates matter, and near expiry the beneficiary may ask the bank (and applicant) to extend or pay.</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register with direction, purpose, extension history, claim records, and alerts at 90/60/30/14/7/0 days.</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r>
      <w:tr>
        <w:trPr>
          <w:cantSplit/>
        </w:trPr>
        <w:tc>
          <w:tcPr>
            <w:tcW w:type="dxa" w:w="38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2</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sizes vary by contract. Performance security is often a single-digit to low-double-digit percentage of contract value; advance-payment guarantees usually match the advance; retention is commonly held and released after a maintenance period.</w:t>
            </w:r>
          </w:p>
        </w:tc>
        <w:tc>
          <w:tcPr>
            <w:tcW w:type="dxa" w:w="42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Percentage of contract calculated and shown; nothing hard-coded. Defaults can be suggested by industry pack, always editable.</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r>
      <w:tr>
        <w:trPr>
          <w:cantSplit/>
        </w:trPr>
        <w:tc>
          <w:tcPr>
            <w:tcW w:type="dxa" w:w="38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3</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Post-dated cheques are widely used for rent, instalments and as security.</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Cheque register with cheque date vs due date, custody, status lifecycle, and alerts before due date; returned cheque raises a critical alert.</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r>
      <w:tr>
        <w:trPr>
          <w:cantSplit/>
        </w:trPr>
        <w:tc>
          <w:tcPr>
            <w:tcW w:type="dxa" w:w="38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4</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Weekend is Friday and Saturday. Public holidays include Islamic holidays set by moon sighting, so exact dates are announced shortly before.</w:t>
            </w:r>
          </w:p>
        </w:tc>
        <w:tc>
          <w:tcPr>
            <w:tcW w:type="dxa" w:w="42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Configurable weekend and holiday calendar (maintained by IVS as a default and editable per client); alerts shift to the previous working day if needed.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r>
      <w:tr>
        <w:trPr>
          <w:cantSplit/>
        </w:trPr>
        <w:tc>
          <w:tcPr>
            <w:tcW w:type="dxa" w:w="38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5</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Hijri dates appear in some leases, licences and legacy documents.</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Gregorian date is the stored master; Hijri shown alongside on request.</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r>
      <w:tr>
        <w:trPr>
          <w:cantSplit/>
        </w:trPr>
        <w:tc>
          <w:tcPr>
            <w:tcW w:type="dxa" w:w="38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6</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Arabic is the language of the courts; bilingual contracts are common, and the contract states which version prevails.</w:t>
            </w:r>
          </w:p>
        </w:tc>
        <w:tc>
          <w:tcPr>
            <w:tcW w:type="dxa" w:w="42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Fields for governing language, prevailing language and whether an Arabic version exists; Arabic titles and Arabic search.</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r>
      <w:tr>
        <w:trPr>
          <w:cantSplit/>
        </w:trPr>
        <w:tc>
          <w:tcPr>
            <w:tcW w:type="dxa" w:w="38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7</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Kuwaiti Dinar has three decimals (1,000 fils).</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All money stored with three decimals.</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r>
      <w:tr>
        <w:trPr>
          <w:cantSplit/>
        </w:trPr>
        <w:tc>
          <w:tcPr>
            <w:tcW w:type="dxa" w:w="38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8</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Addresses use area, block, street and building; six governorates (Capital, Hawalli, Farwaniya, Ahmadi, Jahra, Mubarak Al-Kabeer).</w:t>
            </w:r>
          </w:p>
        </w:tc>
        <w:tc>
          <w:tcPr>
            <w:tcW w:type="dxa" w:w="42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Structured address fields with governorate list.</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r>
      <w:tr>
        <w:trPr>
          <w:cantSplit/>
        </w:trPr>
        <w:tc>
          <w:tcPr>
            <w:tcW w:type="dxa" w:w="38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9</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Companies hold commercial registration and licences that must be renewed; individuals are identified by Civil ID; signatories often act under a power of attorney with an expiry.</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licence expiry; Civil ID stored encrypted and masked; documents of type Power of Attorney with expiry date and alerts.</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r>
      <w:tr>
        <w:trPr>
          <w:cantSplit/>
        </w:trPr>
        <w:tc>
          <w:tcPr>
            <w:tcW w:type="dxa" w:w="38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10</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Notice to end or not renew is commonly 30 to 90 days in rent, service and maintenance contracts; auto-renewal clauses are common.</w:t>
            </w:r>
          </w:p>
        </w:tc>
        <w:tc>
          <w:tcPr>
            <w:tcW w:type="dxa" w:w="42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Notice-period fields, computed notice deadline, and a dedicated alert before that deadline.</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r>
      <w:tr>
        <w:trPr>
          <w:cantSplit/>
        </w:trPr>
        <w:tc>
          <w:tcPr>
            <w:tcW w:type="dxa" w:w="38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11</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Contractors face delay penalties and retention; agreed penalties can be reviewed by courts if excessive.</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Obligation records with penalty basis and cap; no automatic legal calculation.</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r>
      <w:tr>
        <w:trPr>
          <w:cantSplit/>
        </w:trPr>
        <w:tc>
          <w:tcPr>
            <w:tcW w:type="dxa" w:w="38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12</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Construction and building works can carry a long statutory liability period for structural defects (commonly cited as ten years).</w:t>
            </w:r>
          </w:p>
        </w:tc>
        <w:tc>
          <w:tcPr>
            <w:tcW w:type="dxa" w:w="42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Defects-liability end date as a custom/contract field and alert in real estate and contracting packs. Verify the period with a lawyer.</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Low–Medium</w:t>
            </w:r>
          </w:p>
        </w:tc>
      </w:tr>
      <w:tr>
        <w:trPr>
          <w:cantSplit/>
        </w:trPr>
        <w:tc>
          <w:tcPr>
            <w:tcW w:type="dxa" w:w="38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13</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Insurance policies (contractors’ all-risk, third-party liability, medical malpractice) are required by many contracts and expire yearly.</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 type Insurance Certificate with expiry date and alerts.</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r>
      <w:tr>
        <w:trPr>
          <w:cantSplit/>
        </w:trPr>
        <w:tc>
          <w:tcPr>
            <w:tcW w:type="dxa" w:w="38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14</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Commercial agency and distribution agreements with foreign principals may need registration and have specific terms.</w:t>
            </w:r>
          </w:p>
        </w:tc>
        <w:tc>
          <w:tcPr>
            <w:tcW w:type="dxa" w:w="42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Distribution pack tracks territory, exclusivity and registration expiry as fields. Verify registration rules with a lawyer.</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Low–Medium</w:t>
            </w:r>
          </w:p>
        </w:tc>
      </w:tr>
      <w:tr>
        <w:trPr>
          <w:cantSplit/>
        </w:trPr>
        <w:tc>
          <w:tcPr>
            <w:tcW w:type="dxa" w:w="38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15</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Rent contracts are usually annual with a renewal or rent review, and a security deposit by cash or cheque.</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Real estate pack: tenancy type, rent, escalation, deposit instrument and lease-end alerts.</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Medium–High</w:t>
            </w:r>
          </w:p>
        </w:tc>
      </w:tr>
    </w:tbl>
    <w:p>
      <w:pPr>
        <w:spacing w:after="100" w:before="0"/>
      </w:pPr>
    </w:p>
    <w:p>
      <w:pPr>
        <w:pStyle w:val="Heading1"/>
        <w:pageBreakBefore/>
      </w:pPr>
      <w:r>
        <w:rPr>
          <w:rFonts w:ascii="Arial" w:cs="Arial" w:eastAsia="Arial" w:hAnsi="Arial"/>
        </w:rPr>
        <w:t xml:space="preserve">10. Industry Packs</w:t>
      </w:r>
    </w:p>
    <w:p>
      <w:pPr>
        <w:spacing w:after="100" w:before="60" w:line="276"/>
      </w:pPr>
      <w:r>
        <w:rPr>
          <w:rFonts w:ascii="Arial" w:cs="Arial" w:eastAsia="Arial" w:hAnsi="Arial"/>
          <w:b w:val="false"/>
          <w:bCs w:val="false"/>
          <w:sz w:val="20"/>
          <w:szCs w:val="20"/>
        </w:rPr>
        <w:t xml:space="preserve">An industry pack is a ready-made starting configuration applied when a client is onboarded: contract types, extra fields, lists and default alert rules. The client can change everything afterwards. Packs are how CGMS stays one product while behaving differently for each domain. Phase 1 ships two packs (suggested: Services &amp; Contracting, Real Estate); the others follow in Phase 2.</w:t>
      </w:r>
    </w:p>
    <w:p>
      <w:pPr>
        <w:pStyle w:val="Heading3"/>
        <w:keepNext/>
      </w:pPr>
      <w:r>
        <w:rPr>
          <w:rFonts w:ascii="Arial" w:cs="Arial" w:eastAsia="Arial" w:hAnsi="Arial"/>
        </w:rPr>
        <w:t xml:space="preserve">Real Estate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Typical contracts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Tenancy (residential, commercial); property management; brokerage / agency; fit-out and construction; building maintenance (lifts, A/C, security, cleaning); insurance.</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Instruments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Rental security deposit (cash or cheque); post-dated rent cheques; contractor performance guarantee; retention.</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Extra fields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Property and unit number; area, block; monthly rent; escalation %; rent-free period; tenant Civil ID; defects-liability end date.</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Default alerts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Lease end 120/90/60/30; rent cheque due 7/3/0; insurance expiry 60/30/0; defects-liability end.</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Killer use case</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Lease expiry and cheque tracking across hundreds of units.</w:t>
            </w:r>
          </w:p>
        </w:tc>
      </w:tr>
    </w:tbl>
    <w:p>
      <w:pPr>
        <w:spacing w:after="100" w:before="0"/>
      </w:pPr>
    </w:p>
    <w:p>
      <w:pPr>
        <w:pStyle w:val="Heading3"/>
        <w:keepNext/>
      </w:pPr>
      <w:r>
        <w:rPr>
          <w:rFonts w:ascii="Arial" w:cs="Arial" w:eastAsia="Arial" w:hAnsi="Arial"/>
        </w:rPr>
        <w:t xml:space="preserve">Retail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Typical contracts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Mall and shop leases; supplier and consignment agreements; franchise and brand licences; concession agreements; POS and IT service contracts; outsourced services.</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Instruments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Rent cheques; supplier or franchise guarantees.</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Extra fields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Outlet; brand; turnover-rent %; exclusivity; lease break-option date; minimum order commitments.</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Default alerts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Lease end; break-option date; brand licence expiry; service contract renewals.</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Killer use case</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Outlet-by-outlet lease and licence calendar.</w:t>
            </w:r>
          </w:p>
        </w:tc>
      </w:tr>
    </w:tbl>
    <w:p>
      <w:pPr>
        <w:spacing w:after="100" w:before="0"/>
      </w:pPr>
    </w:p>
    <w:p>
      <w:pPr>
        <w:pStyle w:val="Heading3"/>
        <w:keepNext/>
      </w:pPr>
      <w:r>
        <w:rPr>
          <w:rFonts w:ascii="Arial" w:cs="Arial" w:eastAsia="Arial" w:hAnsi="Arial"/>
        </w:rPr>
        <w:t xml:space="preserve">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Typical contracts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Distribution and agency agreements; supplier contracts; logistics, transport and warehouse agreements; customer supply and credit agreements.</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Instruments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Customer security cheques and credit guarantees; supplier guarantees.</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Extra fields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Territory; exclusivity; target volumes; rebate %; credit limit; credit days; agency registration expiry.</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Default alerts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Agreement end; target review date; security cheque due; credit insurance expiry.</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Killer use case</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Tracking customer security cheques and credit exposure.</w:t>
            </w:r>
          </w:p>
        </w:tc>
      </w:tr>
    </w:tbl>
    <w:p>
      <w:pPr>
        <w:spacing w:after="100" w:before="0"/>
      </w:pPr>
    </w:p>
    <w:p>
      <w:pPr>
        <w:pStyle w:val="Heading3"/>
        <w:keepNext/>
      </w:pPr>
      <w:r>
        <w:rPr>
          <w:rFonts w:ascii="Arial" w:cs="Arial" w:eastAsia="Arial" w:hAnsi="Arial"/>
        </w:rPr>
        <w:t xml:space="preserve">Trading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Typical contracts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Supply and sales contracts; import / export agency; shipping and clearing agreements.</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Instruments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Performance guarantee; advance-payment guarantee; cheques.</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Extra fields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Incoterm; port; lead time; price-validity date; quantity commitment.</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Default alerts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Price-validity end; delivery obligation due; guarantee expiry.</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Killer use case</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Guarantee and price-validity control on large supply deals.</w:t>
            </w:r>
          </w:p>
        </w:tc>
      </w:tr>
    </w:tbl>
    <w:p>
      <w:pPr>
        <w:spacing w:after="100" w:before="0"/>
      </w:pPr>
    </w:p>
    <w:p>
      <w:pPr>
        <w:pStyle w:val="Heading3"/>
        <w:keepNext/>
      </w:pPr>
      <w:r>
        <w:rPr>
          <w:rFonts w:ascii="Arial" w:cs="Arial" w:eastAsia="Arial" w:hAnsi="Arial"/>
        </w:rPr>
        <w:t xml:space="preserve">Wholesale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Typical contracts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Customer credit agreements; supplier price agreements; warehouse leases.</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Instruments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Post-dated cheques held from customers; credit guarantees.</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Extra fields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Credit limit; payment terms; rebate; customer segment.</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Default alerts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Cheque due 7/3/0; returned-cheque follow-up; agreement end.</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Killer use case</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Cheque-heavy customer credit control.</w:t>
            </w:r>
          </w:p>
        </w:tc>
      </w:tr>
    </w:tbl>
    <w:p>
      <w:pPr>
        <w:spacing w:after="100" w:before="0"/>
      </w:pPr>
    </w:p>
    <w:p>
      <w:pPr>
        <w:pStyle w:val="Heading3"/>
        <w:keepNext/>
      </w:pPr>
      <w:r>
        <w:rPr>
          <w:rFonts w:ascii="Arial" w:cs="Arial" w:eastAsia="Arial" w:hAnsi="Arial"/>
        </w:rPr>
        <w:t xml:space="preserve">Healthcare (private)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Typical contracts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Medical equipment service / AMC; pharmaceutical and consumable supply; doctor and consultant contracts; insurer and TPA agreements; facility leases; outsourced services (cleaning, waste, catering).</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Instruments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Performance guarantees; malpractice and equipment insurance.</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Extra fields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Equipment serial; calibration date; practitioner licence expiry; insurance cover amount; TPA panel code.</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Default alerts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Equipment calibration and service; practitioner licence expiry; malpractice insurance expiry; TPA agreement renewal. Facility licence rules to be verified.</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Killer use case</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Licence, calibration and insurer-agreement calendar.</w:t>
            </w:r>
          </w:p>
        </w:tc>
      </w:tr>
    </w:tbl>
    <w:p>
      <w:pPr>
        <w:spacing w:after="100" w:before="0"/>
      </w:pPr>
    </w:p>
    <w:p>
      <w:pPr>
        <w:pStyle w:val="Heading3"/>
        <w:keepNext/>
      </w:pPr>
      <w:r>
        <w:rPr>
          <w:rFonts w:ascii="Arial" w:cs="Arial" w:eastAsia="Arial" w:hAnsi="Arial"/>
        </w:rPr>
        <w:t xml:space="preserve">Services &amp; Contracting (e.g. central A/C)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Typical contracts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Customer AMC contracts (receivable); subcontractor agreements; equipment supply; subcontracts under a main contractor.</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Instruments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Performance guarantee; advance-payment guarantee; retention; equipment warranties.</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Extra fields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Site / project; equipment list (units, capacity); preventive-maintenance visit schedule; response-time SLA; retention %; defects-liability end.</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Default alerts</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AMC end 120/90/60/30; PPM visit due; guarantee expiry; retention release date; equipment warranty expiry.</w:t>
            </w:r>
          </w:p>
        </w:tc>
      </w:tr>
      <w:tr>
        <w:trPr>
          <w:cantSplit/>
        </w:trPr>
        <w:tc>
          <w:tcPr>
            <w:tcW w:type="dxa" w:w="2313"/>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Killer use case</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AMC renewal pipeline plus guarantee and retention release tracking.</w:t>
            </w:r>
          </w:p>
        </w:tc>
      </w:tr>
    </w:tbl>
    <w:p>
      <w:pPr>
        <w:spacing w:after="100" w:before="0"/>
      </w:pPr>
    </w:p>
    <w:p>
      <w:pPr>
        <w:pStyle w:val="Heading1"/>
        <w:pageBreakBefore/>
      </w:pPr>
      <w:r>
        <w:rPr>
          <w:rFonts w:ascii="Arial" w:cs="Arial" w:eastAsia="Arial" w:hAnsi="Arial"/>
        </w:rPr>
        <w:t xml:space="preserve">11. Commercial Model</w:t>
      </w:r>
    </w:p>
    <w:p>
      <w:pPr>
        <w:pStyle w:val="Heading2"/>
        <w:keepNext/>
      </w:pPr>
      <w:r>
        <w:rPr>
          <w:rFonts w:ascii="Arial" w:cs="Arial" w:eastAsia="Arial" w:hAnsi="Arial"/>
        </w:rPr>
        <w:t xml:space="preserve">11.1 Pricing structure (proposed)</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Yearly subscription per user</w:t>
      </w:r>
      <w:r>
        <w:rPr>
          <w:rFonts w:ascii="Arial" w:cs="Arial" w:eastAsia="Arial" w:hAnsi="Arial"/>
          <w:b w:val="false"/>
          <w:bCs w:val="false"/>
          <w:sz w:val="20"/>
          <w:szCs w:val="20"/>
        </w:rPr>
        <w:t xml:space="preserve">, in KWD, invoiced annually in advance.</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Two seat types:</w:t>
      </w:r>
      <w:r>
        <w:rPr>
          <w:rFonts w:ascii="Arial" w:cs="Arial" w:eastAsia="Arial" w:hAnsi="Arial"/>
          <w:b w:val="false"/>
          <w:bCs w:val="false"/>
          <w:sz w:val="20"/>
          <w:szCs w:val="20"/>
        </w:rPr>
        <w:t xml:space="preserve"> Full users (create and edit) and Viewer users (read-only, including auditors) at a lower price. Viewers are how you win owners and auditors without discounting the main seats.</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Minimum annual fee per client</w:t>
      </w:r>
      <w:r>
        <w:rPr>
          <w:rFonts w:ascii="Arial" w:cs="Arial" w:eastAsia="Arial" w:hAnsi="Arial"/>
          <w:b w:val="false"/>
          <w:bCs w:val="false"/>
          <w:sz w:val="20"/>
          <w:szCs w:val="20"/>
        </w:rPr>
        <w:t xml:space="preserve">, so a two-user client still covers support cost.</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One-time onboarding and migration fee</w:t>
      </w:r>
      <w:r>
        <w:rPr>
          <w:rFonts w:ascii="Arial" w:cs="Arial" w:eastAsia="Arial" w:hAnsi="Arial"/>
          <w:b w:val="false"/>
          <w:bCs w:val="false"/>
          <w:sz w:val="20"/>
          <w:szCs w:val="20"/>
        </w:rPr>
        <w:t xml:space="preserve"> (import from Excel, setup, training). This is real revenue and funds the first weeks of each client.</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Optional extras:</w:t>
      </w:r>
      <w:r>
        <w:rPr>
          <w:rFonts w:ascii="Arial" w:cs="Arial" w:eastAsia="Arial" w:hAnsi="Arial"/>
          <w:b w:val="false"/>
          <w:bCs w:val="false"/>
          <w:sz w:val="20"/>
          <w:szCs w:val="20"/>
        </w:rPr>
        <w:t xml:space="preserve"> extra storage, SMS/WhatsApp credits, priority support, Arabic/English training.</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Multi-year discount</w:t>
      </w:r>
      <w:r>
        <w:rPr>
          <w:rFonts w:ascii="Arial" w:cs="Arial" w:eastAsia="Arial" w:hAnsi="Arial"/>
          <w:b w:val="false"/>
          <w:bCs w:val="false"/>
          <w:sz w:val="20"/>
          <w:szCs w:val="20"/>
        </w:rPr>
        <w:t xml:space="preserve"> for a 2- or 3-year commitment, which also improves retention.</w:t>
      </w:r>
    </w:p>
    <w:p>
      <w:pPr>
        <w:pStyle w:val="Heading2"/>
        <w:keepNext/>
      </w:pPr>
      <w:r>
        <w:rPr>
          <w:rFonts w:ascii="Arial" w:cs="Arial" w:eastAsia="Arial" w:hAnsi="Arial"/>
        </w:rPr>
        <w:t xml:space="preserve">11.2 Illustrative revenue model</w:t>
      </w:r>
    </w:p>
    <w:p>
      <w:pPr>
        <w:pBdr>
          <w:left w:val="single" w:color="BF9000" w:sz="24" w:space="8"/>
        </w:pBdr>
        <w:shd w:fill="FFF2CC" w:color="auto" w:val="clear"/>
        <w:spacing w:after="140" w:before="100" w:line="276"/>
        <w:ind w:left="160" w:right="80"/>
      </w:pPr>
      <w:r>
        <w:rPr>
          <w:rFonts w:ascii="Arial" w:cs="Arial" w:eastAsia="Arial" w:hAnsi="Arial"/>
          <w:b w:val="false"/>
          <w:bCs w:val="false"/>
          <w:sz w:val="19"/>
          <w:szCs w:val="19"/>
        </w:rPr>
        <w:t xml:space="preserve">Every number in this table is a placeholder assumption, not market data. Replace them with real figures after discovery conversations. The point of the table is to show the shape of the economics, not to forecast.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4"/>
        <w:gridCol w:w="1734"/>
        <w:gridCol w:w="1737"/>
      </w:tblGrid>
      <w:tr>
        <w:trPr>
          <w:cantSplit/>
          <w:tblHeader/>
        </w:trPr>
        <w:tc>
          <w:tcPr>
            <w:tcW w:type="dxa" w:w="44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Assumption / result</w:t>
            </w:r>
          </w:p>
        </w:tc>
        <w:tc>
          <w:tcPr>
            <w:tcW w:type="dxa" w:w="17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Cautious</w:t>
            </w:r>
          </w:p>
        </w:tc>
        <w:tc>
          <w:tcPr>
            <w:tcW w:type="dxa" w:w="17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Base</w:t>
            </w:r>
          </w:p>
        </w:tc>
        <w:tc>
          <w:tcPr>
            <w:tcW w:type="dxa" w:w="173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Optimistic</w:t>
            </w:r>
          </w:p>
        </w:tc>
      </w:tr>
      <w:tr>
        <w:trPr>
          <w:cantSplit/>
        </w:trPr>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Paying clients at end of year 1</w:t>
            </w:r>
          </w:p>
        </w:tc>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5</w:t>
            </w:r>
          </w:p>
        </w:tc>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12</w:t>
            </w:r>
          </w:p>
        </w:tc>
        <w:tc>
          <w:tcPr>
            <w:tcW w:type="dxa" w:w="17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25</w:t>
            </w:r>
          </w:p>
        </w:tc>
      </w:tr>
      <w:tr>
        <w:trPr>
          <w:cantSplit/>
        </w:trPr>
        <w:tc>
          <w:tcPr>
            <w:tcW w:type="dxa" w:w="44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Average full users per client</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6</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8</w:t>
            </w:r>
          </w:p>
        </w:tc>
        <w:tc>
          <w:tcPr>
            <w:tcW w:type="dxa" w:w="173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10</w:t>
            </w:r>
          </w:p>
        </w:tc>
      </w:tr>
      <w:tr>
        <w:trPr>
          <w:cantSplit/>
        </w:trPr>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Price per user per year (KWD)</w:t>
            </w:r>
          </w:p>
        </w:tc>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30</w:t>
            </w:r>
          </w:p>
        </w:tc>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30</w:t>
            </w:r>
          </w:p>
        </w:tc>
        <w:tc>
          <w:tcPr>
            <w:tcW w:type="dxa" w:w="17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30</w:t>
            </w:r>
          </w:p>
        </w:tc>
      </w:tr>
      <w:tr>
        <w:trPr>
          <w:cantSplit/>
        </w:trPr>
        <w:tc>
          <w:tcPr>
            <w:tcW w:type="dxa" w:w="44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Subscription revenue (KWD)</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900</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2,880</w:t>
            </w:r>
          </w:p>
        </w:tc>
        <w:tc>
          <w:tcPr>
            <w:tcW w:type="dxa" w:w="173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7,500</w:t>
            </w:r>
          </w:p>
        </w:tc>
      </w:tr>
      <w:tr>
        <w:trPr>
          <w:cantSplit/>
        </w:trPr>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Onboarding fee per client (KWD)</w:t>
            </w:r>
          </w:p>
        </w:tc>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300</w:t>
            </w:r>
          </w:p>
        </w:tc>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300</w:t>
            </w:r>
          </w:p>
        </w:tc>
        <w:tc>
          <w:tcPr>
            <w:tcW w:type="dxa" w:w="17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300</w:t>
            </w:r>
          </w:p>
        </w:tc>
      </w:tr>
      <w:tr>
        <w:trPr>
          <w:cantSplit/>
        </w:trPr>
        <w:tc>
          <w:tcPr>
            <w:tcW w:type="dxa" w:w="44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Onboarding revenue (KWD)</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1,500</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3,600</w:t>
            </w:r>
          </w:p>
        </w:tc>
        <w:tc>
          <w:tcPr>
            <w:tcW w:type="dxa" w:w="173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7,500</w:t>
            </w:r>
          </w:p>
        </w:tc>
      </w:tr>
      <w:tr>
        <w:trPr>
          <w:cantSplit/>
        </w:trPr>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Total year-1 revenue (KWD)</w:t>
            </w:r>
            <w:r>
              <w:rPr>
                <w:rFonts w:ascii="Arial" w:cs="Arial" w:eastAsia="Arial" w:hAnsi="Arial"/>
                <w:b w:val="false"/>
                <w:bCs w:val="false"/>
                <w:sz w:val="17"/>
                <w:szCs w:val="17"/>
              </w:rPr>
              <w:t xml:space="preserve"/>
            </w:r>
          </w:p>
        </w:tc>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2,400</w:t>
            </w:r>
            <w:r>
              <w:rPr>
                <w:rFonts w:ascii="Arial" w:cs="Arial" w:eastAsia="Arial" w:hAnsi="Arial"/>
                <w:b w:val="false"/>
                <w:bCs w:val="false"/>
                <w:sz w:val="17"/>
                <w:szCs w:val="17"/>
              </w:rPr>
              <w:t xml:space="preserve"/>
            </w:r>
          </w:p>
        </w:tc>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6,480</w:t>
            </w:r>
            <w:r>
              <w:rPr>
                <w:rFonts w:ascii="Arial" w:cs="Arial" w:eastAsia="Arial" w:hAnsi="Arial"/>
                <w:b w:val="false"/>
                <w:bCs w:val="false"/>
                <w:sz w:val="17"/>
                <w:szCs w:val="17"/>
              </w:rPr>
              <w:t xml:space="preserve"/>
            </w:r>
          </w:p>
        </w:tc>
        <w:tc>
          <w:tcPr>
            <w:tcW w:type="dxa" w:w="17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15,000</w:t>
            </w:r>
            <w:r>
              <w:rPr>
                <w:rFonts w:ascii="Arial" w:cs="Arial" w:eastAsia="Arial" w:hAnsi="Arial"/>
                <w:b w:val="false"/>
                <w:bCs w:val="false"/>
                <w:sz w:val="17"/>
                <w:szCs w:val="17"/>
              </w:rPr>
              <w:t xml:space="preserve"/>
            </w:r>
          </w:p>
        </w:tc>
      </w:tr>
    </w:tbl>
    <w:p>
      <w:pPr>
        <w:spacing w:after="100" w:before="0"/>
      </w:pPr>
    </w:p>
    <w:p>
      <w:pPr>
        <w:spacing w:after="100" w:before="60" w:line="276"/>
      </w:pPr>
      <w:r>
        <w:rPr>
          <w:rFonts w:ascii="Arial" w:cs="Arial" w:eastAsia="Arial" w:hAnsi="Arial"/>
          <w:b w:val="false"/>
          <w:bCs w:val="false"/>
          <w:sz w:val="20"/>
          <w:szCs w:val="20"/>
        </w:rPr>
        <w:t xml:space="preserve">What this tells a strategist:</w:t>
      </w:r>
    </w:p>
    <w:p>
      <w:pPr>
        <w:pStyle w:val="ListParagraph"/>
        <w:numPr>
          <w:ilvl w:val="0"/>
          <w:numId w:val="2"/>
        </w:numPr>
        <w:spacing w:after="40" w:before="20" w:line="264"/>
      </w:pPr>
      <w:r>
        <w:rPr>
          <w:rFonts w:ascii="Arial" w:cs="Arial" w:eastAsia="Arial" w:hAnsi="Arial"/>
          <w:b w:val="false"/>
          <w:bCs w:val="false"/>
          <w:sz w:val="20"/>
          <w:szCs w:val="20"/>
        </w:rPr>
        <w:t xml:space="preserve">At small-business per-user prices, CGMS alone is a modest business in year one. Each KWD 10 added to the per-user price adds KWD 2,500 in the optimistic case, so pricing matters more than volume early on.</w:t>
      </w:r>
    </w:p>
    <w:p>
      <w:pPr>
        <w:pStyle w:val="ListParagraph"/>
        <w:numPr>
          <w:ilvl w:val="0"/>
          <w:numId w:val="2"/>
        </w:numPr>
        <w:spacing w:after="40" w:before="20" w:line="264"/>
      </w:pPr>
      <w:r>
        <w:rPr>
          <w:rFonts w:ascii="Arial" w:cs="Arial" w:eastAsia="Arial" w:hAnsi="Arial"/>
          <w:b w:val="false"/>
          <w:bCs w:val="false"/>
          <w:sz w:val="20"/>
          <w:szCs w:val="20"/>
        </w:rPr>
        <w:t xml:space="preserve">The larger value is the recurring base, the credibility with each client, and cross-selling ERP, automation, infrastructure and analytics to the same buyers.</w:t>
      </w:r>
    </w:p>
    <w:p>
      <w:pPr>
        <w:pStyle w:val="ListParagraph"/>
        <w:numPr>
          <w:ilvl w:val="0"/>
          <w:numId w:val="2"/>
        </w:numPr>
        <w:spacing w:after="40" w:before="20" w:line="264"/>
      </w:pPr>
      <w:r>
        <w:rPr>
          <w:rFonts w:ascii="Arial" w:cs="Arial" w:eastAsia="Arial" w:hAnsi="Arial"/>
          <w:b w:val="false"/>
          <w:bCs w:val="false"/>
          <w:sz w:val="20"/>
          <w:szCs w:val="20"/>
        </w:rPr>
        <w:t xml:space="preserve">Onboarding and migration fees, and a sensible minimum annual fee, may matter as much as the per-user price.</w:t>
      </w:r>
    </w:p>
    <w:p>
      <w:pPr>
        <w:pStyle w:val="ListParagraph"/>
        <w:numPr>
          <w:ilvl w:val="0"/>
          <w:numId w:val="2"/>
        </w:numPr>
        <w:spacing w:after="40" w:before="20" w:line="264"/>
      </w:pPr>
      <w:r>
        <w:rPr>
          <w:rFonts w:ascii="Arial" w:cs="Arial" w:eastAsia="Arial" w:hAnsi="Arial"/>
          <w:b w:val="false"/>
          <w:bCs w:val="false"/>
          <w:sz w:val="20"/>
          <w:szCs w:val="20"/>
        </w:rPr>
        <w:t xml:space="preserve">Hosting, email and support costs are not in the table. Get a real AWS and email quote before fixing prices.</w:t>
      </w:r>
    </w:p>
    <w:p>
      <w:pPr>
        <w:pStyle w:val="Heading1"/>
        <w:pageBreakBefore/>
      </w:pPr>
      <w:r>
        <w:rPr>
          <w:rFonts w:ascii="Arial" w:cs="Arial" w:eastAsia="Arial" w:hAnsi="Arial"/>
        </w:rPr>
        <w:t xml:space="preserve">12. Go-to-Market Outline</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Validate (weeks 1–4).</w:t>
      </w:r>
      <w:r>
        <w:rPr>
          <w:rFonts w:ascii="Arial" w:cs="Arial" w:eastAsia="Arial" w:hAnsi="Arial"/>
          <w:b w:val="false"/>
          <w:bCs w:val="false"/>
          <w:sz w:val="20"/>
          <w:szCs w:val="20"/>
        </w:rPr>
        <w:t xml:space="preserve"> Ten short conversations across the seven domains using a one-page question list: how do you track contracts and guarantees today, what did the last missed date cost, who owns it, what would you pay.</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Design partners (months 1–4).</w:t>
      </w:r>
      <w:r>
        <w:rPr>
          <w:rFonts w:ascii="Arial" w:cs="Arial" w:eastAsia="Arial" w:hAnsi="Arial"/>
          <w:b w:val="false"/>
          <w:bCs w:val="false"/>
          <w:sz w:val="20"/>
          <w:szCs w:val="20"/>
        </w:rPr>
        <w:t xml:space="preserve"> Three companies get a discounted or free first year in exchange for feedback, a reference and a written agreement. If the host company agrees, its own contracts can be the first real data set.</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Contract &amp; Guarantee Health Check.</w:t>
      </w:r>
      <w:r>
        <w:rPr>
          <w:rFonts w:ascii="Arial" w:cs="Arial" w:eastAsia="Arial" w:hAnsi="Arial"/>
          <w:b w:val="false"/>
          <w:bCs w:val="false"/>
          <w:sz w:val="20"/>
          <w:szCs w:val="20"/>
        </w:rPr>
        <w:t xml:space="preserve"> A low-cost offer: IVS imports up to 20 of the client’s contracts and guarantees and delivers a one-page risk list showing what expires in the next 12 months. It demonstrates value in days and leads to the subscription.</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Channels.</w:t>
      </w:r>
      <w:r>
        <w:rPr>
          <w:rFonts w:ascii="Arial" w:cs="Arial" w:eastAsia="Arial" w:hAnsi="Arial"/>
          <w:b w:val="false"/>
          <w:bCs w:val="false"/>
          <w:sz w:val="20"/>
          <w:szCs w:val="20"/>
        </w:rPr>
        <w:t xml:space="preserve"> Referrals from the host company’s network; accountants and auditors; existing IVS ERP and IT clients; Kuwait business events; LinkedIn content in Arabic and English.</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Bundles.</w:t>
      </w:r>
      <w:r>
        <w:rPr>
          <w:rFonts w:ascii="Arial" w:cs="Arial" w:eastAsia="Arial" w:hAnsi="Arial"/>
          <w:b w:val="false"/>
          <w:bCs w:val="false"/>
          <w:sz w:val="20"/>
          <w:szCs w:val="20"/>
        </w:rPr>
        <w:t xml:space="preserve"> Offer CGMS with ERP, AI automation or infrastructure projects; use AMC language for updates and support.</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Sales tools.</w:t>
      </w:r>
      <w:r>
        <w:rPr>
          <w:rFonts w:ascii="Arial" w:cs="Arial" w:eastAsia="Arial" w:hAnsi="Arial"/>
          <w:b w:val="false"/>
          <w:bCs w:val="false"/>
          <w:sz w:val="20"/>
          <w:szCs w:val="20"/>
        </w:rPr>
        <w:t xml:space="preserve"> One demo environment per industry with realistic Arabic and English sample data; a one-page brochure in both languages; a simple savings calculator.</w:t>
      </w:r>
    </w:p>
    <w:p>
      <w:pPr>
        <w:pStyle w:val="Heading1"/>
        <w:pageBreakBefore/>
      </w:pPr>
      <w:r>
        <w:rPr>
          <w:rFonts w:ascii="Arial" w:cs="Arial" w:eastAsia="Arial" w:hAnsi="Arial"/>
        </w:rPr>
        <w:t xml:space="preserve">13. Assumptions, Constraints, Dependencies</w:t>
      </w:r>
    </w:p>
    <w:p>
      <w:pPr>
        <w:pStyle w:val="Heading3"/>
        <w:keepNext/>
      </w:pPr>
      <w:r>
        <w:rPr>
          <w:rFonts w:ascii="Arial" w:cs="Arial" w:eastAsia="Arial" w:hAnsi="Arial"/>
        </w:rPr>
        <w:t xml:space="preserve">Assumptions</w:t>
      </w:r>
    </w:p>
    <w:p>
      <w:pPr>
        <w:pStyle w:val="ListParagraph"/>
        <w:numPr>
          <w:ilvl w:val="0"/>
          <w:numId w:val="2"/>
        </w:numPr>
        <w:spacing w:after="40" w:before="20" w:line="264"/>
      </w:pPr>
      <w:r>
        <w:rPr>
          <w:rFonts w:ascii="Arial" w:cs="Arial" w:eastAsia="Arial" w:hAnsi="Arial"/>
          <w:b w:val="false"/>
          <w:bCs w:val="false"/>
          <w:sz w:val="20"/>
          <w:szCs w:val="20"/>
        </w:rPr>
        <w:t xml:space="preserve">Target businesses will accept a cloud service for contract metadata and scanned copies, provided security and confidentiality are clear.</w:t>
      </w:r>
    </w:p>
    <w:p>
      <w:pPr>
        <w:pStyle w:val="ListParagraph"/>
        <w:numPr>
          <w:ilvl w:val="0"/>
          <w:numId w:val="2"/>
        </w:numPr>
        <w:spacing w:after="40" w:before="20" w:line="264"/>
      </w:pPr>
      <w:r>
        <w:rPr>
          <w:rFonts w:ascii="Arial" w:cs="Arial" w:eastAsia="Arial" w:hAnsi="Arial"/>
          <w:b w:val="false"/>
          <w:bCs w:val="false"/>
          <w:sz w:val="20"/>
          <w:szCs w:val="20"/>
        </w:rPr>
        <w:t xml:space="preserve">Clients can supply their existing contract list in Excel or paper for import.</w:t>
      </w:r>
    </w:p>
    <w:p>
      <w:pPr>
        <w:pStyle w:val="ListParagraph"/>
        <w:numPr>
          <w:ilvl w:val="0"/>
          <w:numId w:val="2"/>
        </w:numPr>
        <w:spacing w:after="40" w:before="20" w:line="264"/>
      </w:pPr>
      <w:r>
        <w:rPr>
          <w:rFonts w:ascii="Arial" w:cs="Arial" w:eastAsia="Arial" w:hAnsi="Arial"/>
          <w:b w:val="false"/>
          <w:bCs w:val="false"/>
          <w:sz w:val="20"/>
          <w:szCs w:val="20"/>
        </w:rPr>
        <w:t xml:space="preserve">IVS builds the product with AI assistance and can add programmers later when cash flow allows.</w:t>
      </w:r>
    </w:p>
    <w:p>
      <w:pPr>
        <w:pStyle w:val="ListParagraph"/>
        <w:numPr>
          <w:ilvl w:val="0"/>
          <w:numId w:val="2"/>
        </w:numPr>
        <w:spacing w:after="40" w:before="20" w:line="264"/>
      </w:pPr>
      <w:r>
        <w:rPr>
          <w:rFonts w:ascii="Arial" w:cs="Arial" w:eastAsia="Arial" w:hAnsi="Arial"/>
          <w:b w:val="false"/>
          <w:bCs w:val="false"/>
          <w:sz w:val="20"/>
          <w:szCs w:val="20"/>
        </w:rPr>
        <w:t xml:space="preserve">A reliable email service and the chosen cloud region are available from Kuwait.</w:t>
      </w:r>
    </w:p>
    <w:p>
      <w:pPr>
        <w:pStyle w:val="Heading3"/>
        <w:keepNext/>
      </w:pPr>
      <w:r>
        <w:rPr>
          <w:rFonts w:ascii="Arial" w:cs="Arial" w:eastAsia="Arial" w:hAnsi="Arial"/>
        </w:rPr>
        <w:t xml:space="preserve">Constraints</w:t>
      </w:r>
    </w:p>
    <w:p>
      <w:pPr>
        <w:pStyle w:val="ListParagraph"/>
        <w:numPr>
          <w:ilvl w:val="0"/>
          <w:numId w:val="2"/>
        </w:numPr>
        <w:spacing w:after="40" w:before="20" w:line="264"/>
      </w:pPr>
      <w:r>
        <w:rPr>
          <w:rFonts w:ascii="Arial" w:cs="Arial" w:eastAsia="Arial" w:hAnsi="Arial"/>
          <w:b w:val="false"/>
          <w:bCs w:val="false"/>
          <w:sz w:val="20"/>
          <w:szCs w:val="20"/>
        </w:rPr>
        <w:t xml:space="preserve">Limited cash: the build must be small, staged and revenue-led.</w:t>
      </w:r>
    </w:p>
    <w:p>
      <w:pPr>
        <w:pStyle w:val="ListParagraph"/>
        <w:numPr>
          <w:ilvl w:val="0"/>
          <w:numId w:val="2"/>
        </w:numPr>
        <w:spacing w:after="40" w:before="20" w:line="264"/>
      </w:pPr>
      <w:r>
        <w:rPr>
          <w:rFonts w:ascii="Arial" w:cs="Arial" w:eastAsia="Arial" w:hAnsi="Arial"/>
          <w:b w:val="false"/>
          <w:bCs w:val="false"/>
          <w:sz w:val="20"/>
          <w:szCs w:val="20"/>
        </w:rPr>
        <w:t xml:space="preserve">Single-person product ownership: scope discipline is essential.</w:t>
      </w:r>
    </w:p>
    <w:p>
      <w:pPr>
        <w:pStyle w:val="ListParagraph"/>
        <w:numPr>
          <w:ilvl w:val="0"/>
          <w:numId w:val="2"/>
        </w:numPr>
        <w:spacing w:after="40" w:before="20" w:line="264"/>
      </w:pPr>
      <w:r>
        <w:rPr>
          <w:rFonts w:ascii="Arial" w:cs="Arial" w:eastAsia="Arial" w:hAnsi="Arial"/>
          <w:b w:val="false"/>
          <w:bCs w:val="false"/>
          <w:sz w:val="20"/>
          <w:szCs w:val="20"/>
        </w:rPr>
        <w:t xml:space="preserve">Arabic content quality needs review by a native Arabic speaker, ideally with legal vocabulary experience.</w:t>
      </w:r>
    </w:p>
    <w:p>
      <w:pPr>
        <w:pStyle w:val="ListParagraph"/>
        <w:numPr>
          <w:ilvl w:val="0"/>
          <w:numId w:val="2"/>
        </w:numPr>
        <w:spacing w:after="40" w:before="20" w:line="264"/>
      </w:pPr>
      <w:r>
        <w:rPr>
          <w:rFonts w:ascii="Arial" w:cs="Arial" w:eastAsia="Arial" w:hAnsi="Arial"/>
          <w:b w:val="false"/>
          <w:bCs w:val="false"/>
          <w:sz w:val="20"/>
          <w:szCs w:val="20"/>
        </w:rPr>
        <w:t xml:space="preserve">The foreign partnership under discussion (US/German company) must not create rights over the CGMS software or brand.</w:t>
      </w:r>
    </w:p>
    <w:p>
      <w:pPr>
        <w:pStyle w:val="Heading3"/>
        <w:keepNext/>
      </w:pPr>
      <w:r>
        <w:rPr>
          <w:rFonts w:ascii="Arial" w:cs="Arial" w:eastAsia="Arial" w:hAnsi="Arial"/>
        </w:rPr>
        <w:t xml:space="preserve">Dependencies</w:t>
      </w:r>
    </w:p>
    <w:p>
      <w:pPr>
        <w:pStyle w:val="ListParagraph"/>
        <w:numPr>
          <w:ilvl w:val="0"/>
          <w:numId w:val="2"/>
        </w:numPr>
        <w:spacing w:after="40" w:before="20" w:line="264"/>
      </w:pPr>
      <w:r>
        <w:rPr>
          <w:rFonts w:ascii="Arial" w:cs="Arial" w:eastAsia="Arial" w:hAnsi="Arial"/>
          <w:b w:val="false"/>
          <w:bCs w:val="false"/>
          <w:sz w:val="20"/>
          <w:szCs w:val="20"/>
        </w:rPr>
        <w:t xml:space="preserve">Choice of brand name, domain name and company entity that will contract with clients.</w:t>
      </w:r>
    </w:p>
    <w:p>
      <w:pPr>
        <w:pStyle w:val="ListParagraph"/>
        <w:numPr>
          <w:ilvl w:val="0"/>
          <w:numId w:val="2"/>
        </w:numPr>
        <w:spacing w:after="40" w:before="20" w:line="264"/>
      </w:pPr>
      <w:r>
        <w:rPr>
          <w:rFonts w:ascii="Arial" w:cs="Arial" w:eastAsia="Arial" w:hAnsi="Arial"/>
          <w:b w:val="false"/>
          <w:bCs w:val="false"/>
          <w:sz w:val="20"/>
          <w:szCs w:val="20"/>
        </w:rPr>
        <w:t xml:space="preserve">Cloud account (AWS), email-sending service, payment collection method for subscriptions.</w:t>
      </w:r>
    </w:p>
    <w:p>
      <w:pPr>
        <w:pStyle w:val="ListParagraph"/>
        <w:numPr>
          <w:ilvl w:val="0"/>
          <w:numId w:val="2"/>
        </w:numPr>
        <w:spacing w:after="40" w:before="20" w:line="264"/>
      </w:pPr>
      <w:r>
        <w:rPr>
          <w:rFonts w:ascii="Arial" w:cs="Arial" w:eastAsia="Arial" w:hAnsi="Arial"/>
          <w:b w:val="false"/>
          <w:bCs w:val="false"/>
          <w:sz w:val="20"/>
          <w:szCs w:val="20"/>
        </w:rPr>
        <w:t xml:space="preserve">Lawyer review of the SaaS agreement, privacy terms and the written arrangement with the host company.</w:t>
      </w:r>
    </w:p>
    <w:p>
      <w:pPr>
        <w:pStyle w:val="ListParagraph"/>
        <w:numPr>
          <w:ilvl w:val="0"/>
          <w:numId w:val="2"/>
        </w:numPr>
        <w:spacing w:after="40" w:before="20" w:line="264"/>
      </w:pPr>
      <w:r>
        <w:rPr>
          <w:rFonts w:ascii="Arial" w:cs="Arial" w:eastAsia="Arial" w:hAnsi="Arial"/>
          <w:b w:val="false"/>
          <w:bCs w:val="false"/>
          <w:sz w:val="20"/>
          <w:szCs w:val="20"/>
        </w:rPr>
        <w:t xml:space="preserve">Three design-partner clients.</w:t>
      </w:r>
    </w:p>
    <w:p>
      <w:pPr>
        <w:pStyle w:val="Heading1"/>
        <w:pageBreakBefore/>
      </w:pPr>
      <w:r>
        <w:rPr>
          <w:rFonts w:ascii="Arial" w:cs="Arial" w:eastAsia="Arial" w:hAnsi="Arial"/>
        </w:rPr>
        <w:t xml:space="preserve">14.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060"/>
        <w:gridCol w:w="1060"/>
        <w:gridCol w:w="4434"/>
      </w:tblGrid>
      <w:tr>
        <w:trPr>
          <w:cantSplit/>
          <w:tblHeader/>
        </w:trPr>
        <w:tc>
          <w:tcPr>
            <w:tcW w:type="dxa" w:w="308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Risk</w:t>
            </w:r>
          </w:p>
        </w:tc>
        <w:tc>
          <w:tcPr>
            <w:tcW w:type="dxa" w:w="1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Likelihood</w:t>
            </w:r>
          </w:p>
        </w:tc>
        <w:tc>
          <w:tcPr>
            <w:tcW w:type="dxa" w:w="1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Impact</w:t>
            </w:r>
          </w:p>
        </w:tc>
        <w:tc>
          <w:tcPr>
            <w:tcW w:type="dxa" w:w="44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Mitigation</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Building too much before first sale</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Phase 1 is deliberately small; sell the Health Check before building Phase 2; stop-go review after pilots.</w:t>
            </w:r>
          </w:p>
        </w:tc>
      </w:tr>
      <w:tr>
        <w:trPr>
          <w:cantSplit/>
        </w:trPr>
        <w:tc>
          <w:tcPr>
            <w:tcW w:type="dxa" w:w="308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Cross-client data exposure</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Low</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Critical</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Tenant filtering at framework level, automated isolation tests on every release, DB-level protection added in Phase 2, no IVS routine access.</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Poor Arabic quality or layout bugs</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Native reviewer; Arabic-first test cases; RTL screenshots in QA.</w:t>
            </w:r>
          </w:p>
        </w:tc>
      </w:tr>
      <w:tr>
        <w:trPr>
          <w:cantSplit/>
        </w:trPr>
        <w:tc>
          <w:tcPr>
            <w:tcW w:type="dxa" w:w="308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Alert failures (missed or duplicate emails)</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Critical</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Idempotent daily engine, delivery log, retry, admin visibility of failed sends, monitoring.</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Clients reluctant to upload contracts to cloud</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Clear security statement; allow metadata-only use; encryption; confidentiality levels.</w:t>
            </w:r>
          </w:p>
        </w:tc>
      </w:tr>
      <w:tr>
        <w:trPr>
          <w:cantSplit/>
        </w:trPr>
        <w:tc>
          <w:tcPr>
            <w:tcW w:type="dxa" w:w="308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Low willingness to pay</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Discovery conversations; pilot pricing; services revenue; viewer seats.</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Founder capacity (sales, delivery, three other ventures)</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One focus per quarter; staged hiring; Claude-assisted build; use team members for ERP delivery.</w:t>
            </w:r>
          </w:p>
        </w:tc>
      </w:tr>
      <w:tr>
        <w:trPr>
          <w:cantSplit/>
        </w:trPr>
        <w:tc>
          <w:tcPr>
            <w:tcW w:type="dxa" w:w="308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Regulatory / data-protection duties</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Lawyer review of privacy terms and applicable telecom / data-protection rules before first client.</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Ownership dispute with host company or partners</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Written IP ownership clause; keep code in IVS-owned repository and cloud account.</w:t>
            </w:r>
          </w:p>
        </w:tc>
      </w:tr>
      <w:tr>
        <w:trPr>
          <w:cantSplit/>
        </w:trPr>
        <w:tc>
          <w:tcPr>
            <w:tcW w:type="dxa" w:w="308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Competition from ERP contract modules, global tools, spreadsheets</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Medium</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Differentiate on Arabic, local practice, price, speed of onboarding.</w:t>
            </w:r>
          </w:p>
        </w:tc>
      </w:tr>
      <w:tr>
        <w:trPr>
          <w:cantSplit/>
        </w:trPr>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Key-person dependency</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High</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Documentation (these three documents), source code in IVS-owned repository, regular backups.</w:t>
            </w:r>
          </w:p>
        </w:tc>
      </w:tr>
    </w:tbl>
    <w:p>
      <w:pPr>
        <w:spacing w:after="100" w:before="0"/>
      </w:pPr>
    </w:p>
    <w:p>
      <w:pPr>
        <w:pStyle w:val="Heading1"/>
        <w:pageBreakBefore/>
      </w:pPr>
      <w:r>
        <w:rPr>
          <w:rFonts w:ascii="Arial" w:cs="Arial" w:eastAsia="Arial" w:hAnsi="Arial"/>
        </w:rPr>
        <w:t xml:space="preserve">15. Legal &amp; Compliance Considerations</w:t>
      </w:r>
    </w:p>
    <w:p>
      <w:pPr>
        <w:spacing w:after="100" w:before="60" w:line="276"/>
      </w:pPr>
      <w:r>
        <w:rPr>
          <w:rFonts w:ascii="Arial" w:cs="Arial" w:eastAsia="Arial" w:hAnsi="Arial"/>
          <w:b w:val="false"/>
          <w:bCs w:val="false"/>
          <w:sz w:val="20"/>
          <w:szCs w:val="20"/>
        </w:rPr>
        <w:t xml:space="preserve">These are items to put in front of a Kuwaiti lawyer. They are listed so nothing is forgotten, not as conclusions.</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SaaS agreement and terms of service</w:t>
      </w:r>
      <w:r>
        <w:rPr>
          <w:rFonts w:ascii="Arial" w:cs="Arial" w:eastAsia="Arial" w:hAnsi="Arial"/>
          <w:b w:val="false"/>
          <w:bCs w:val="false"/>
          <w:sz w:val="20"/>
          <w:szCs w:val="20"/>
        </w:rPr>
        <w:t xml:space="preserve"> for clients: scope, uptime target, support, liability limits, data ownership, export and deletion on exit, governing law and language.</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Privacy and data protection:</w:t>
      </w:r>
      <w:r>
        <w:rPr>
          <w:rFonts w:ascii="Arial" w:cs="Arial" w:eastAsia="Arial" w:hAnsi="Arial"/>
          <w:b w:val="false"/>
          <w:bCs w:val="false"/>
          <w:sz w:val="20"/>
          <w:szCs w:val="20"/>
        </w:rPr>
        <w:t xml:space="preserve"> what personal data is held (names, Civil IDs, contact details), where it is stored, and applicable Kuwaiti data-protection and telecommunications-regulator rules for service providers.</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Electronic records and signatures:</w:t>
      </w:r>
      <w:r>
        <w:rPr>
          <w:rFonts w:ascii="Arial" w:cs="Arial" w:eastAsia="Arial" w:hAnsi="Arial"/>
          <w:b w:val="false"/>
          <w:bCs w:val="false"/>
          <w:sz w:val="20"/>
          <w:szCs w:val="20"/>
        </w:rPr>
        <w:t xml:space="preserve"> Kuwait has an electronic-transactions law; confirm how far scanned or e-signed contracts are accepted as evidence. CGMS v1 stores copies and does not claim legal effect.</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Which company sells CGMS:</w:t>
      </w:r>
      <w:r>
        <w:rPr>
          <w:rFonts w:ascii="Arial" w:cs="Arial" w:eastAsia="Arial" w:hAnsi="Arial"/>
          <w:b w:val="false"/>
          <w:bCs w:val="false"/>
          <w:sz w:val="20"/>
          <w:szCs w:val="20"/>
        </w:rPr>
        <w:t xml:space="preserve"> the Kuwaiti arrangement (51/49 entity if the trial succeeds) or another entity. Contracts, invoices and licences must be issued by a properly licensed entity.</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Intellectual property:</w:t>
      </w:r>
      <w:r>
        <w:rPr>
          <w:rFonts w:ascii="Arial" w:cs="Arial" w:eastAsia="Arial" w:hAnsi="Arial"/>
          <w:b w:val="false"/>
          <w:bCs w:val="false"/>
          <w:sz w:val="20"/>
          <w:szCs w:val="20"/>
        </w:rPr>
        <w:t xml:space="preserve"> a written statement that CGMS software, design and brand belong to IVS and its owner, and that the host company obtains no rights from providing the office. Same check for any franchise or partnership with the US/German company.</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Open-source licences:</w:t>
      </w:r>
      <w:r>
        <w:rPr>
          <w:rFonts w:ascii="Arial" w:cs="Arial" w:eastAsia="Arial" w:hAnsi="Arial"/>
          <w:b w:val="false"/>
          <w:bCs w:val="false"/>
          <w:sz w:val="20"/>
          <w:szCs w:val="20"/>
        </w:rPr>
        <w:t xml:space="preserve"> keep a list of third-party libraries and their licences.</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Arabic legal wording:</w:t>
      </w:r>
      <w:r>
        <w:rPr>
          <w:rFonts w:ascii="Arial" w:cs="Arial" w:eastAsia="Arial" w:hAnsi="Arial"/>
          <w:b w:val="false"/>
          <w:bCs w:val="false"/>
          <w:sz w:val="20"/>
          <w:szCs w:val="20"/>
        </w:rPr>
        <w:t xml:space="preserve"> have default email templates and the Arabic interface reviewed.</w:t>
      </w:r>
    </w:p>
    <w:p>
      <w:pPr>
        <w:pStyle w:val="Heading1"/>
        <w:pageBreakBefore/>
      </w:pPr>
      <w:r>
        <w:rPr>
          <w:rFonts w:ascii="Arial" w:cs="Arial" w:eastAsia="Arial" w:hAnsi="Arial"/>
        </w:rPr>
        <w:t xml:space="preserve">16. Roadmap &amp; Delivery Approach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734"/>
        <w:gridCol w:w="3662"/>
        <w:gridCol w:w="2122"/>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Stage</w:t>
            </w:r>
          </w:p>
        </w:tc>
        <w:tc>
          <w:tcPr>
            <w:tcW w:type="dxa" w:w="17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Indicative duration</w:t>
            </w:r>
          </w:p>
        </w:tc>
        <w:tc>
          <w:tcPr>
            <w:tcW w:type="dxa" w:w="36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Output</w:t>
            </w:r>
          </w:p>
        </w:tc>
        <w:tc>
          <w:tcPr>
            <w:tcW w:type="dxa" w:w="212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Exit gate</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0. Discovery and design</w:t>
            </w:r>
          </w:p>
        </w:tc>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3–4 weeks</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Signed BRD, FSD, Schema; 10 discovery conversations; screen sketches; Arabic term list; brand name; cloud and email accounts.</w:t>
            </w:r>
          </w:p>
        </w:tc>
        <w:tc>
          <w:tcPr>
            <w:tcW w:type="dxa" w:w="21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You approve scope; at least 3 design partners named.</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 Build Phase 1</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12–16 weeks</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Working system on staging, built in 2-week sprints in the order listed in the FSD.</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All Phase 1 acceptance criteria pass in staging.</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1b. Pilot</w:t>
            </w:r>
          </w:p>
        </w:tc>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4–6 weeks (overlaps)</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 design partners live with real data.</w:t>
            </w:r>
          </w:p>
        </w:tc>
        <w:tc>
          <w:tcPr>
            <w:tcW w:type="dxa" w:w="21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Pilot feedback reviewed; no critical defects.</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 Build Phase 2</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10–14 weeks</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Lifecycle and control features; all packs; remaining reports.</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Paying clients using Phase 1 successfully.</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 Scale</w:t>
            </w:r>
          </w:p>
        </w:tc>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Ongoing</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Selected from Phase 3 list by customer demand.</w:t>
            </w:r>
          </w:p>
        </w:tc>
        <w:tc>
          <w:tcPr>
            <w:tcW w:type="dxa" w:w="21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Reviewed quarterly.</w:t>
            </w:r>
          </w:p>
        </w:tc>
      </w:tr>
    </w:tbl>
    <w:p>
      <w:pPr>
        <w:spacing w:after="100" w:before="0"/>
      </w:pPr>
    </w:p>
    <w:p>
      <w:pPr>
        <w:pBdr>
          <w:left w:val="single" w:color="2E75B6" w:sz="24" w:space="8"/>
        </w:pBdr>
        <w:shd w:fill="DEEAF6" w:color="auto" w:val="clear"/>
        <w:spacing w:after="140" w:before="100" w:line="276"/>
        <w:ind w:left="160" w:right="80"/>
      </w:pPr>
      <w:r>
        <w:rPr>
          <w:rFonts w:ascii="Arial" w:cs="Arial" w:eastAsia="Arial" w:hAnsi="Arial"/>
          <w:b w:val="false"/>
          <w:bCs w:val="false"/>
          <w:sz w:val="19"/>
          <w:szCs w:val="19"/>
        </w:rPr>
        <w:t xml:space="preserve">Durations assume part-time effort by one founder working with Claude, and will need recalibrating after the first two sprints. They are planning estimates, not commitments.</w:t>
      </w:r>
    </w:p>
    <w:p>
      <w:pPr>
        <w:spacing w:after="100" w:before="60" w:line="276"/>
      </w:pPr>
      <w:r>
        <w:rPr>
          <w:rFonts w:ascii="Arial" w:cs="Arial" w:eastAsia="Arial" w:hAnsi="Arial"/>
          <w:b w:val="false"/>
          <w:bCs w:val="false"/>
          <w:sz w:val="20"/>
          <w:szCs w:val="20"/>
        </w:rPr>
        <w:t xml:space="preserve">The Practical SDLC draft is retained: requirements, design, development, testing, deployment, maintenance. Development proceeds in short sprints, with the owner acting as product owner and tester, and with unit tests written alongside the code.</w:t>
      </w:r>
    </w:p>
    <w:p>
      <w:pPr>
        <w:pStyle w:val="Heading1"/>
        <w:pageBreakBefore/>
      </w:pPr>
      <w:r>
        <w:rPr>
          <w:rFonts w:ascii="Arial" w:cs="Arial" w:eastAsia="Arial" w:hAnsi="Arial"/>
        </w:rPr>
        <w:t xml:space="preserve">17. Acceptance &amp; Sign-off</w:t>
      </w:r>
    </w:p>
    <w:p>
      <w:pPr>
        <w:pStyle w:val="Heading3"/>
        <w:keepNext/>
      </w:pPr>
      <w:r>
        <w:rPr>
          <w:rFonts w:ascii="Arial" w:cs="Arial" w:eastAsia="Arial" w:hAnsi="Arial"/>
        </w:rPr>
        <w:t xml:space="preserve">Business acceptance criteria for Phase 1</w:t>
      </w:r>
    </w:p>
    <w:p>
      <w:pPr>
        <w:pStyle w:val="ListParagraph"/>
        <w:numPr>
          <w:ilvl w:val="0"/>
          <w:numId w:val="4"/>
        </w:numPr>
        <w:spacing w:after="40" w:before="20" w:line="264"/>
      </w:pPr>
      <w:r>
        <w:rPr>
          <w:rFonts w:ascii="Arial" w:cs="Arial" w:eastAsia="Arial" w:hAnsi="Arial"/>
          <w:b w:val="false"/>
          <w:bCs w:val="false"/>
          <w:sz w:val="20"/>
          <w:szCs w:val="20"/>
        </w:rPr>
        <w:t xml:space="preserve">A new client company can be created by the Super Admin, with an industry pack and seats, and the client admin can log in within the same day.</w:t>
      </w:r>
    </w:p>
    <w:p>
      <w:pPr>
        <w:pStyle w:val="ListParagraph"/>
        <w:numPr>
          <w:ilvl w:val="0"/>
          <w:numId w:val="4"/>
        </w:numPr>
        <w:spacing w:after="40" w:before="20" w:line="264"/>
      </w:pPr>
      <w:r>
        <w:rPr>
          <w:rFonts w:ascii="Arial" w:cs="Arial" w:eastAsia="Arial" w:hAnsi="Arial"/>
          <w:b w:val="false"/>
          <w:bCs w:val="false"/>
          <w:sz w:val="20"/>
          <w:szCs w:val="20"/>
        </w:rPr>
        <w:t xml:space="preserve">A user from one client cannot see, search, export or download anything belonging to another client (verified by an automated test suite and a manual test).</w:t>
      </w:r>
    </w:p>
    <w:p>
      <w:pPr>
        <w:pStyle w:val="ListParagraph"/>
        <w:numPr>
          <w:ilvl w:val="0"/>
          <w:numId w:val="4"/>
        </w:numPr>
        <w:spacing w:after="40" w:before="20" w:line="264"/>
      </w:pPr>
      <w:r>
        <w:rPr>
          <w:rFonts w:ascii="Arial" w:cs="Arial" w:eastAsia="Arial" w:hAnsi="Arial"/>
          <w:b w:val="false"/>
          <w:bCs w:val="false"/>
          <w:sz w:val="20"/>
          <w:szCs w:val="20"/>
        </w:rPr>
        <w:t xml:space="preserve">A pilot client’s existing parties, contracts, guarantees and cheques can be imported from Excel, with a clear report of rejected rows.</w:t>
      </w:r>
    </w:p>
    <w:p>
      <w:pPr>
        <w:pStyle w:val="ListParagraph"/>
        <w:numPr>
          <w:ilvl w:val="0"/>
          <w:numId w:val="4"/>
        </w:numPr>
        <w:spacing w:after="40" w:before="20" w:line="264"/>
      </w:pPr>
      <w:r>
        <w:rPr>
          <w:rFonts w:ascii="Arial" w:cs="Arial" w:eastAsia="Arial" w:hAnsi="Arial"/>
          <w:b w:val="false"/>
          <w:bCs w:val="false"/>
          <w:sz w:val="20"/>
          <w:szCs w:val="20"/>
        </w:rPr>
        <w:t xml:space="preserve">Alerts for contract expiry, notice deadline, guarantee expiry, cheque due and document expiry fire on the correct dates (tested with simulated dates), reach the right people, and close automatically when the issue is resolved.</w:t>
      </w:r>
    </w:p>
    <w:p>
      <w:pPr>
        <w:pStyle w:val="ListParagraph"/>
        <w:numPr>
          <w:ilvl w:val="0"/>
          <w:numId w:val="4"/>
        </w:numPr>
        <w:spacing w:after="40" w:before="20" w:line="264"/>
      </w:pPr>
      <w:r>
        <w:rPr>
          <w:rFonts w:ascii="Arial" w:cs="Arial" w:eastAsia="Arial" w:hAnsi="Arial"/>
          <w:b w:val="false"/>
          <w:bCs w:val="false"/>
          <w:sz w:val="20"/>
          <w:szCs w:val="20"/>
        </w:rPr>
        <w:t xml:space="preserve">Every screen, email and report can be used in Arabic with correct right-to-left layout; an Arabic reviewer has signed off.</w:t>
      </w:r>
    </w:p>
    <w:p>
      <w:pPr>
        <w:pStyle w:val="ListParagraph"/>
        <w:numPr>
          <w:ilvl w:val="0"/>
          <w:numId w:val="4"/>
        </w:numPr>
        <w:spacing w:after="40" w:before="20" w:line="264"/>
      </w:pPr>
      <w:r>
        <w:rPr>
          <w:rFonts w:ascii="Arial" w:cs="Arial" w:eastAsia="Arial" w:hAnsi="Arial"/>
          <w:b w:val="false"/>
          <w:bCs w:val="false"/>
          <w:sz w:val="20"/>
          <w:szCs w:val="20"/>
        </w:rPr>
        <w:t xml:space="preserve">All money values are held and shown in KWD with three decimals, and calculations match a hand-checked sample.</w:t>
      </w:r>
    </w:p>
    <w:p>
      <w:pPr>
        <w:pStyle w:val="ListParagraph"/>
        <w:numPr>
          <w:ilvl w:val="0"/>
          <w:numId w:val="4"/>
        </w:numPr>
        <w:spacing w:after="40" w:before="20" w:line="264"/>
      </w:pPr>
      <w:r>
        <w:rPr>
          <w:rFonts w:ascii="Arial" w:cs="Arial" w:eastAsia="Arial" w:hAnsi="Arial"/>
          <w:b w:val="false"/>
          <w:bCs w:val="false"/>
          <w:sz w:val="20"/>
          <w:szCs w:val="20"/>
        </w:rPr>
        <w:t xml:space="preserve">A deleted or edited record is traceable in the audit log with who, when, before and after.</w:t>
      </w:r>
    </w:p>
    <w:p>
      <w:pPr>
        <w:pStyle w:val="ListParagraph"/>
        <w:numPr>
          <w:ilvl w:val="0"/>
          <w:numId w:val="4"/>
        </w:numPr>
        <w:spacing w:after="40" w:before="20" w:line="264"/>
      </w:pPr>
      <w:r>
        <w:rPr>
          <w:rFonts w:ascii="Arial" w:cs="Arial" w:eastAsia="Arial" w:hAnsi="Arial"/>
          <w:b w:val="false"/>
          <w:bCs w:val="false"/>
          <w:sz w:val="20"/>
          <w:szCs w:val="20"/>
        </w:rPr>
        <w:t xml:space="preserve">A backup can be restored in a test environment and the restored data checked.</w:t>
      </w:r>
    </w:p>
    <w:p>
      <w:pPr>
        <w:pStyle w:val="ListParagraph"/>
        <w:numPr>
          <w:ilvl w:val="0"/>
          <w:numId w:val="4"/>
        </w:numPr>
        <w:spacing w:after="40" w:before="20" w:line="264"/>
      </w:pPr>
      <w:r>
        <w:rPr>
          <w:rFonts w:ascii="Arial" w:cs="Arial" w:eastAsia="Arial" w:hAnsi="Arial"/>
          <w:b w:val="false"/>
          <w:bCs w:val="false"/>
          <w:sz w:val="20"/>
          <w:szCs w:val="20"/>
        </w:rPr>
        <w:t xml:space="preserve">Three pilot users per client are trained, with a short user guide in both languages.</w:t>
      </w:r>
    </w:p>
    <w:p>
      <w:pPr>
        <w:pStyle w:val="Heading3"/>
        <w:keepNext/>
      </w:pPr>
      <w:r>
        <w:rPr>
          <w:rFonts w:ascii="Arial" w:cs="Arial" w:eastAsia="Arial" w:hAnsi="Arial"/>
        </w:rPr>
        <w:t xml:space="preserve">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2409"/>
        <w:gridCol w:w="1447"/>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Role</w:t>
            </w:r>
          </w:p>
        </w:tc>
        <w:tc>
          <w:tcPr>
            <w:tcW w:type="dxa" w:w="289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Name</w:t>
            </w:r>
          </w:p>
        </w:tc>
        <w:tc>
          <w:tcPr>
            <w:tcW w:type="dxa" w:w="24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Signature</w:t>
            </w:r>
          </w:p>
        </w:tc>
        <w:tc>
          <w:tcPr>
            <w:tcW w:type="dxa" w:w="144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Date</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Product Owner / CEO, IVS</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Shahbaz Sheikh Alanam</w:t>
            </w:r>
          </w:p>
        </w:tc>
        <w:tc>
          <w:tcPr>
            <w:tcW w:type="dxa" w:w="2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p>
        </w:tc>
      </w:tr>
      <w:tr>
        <w:trPr>
          <w:cantSplit/>
        </w:trPr>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Design partner representative</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p>
        </w:tc>
        <w:tc>
          <w:tcPr>
            <w:tcW w:type="dxa" w:w="24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Technical reviewer</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p>
        </w:tc>
        <w:tc>
          <w:tcPr>
            <w:tcW w:type="dxa" w:w="2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p>
        </w:tc>
      </w:tr>
    </w:tbl>
    <w:p>
      <w:pPr>
        <w:spacing w:after="100" w:before="0"/>
      </w:pPr>
    </w:p>
    <w:p>
      <w:pPr>
        <w:pStyle w:val="Heading1"/>
        <w:pageBreakBefore/>
      </w:pPr>
      <w:r>
        <w:rPr>
          <w:rFonts w:ascii="Arial" w:cs="Arial" w:eastAsia="Arial" w:hAnsi="Arial"/>
        </w:rPr>
        <w:t xml:space="preserve">18. Decisions Needed From the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3662"/>
        <w:gridCol w:w="5495"/>
      </w:tblGrid>
      <w:tr>
        <w:trPr>
          <w:cantSplit/>
          <w:tblHeader/>
        </w:trPr>
        <w:tc>
          <w:tcPr>
            <w:tcW w:type="dxa" w:w="48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w:t>
            </w:r>
          </w:p>
        </w:tc>
        <w:tc>
          <w:tcPr>
            <w:tcW w:type="dxa" w:w="36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Decision</w:t>
            </w:r>
          </w:p>
        </w:tc>
        <w:tc>
          <w:tcPr>
            <w:tcW w:type="dxa" w:w="549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My suggestion</w:t>
            </w:r>
          </w:p>
        </w:tc>
      </w:tr>
      <w:tr>
        <w:trPr>
          <w:cantSplit/>
        </w:trPr>
        <w:tc>
          <w:tcPr>
            <w:tcW w:type="dxa" w:w="48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Product brand name and domain</w:t>
            </w:r>
          </w:p>
        </w:tc>
        <w:tc>
          <w:tcPr>
            <w:tcW w:type="dxa" w:w="54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Choose before the first pilot. A short, bilingual-friendly name; CGMS can remain a subtitle.</w:t>
            </w:r>
          </w:p>
        </w:tc>
      </w:tr>
      <w:tr>
        <w:trPr>
          <w:cantSplit/>
        </w:trPr>
        <w:tc>
          <w:tcPr>
            <w:tcW w:type="dxa" w:w="48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Which two industry packs ship in Phase 1</w:t>
            </w:r>
          </w:p>
        </w:tc>
        <w:tc>
          <w:tcPr>
            <w:tcW w:type="dxa" w:w="549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Services &amp; Contracting and Real Estate (closest to your network and the Alnibas setting), unless discovery points elsewhere.</w:t>
            </w:r>
          </w:p>
        </w:tc>
      </w:tr>
      <w:tr>
        <w:trPr>
          <w:cantSplit/>
        </w:trPr>
        <w:tc>
          <w:tcPr>
            <w:tcW w:type="dxa" w:w="48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Price per full user and viewer user; minimum annual fee; onboarding fee</w:t>
            </w:r>
          </w:p>
        </w:tc>
        <w:tc>
          <w:tcPr>
            <w:tcW w:type="dxa" w:w="54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Test KWD price points in the 10 discovery conversations before fixing.</w:t>
            </w:r>
          </w:p>
        </w:tc>
      </w:tr>
      <w:tr>
        <w:trPr>
          <w:cantSplit/>
        </w:trPr>
        <w:tc>
          <w:tcPr>
            <w:tcW w:type="dxa" w:w="48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4</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direction field (we pay / we receive) in Phase 1</w:t>
            </w:r>
          </w:p>
        </w:tc>
        <w:tc>
          <w:tcPr>
            <w:tcW w:type="dxa" w:w="549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Keep it. It is one field and makes real estate and A/C contracting work.</w:t>
            </w:r>
          </w:p>
        </w:tc>
      </w:tr>
      <w:tr>
        <w:trPr>
          <w:cantSplit/>
        </w:trPr>
        <w:tc>
          <w:tcPr>
            <w:tcW w:type="dxa" w:w="48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5</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Guarantee value higher than contract value: block or warn</w:t>
            </w:r>
          </w:p>
        </w:tc>
        <w:tc>
          <w:tcPr>
            <w:tcW w:type="dxa" w:w="54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Warn and require a reason (differs from Reconciled Schema, which blocked).</w:t>
            </w:r>
          </w:p>
        </w:tc>
      </w:tr>
      <w:tr>
        <w:trPr>
          <w:cantSplit/>
        </w:trPr>
        <w:tc>
          <w:tcPr>
            <w:tcW w:type="dxa" w:w="48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6</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Hosting region and email provider</w:t>
            </w:r>
          </w:p>
        </w:tc>
        <w:tc>
          <w:tcPr>
            <w:tcW w:type="dxa" w:w="549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Nearest AWS region to Kuwait and a transactional email service; verify availability at setup.</w:t>
            </w:r>
          </w:p>
        </w:tc>
      </w:tr>
      <w:tr>
        <w:trPr>
          <w:cantSplit/>
        </w:trPr>
        <w:tc>
          <w:tcPr>
            <w:tcW w:type="dxa" w:w="48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7</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Who reviews the Arabic text</w:t>
            </w:r>
          </w:p>
        </w:tc>
        <w:tc>
          <w:tcPr>
            <w:tcW w:type="dxa" w:w="54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 native Arabic speaker with business or legal vocabulary.</w:t>
            </w:r>
          </w:p>
        </w:tc>
      </w:tr>
      <w:tr>
        <w:trPr>
          <w:cantSplit/>
        </w:trPr>
        <w:tc>
          <w:tcPr>
            <w:tcW w:type="dxa" w:w="48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8</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Who will be design partners</w:t>
            </w:r>
          </w:p>
        </w:tc>
        <w:tc>
          <w:tcPr>
            <w:tcW w:type="dxa" w:w="549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Three companies from different domains.</w:t>
            </w:r>
          </w:p>
        </w:tc>
      </w:tr>
      <w:tr>
        <w:trPr>
          <w:cantSplit/>
        </w:trPr>
        <w:tc>
          <w:tcPr>
            <w:tcW w:type="dxa" w:w="48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9</w:t>
            </w:r>
          </w:p>
        </w:tc>
        <w:tc>
          <w:tcPr>
            <w:tcW w:type="dxa" w:w="36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Selling entity</w:t>
            </w:r>
          </w:p>
        </w:tc>
        <w:tc>
          <w:tcPr>
            <w:tcW w:type="dxa" w:w="54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Settle with your lawyer before the first invoice.</w:t>
            </w:r>
          </w:p>
        </w:tc>
      </w:tr>
    </w:tbl>
    <w:p>
      <w:pPr>
        <w:spacing w:after="100" w:before="0"/>
      </w:pPr>
    </w:p>
    <w:p>
      <w:pPr>
        <w:pStyle w:val="Heading1"/>
        <w:pageBreakBefore/>
      </w:pPr>
      <w:r>
        <w:rPr>
          <w:rFonts w:ascii="Arial" w:cs="Arial" w:eastAsia="Arial" w:hAnsi="Arial"/>
        </w:rPr>
        <w:t xml:space="preserve">Appendix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Term</w:t>
            </w:r>
          </w:p>
        </w:tc>
        <w:tc>
          <w:tcPr>
            <w:tcW w:type="dxa" w:w="732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Meaning</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Tenant / client</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 company that subscribes to CGMS. Its data is isolated from every other client.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Seat</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One user account allowed to log in under a subscription. Full seats can edit; Viewer seats are read-only.</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Party</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Any outside organisation or person on a contract: vendor, customer, tenant, landlord, subcontractor and so on.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Direction</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Whether the client pays under the contract (Payable), receives money (Receivable), or no money flows (Non-financial).</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Guarantee (LG)</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 written undertaking, usually by a bank, to pay if the applicant fails its obligations. In Arabic often called a letter of guarantee.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Received / Issued guarantee</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Received: the client holds a guarantee from a counterparty. Issued: the client has provided one.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Security cheque</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 cheque held as security rather than for immediate payment.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Post-dated cheque</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 cheque dated in the future, presented on or after that date.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Retention</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 percentage of each payment held back until work is accepted or defects period ends.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AMC</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Annual Maintenance Contract.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Notice deadline</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The last date to give notice of termination or non-renewal.</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Industry pack</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Starting configuration for a business domain.</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 rule</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 client-defined instruction: for this date type, tell these people, this many days before.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Hijri date</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Islamic lunar calendar date.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BRD / FSD</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Business Requirements Document (what and why) / Functional Specification Document (how it behaves).</w:t>
            </w:r>
          </w:p>
        </w:tc>
      </w:tr>
    </w:tbl>
    <w:p>
      <w:pPr>
        <w:spacing w:after="100" w:before="0"/>
      </w:pPr>
    </w:p>
    <w:p>
      <w:pPr>
        <w:pStyle w:val="Heading1"/>
        <w:pageBreakBefore/>
      </w:pPr>
      <w:r>
        <w:rPr>
          <w:rFonts w:ascii="Arial" w:cs="Arial" w:eastAsia="Arial" w:hAnsi="Arial"/>
        </w:rPr>
        <w:t xml:space="preserve">Appendix B. Decisions Log</w:t>
      </w:r>
    </w:p>
    <w:p>
      <w:pPr>
        <w:spacing w:after="100" w:before="60" w:line="276"/>
      </w:pPr>
      <w:r>
        <w:rPr>
          <w:rFonts w:ascii="Arial" w:cs="Arial" w:eastAsia="Arial" w:hAnsi="Arial"/>
          <w:b w:val="false"/>
          <w:bCs w:val="false"/>
          <w:sz w:val="20"/>
          <w:szCs w:val="20"/>
        </w:rPr>
        <w:t xml:space="preserve">Decisions confirmed by the owner on 3 October 2026 while preparing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505"/>
        <w:gridCol w:w="6266"/>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w:t>
            </w:r>
          </w:p>
        </w:tc>
        <w:tc>
          <w:tcPr>
            <w:tcW w:type="dxa" w:w="25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Topic</w:t>
            </w:r>
          </w:p>
        </w:tc>
        <w:tc>
          <w:tcPr>
            <w:tcW w:type="dxa" w:w="626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Decision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D-01</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Government clients</w:t>
            </w:r>
          </w:p>
        </w:tc>
        <w:tc>
          <w:tcPr>
            <w:tcW w:type="dxa" w:w="6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Excluded. Private-sector businesses only.</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D-02</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Countries and currency</w:t>
            </w:r>
          </w:p>
        </w:tc>
        <w:tc>
          <w:tcPr>
            <w:tcW w:type="dxa" w:w="626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Kuwait and KWD only for now. Other markets and currencies later.</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D-03</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structure</w:t>
            </w:r>
          </w:p>
        </w:tc>
        <w:tc>
          <w:tcPr>
            <w:tcW w:type="dxa" w:w="6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General contract structure; each business’s own policies handled by configuration.</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D-04</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Kuwait practice</w:t>
            </w:r>
          </w:p>
        </w:tc>
        <w:tc>
          <w:tcPr>
            <w:tcW w:type="dxa" w:w="626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Define and build in Kuwaiti practice (Section 9).</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D-05</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 rules</w:t>
            </w:r>
          </w:p>
        </w:tc>
        <w:tc>
          <w:tcPr>
            <w:tcW w:type="dxa" w:w="6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Configurable alert rule engine is part of the product.</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D-06</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Arabic</w:t>
            </w:r>
          </w:p>
        </w:tc>
        <w:tc>
          <w:tcPr>
            <w:tcW w:type="dxa" w:w="626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Right-to-left layout, bilingual PDF reports and Hijri display: agreed.</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D-07</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Industry flexibility</w:t>
            </w:r>
          </w:p>
        </w:tc>
        <w:tc>
          <w:tcPr>
            <w:tcW w:type="dxa" w:w="6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types, fields and lists configurable per client and per business domain.</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D-08</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Commercial model</w:t>
            </w:r>
          </w:p>
        </w:tc>
        <w:tc>
          <w:tcPr>
            <w:tcW w:type="dxa" w:w="626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Yearly subscription per user. IVS owner is the super user with full control of the platform.</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D-09</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Hosting</w:t>
            </w:r>
          </w:p>
        </w:tc>
        <w:tc>
          <w:tcPr>
            <w:tcW w:type="dxa" w:w="6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Cloud hosting (AWS focus); no government hosting requirement. Earlier “restricted foreign cloud” clause dropped.</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D-10</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Multi-client design</w:t>
            </w:r>
          </w:p>
        </w:tc>
        <w:tc>
          <w:tcPr>
            <w:tcW w:type="dxa" w:w="626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Retained, because the product is sold to many private clients. A shared database with strict separation is used.</w:t>
            </w:r>
          </w:p>
        </w:tc>
      </w:tr>
    </w:tbl>
    <w:p>
      <w:pPr>
        <w:spacing w:after="100" w:before="0"/>
      </w:pPr>
    </w:p>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International Valor Systems — Confidential   |   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CGMS – Business Requirements Document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International Valor Systems</dc:creator>
  <cp:lastModifiedBy>Un-named</cp:lastModifiedBy>
  <cp:revision>1</cp:revision>
  <dcterms:created xsi:type="dcterms:W3CDTF">2026-10-03T15:32:14.762Z</dcterms:created>
  <dcterms:modified xsi:type="dcterms:W3CDTF">2026-10-03T15:32:14.765Z</dcterms:modified>
</cp:coreProperties>
</file>

<file path=docProps/custom.xml><?xml version="1.0" encoding="utf-8"?>
<Properties xmlns="http://schemas.openxmlformats.org/officeDocument/2006/custom-properties" xmlns:vt="http://schemas.openxmlformats.org/officeDocument/2006/docPropsVTypes"/>
</file>