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10568" w14:textId="008644E2" w:rsidR="0096393F" w:rsidRPr="00646108" w:rsidRDefault="0096393F" w:rsidP="00646108">
      <w:pPr>
        <w:pStyle w:val="Heading1"/>
        <w:rPr>
          <w:b/>
          <w:bCs/>
        </w:rPr>
      </w:pPr>
      <w:r w:rsidRPr="00646108">
        <w:rPr>
          <w:b/>
          <w:bCs/>
        </w:rPr>
        <w:t>hTERT c</w:t>
      </w:r>
      <w:r w:rsidR="00646108" w:rsidRPr="00646108">
        <w:rPr>
          <w:b/>
          <w:bCs/>
        </w:rPr>
        <w:t>ell culture</w:t>
      </w:r>
    </w:p>
    <w:p w14:paraId="3A0D41AF" w14:textId="77777777" w:rsidR="00646108" w:rsidRPr="00646108" w:rsidRDefault="00646108">
      <w:pPr>
        <w:rPr>
          <w:b/>
          <w:bCs/>
        </w:rPr>
      </w:pPr>
    </w:p>
    <w:p w14:paraId="4441CC60" w14:textId="21C853AC" w:rsidR="0096393F" w:rsidRPr="00646108" w:rsidRDefault="0096393F">
      <w:pPr>
        <w:rPr>
          <w:rFonts w:ascii="Georgia" w:eastAsia="Times New Roman" w:hAnsi="Georgia" w:cs="Times New Roman"/>
          <w:color w:val="333333"/>
          <w:shd w:val="clear" w:color="auto" w:fill="FFFFFF"/>
        </w:rPr>
      </w:pPr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Check out the “cell culture” methods here:</w:t>
      </w:r>
      <w:r w:rsidRPr="00646108">
        <w:rPr>
          <w:rFonts w:ascii="Georgia" w:eastAsia="Times New Roman" w:hAnsi="Georgia" w:cs="Times New Roman"/>
          <w:color w:val="FF0000"/>
          <w:u w:val="single"/>
          <w:shd w:val="clear" w:color="auto" w:fill="FFFFFF"/>
        </w:rPr>
        <w:t xml:space="preserve"> </w:t>
      </w:r>
      <w:hyperlink r:id="rId5" w:tgtFrame="_blank" w:history="1">
        <w:r w:rsidRPr="005570F6">
          <w:rPr>
            <w:rFonts w:ascii="Georgia" w:eastAsia="Times New Roman" w:hAnsi="Georgia" w:cs="Times New Roman"/>
            <w:color w:val="FF0000"/>
            <w:u w:val="single"/>
            <w:shd w:val="clear" w:color="auto" w:fill="FFFFFF"/>
          </w:rPr>
          <w:t>https://breast-cancer-research.biomedcentral.com/articles/10.1186/s13058-014-0510-y</w:t>
        </w:r>
      </w:hyperlink>
    </w:p>
    <w:p w14:paraId="3576D4E9" w14:textId="044271CD" w:rsidR="0096393F" w:rsidRPr="00646108" w:rsidRDefault="0096393F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1F2642D3" w14:textId="77777777" w:rsidR="00646108" w:rsidRPr="00646108" w:rsidRDefault="00646108" w:rsidP="00646108">
      <w:pPr>
        <w:rPr>
          <w:rFonts w:ascii="Georgia" w:eastAsia="Times New Roman" w:hAnsi="Georgia" w:cs="Times New Roman"/>
          <w:b/>
          <w:bCs/>
          <w:color w:val="333333"/>
          <w:shd w:val="clear" w:color="auto" w:fill="FFFFFF"/>
        </w:rPr>
      </w:pPr>
      <w:r w:rsidRPr="00646108">
        <w:rPr>
          <w:rFonts w:ascii="Georgia" w:eastAsia="Times New Roman" w:hAnsi="Georgia" w:cs="Times New Roman"/>
          <w:b/>
          <w:bCs/>
          <w:color w:val="333333"/>
          <w:shd w:val="clear" w:color="auto" w:fill="FFFFFF"/>
        </w:rPr>
        <w:t>Methods from paper:</w:t>
      </w:r>
    </w:p>
    <w:p w14:paraId="19DE593E" w14:textId="77777777" w:rsidR="00646108" w:rsidRPr="00646108" w:rsidRDefault="00646108" w:rsidP="00646108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02126908" w14:textId="77777777" w:rsidR="00646108" w:rsidRPr="0096393F" w:rsidRDefault="00646108" w:rsidP="00646108">
      <w:pPr>
        <w:rPr>
          <w:rFonts w:ascii="Times New Roman" w:eastAsia="Times New Roman" w:hAnsi="Times New Roman" w:cs="Times New Roman"/>
        </w:rPr>
      </w:pPr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Passage 6 184-</w:t>
      </w:r>
      <w:r w:rsidRPr="0096393F">
        <w:rPr>
          <w:rFonts w:ascii="Georgia" w:eastAsia="Times New Roman" w:hAnsi="Georgia" w:cs="Times New Roman"/>
          <w:i/>
          <w:iCs/>
          <w:color w:val="333333"/>
          <w:shd w:val="clear" w:color="auto" w:fill="FFFFFF"/>
        </w:rPr>
        <w:t>hTERT</w:t>
      </w:r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 cells [</w:t>
      </w:r>
      <w:hyperlink r:id="rId6" w:anchor="ref-CR18" w:tooltip="Horikawa I, Cable PL, Mazur SJ, Appella E, Afshari CA, Barrett JC. Downstream E-box-mediated regulation of the human telomerase reverse transcriptase (hTERT) gene transcription: evidence for an endogenous mechanism of transcriptional repression. Mol Biol Cell. 2002;13:2585–97." w:history="1">
        <w:r w:rsidRPr="0096393F">
          <w:rPr>
            <w:rFonts w:ascii="Georgia" w:eastAsia="Times New Roman" w:hAnsi="Georgia" w:cs="Times New Roman"/>
            <w:color w:val="8E2555"/>
            <w:u w:val="single"/>
            <w:shd w:val="clear" w:color="auto" w:fill="FFFFFF"/>
          </w:rPr>
          <w:t>18</w:t>
        </w:r>
      </w:hyperlink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 xml:space="preserve">] were cloned in 96-well plates and </w:t>
      </w:r>
      <w:proofErr w:type="spellStart"/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subcultured</w:t>
      </w:r>
      <w:proofErr w:type="spellEnd"/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 xml:space="preserve"> in serum-free mammary epithelial cell basal media (MEBM; Lonza, Walkersville, MD, USA) supplemented with the mammary epithelial cell growth media in the </w:t>
      </w:r>
      <w:proofErr w:type="spellStart"/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SingleQuots</w:t>
      </w:r>
      <w:proofErr w:type="spellEnd"/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 xml:space="preserve"> kit (Lonza), 5 </w:t>
      </w:r>
      <w:proofErr w:type="spellStart"/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μg</w:t>
      </w:r>
      <w:proofErr w:type="spellEnd"/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/ml transferrin (Sigma-Aldrich, St Louis, MO, USA) and 10</w:t>
      </w:r>
      <w:r w:rsidRPr="0096393F">
        <w:rPr>
          <w:rFonts w:ascii="Georgia" w:eastAsia="Times New Roman" w:hAnsi="Georgia" w:cs="Times New Roman"/>
          <w:color w:val="333333"/>
          <w:shd w:val="clear" w:color="auto" w:fill="FFFFFF"/>
          <w:vertAlign w:val="superscript"/>
        </w:rPr>
        <w:t>−5</w:t>
      </w:r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 M isoproterenol (Sigma-Aldrich), referred to as </w:t>
      </w:r>
      <w:r w:rsidRPr="0096393F">
        <w:rPr>
          <w:rFonts w:ascii="Georgia" w:eastAsia="Times New Roman" w:hAnsi="Georgia" w:cs="Times New Roman"/>
          <w:i/>
          <w:iCs/>
          <w:color w:val="333333"/>
          <w:shd w:val="clear" w:color="auto" w:fill="FFFFFF"/>
        </w:rPr>
        <w:t>mammary epithelial cell growth medium</w:t>
      </w:r>
      <w:r w:rsidRPr="0096393F">
        <w:rPr>
          <w:rFonts w:ascii="Georgia" w:eastAsia="Times New Roman" w:hAnsi="Georgia" w:cs="Times New Roman"/>
          <w:color w:val="333333"/>
          <w:shd w:val="clear" w:color="auto" w:fill="FFFFFF"/>
        </w:rPr>
        <w:t> (MEGM).</w:t>
      </w:r>
    </w:p>
    <w:p w14:paraId="0F5C53BC" w14:textId="77777777" w:rsidR="00646108" w:rsidRPr="00646108" w:rsidRDefault="00646108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30D8E07B" w14:textId="77777777" w:rsidR="00646108" w:rsidRPr="00646108" w:rsidRDefault="00646108" w:rsidP="0096393F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763D9743" w14:textId="44DE672A" w:rsidR="0096393F" w:rsidRPr="00646108" w:rsidRDefault="0096393F" w:rsidP="0096393F">
      <w:pPr>
        <w:rPr>
          <w:rFonts w:ascii="Georgia" w:eastAsia="Times New Roman" w:hAnsi="Georgia" w:cs="Times New Roman"/>
          <w:color w:val="333333"/>
          <w:shd w:val="clear" w:color="auto" w:fill="FFFFFF"/>
        </w:rPr>
      </w:pPr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The media is a bit more complicated than typical growth media. It’s a bottle of media, isoproterenol, transferrin, and tubes called “</w:t>
      </w:r>
      <w:proofErr w:type="spellStart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singlequots</w:t>
      </w:r>
      <w:proofErr w:type="spellEnd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 xml:space="preserve">”. We omit the GA-1000 (antibiotic) from the </w:t>
      </w:r>
      <w:proofErr w:type="spellStart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singleq</w:t>
      </w:r>
      <w:r w:rsidR="0084057B">
        <w:rPr>
          <w:rFonts w:ascii="Georgia" w:eastAsia="Times New Roman" w:hAnsi="Georgia" w:cs="Times New Roman"/>
          <w:color w:val="333333"/>
          <w:shd w:val="clear" w:color="auto" w:fill="FFFFFF"/>
        </w:rPr>
        <w:t>u</w:t>
      </w:r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ots</w:t>
      </w:r>
      <w:proofErr w:type="spellEnd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 xml:space="preserve"> pack. </w:t>
      </w:r>
      <w:proofErr w:type="gramStart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In regards to</w:t>
      </w:r>
      <w:proofErr w:type="gramEnd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 xml:space="preserve"> actually growing the cells, you can follow basic adherent cell culture techniques, but with a few tweaks:</w:t>
      </w:r>
    </w:p>
    <w:p w14:paraId="5A1852FA" w14:textId="723434BB" w:rsidR="0096393F" w:rsidRPr="00646108" w:rsidRDefault="0096393F" w:rsidP="0096393F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57D7EA0F" w14:textId="76060313" w:rsidR="0096393F" w:rsidRPr="00646108" w:rsidRDefault="0096393F" w:rsidP="0096393F">
      <w:pPr>
        <w:pStyle w:val="ListParagraph"/>
        <w:numPr>
          <w:ilvl w:val="0"/>
          <w:numId w:val="2"/>
        </w:numPr>
        <w:rPr>
          <w:rFonts w:ascii="Georgia" w:eastAsia="Times New Roman" w:hAnsi="Georgia" w:cs="Times New Roman"/>
          <w:color w:val="333333"/>
          <w:shd w:val="clear" w:color="auto" w:fill="FFFFFF"/>
        </w:rPr>
      </w:pPr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they do fairly poorly at low density, so don’t split them too sparse</w:t>
      </w:r>
    </w:p>
    <w:p w14:paraId="5FB0F57F" w14:textId="2704D384" w:rsidR="0096393F" w:rsidRPr="00646108" w:rsidRDefault="0096393F" w:rsidP="0096393F">
      <w:pPr>
        <w:pStyle w:val="ListParagraph"/>
        <w:numPr>
          <w:ilvl w:val="0"/>
          <w:numId w:val="2"/>
        </w:numPr>
        <w:rPr>
          <w:rFonts w:ascii="Georgia" w:eastAsia="Times New Roman" w:hAnsi="Georgia" w:cs="Times New Roman"/>
          <w:color w:val="333333"/>
          <w:shd w:val="clear" w:color="auto" w:fill="FFFFFF"/>
        </w:rPr>
      </w:pPr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they will never reach “full” confluence and cover the entire plate. They will stop growing at about 70-80% confluence, so you should split them before then</w:t>
      </w:r>
    </w:p>
    <w:p w14:paraId="7F33354F" w14:textId="12EDB91D" w:rsidR="0096393F" w:rsidRPr="00646108" w:rsidRDefault="0096393F" w:rsidP="0096393F">
      <w:pPr>
        <w:pStyle w:val="ListParagraph"/>
        <w:numPr>
          <w:ilvl w:val="0"/>
          <w:numId w:val="2"/>
        </w:numPr>
        <w:rPr>
          <w:rFonts w:ascii="Georgia" w:eastAsia="Times New Roman" w:hAnsi="Georgia" w:cs="Times New Roman"/>
          <w:color w:val="333333"/>
          <w:shd w:val="clear" w:color="auto" w:fill="FFFFFF"/>
        </w:rPr>
      </w:pPr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 xml:space="preserve">they take a very long time to </w:t>
      </w:r>
      <w:proofErr w:type="spellStart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trypsinize</w:t>
      </w:r>
      <w:proofErr w:type="spellEnd"/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. Add the trypsin, then put them in the incubator for ~5-10mins, checking occasionally. They will take ages if left at room temp.</w:t>
      </w:r>
    </w:p>
    <w:p w14:paraId="6B1F274F" w14:textId="60DE2403" w:rsidR="00646108" w:rsidRDefault="0096393F" w:rsidP="00646108">
      <w:pPr>
        <w:pStyle w:val="ListParagraph"/>
        <w:numPr>
          <w:ilvl w:val="0"/>
          <w:numId w:val="2"/>
        </w:numPr>
        <w:rPr>
          <w:rFonts w:ascii="Georgia" w:eastAsia="Times New Roman" w:hAnsi="Georgia" w:cs="Times New Roman"/>
          <w:color w:val="333333"/>
          <w:shd w:val="clear" w:color="auto" w:fill="FFFFFF"/>
        </w:rPr>
      </w:pPr>
      <w:r w:rsidRPr="00646108">
        <w:rPr>
          <w:rFonts w:ascii="Georgia" w:eastAsia="Times New Roman" w:hAnsi="Georgia" w:cs="Times New Roman"/>
          <w:color w:val="333333"/>
          <w:shd w:val="clear" w:color="auto" w:fill="FFFFFF"/>
        </w:rPr>
        <w:t>the media does not contain FBS, so you will need to use a different type of media to neutralize the trypsin, then spin them down and resuspend in the correct media.</w:t>
      </w:r>
    </w:p>
    <w:p w14:paraId="45186EB7" w14:textId="3485FBE9" w:rsidR="00646108" w:rsidRDefault="00646108" w:rsidP="00646108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131DE849" w14:textId="7D64F10D" w:rsidR="00646108" w:rsidRDefault="00646108" w:rsidP="00646108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24806E95" w14:textId="77777777" w:rsidR="00646108" w:rsidRPr="00646108" w:rsidRDefault="00646108" w:rsidP="00646108">
      <w:pPr>
        <w:rPr>
          <w:rFonts w:ascii="Georgia" w:eastAsia="Times New Roman" w:hAnsi="Georgia" w:cs="Times New Roman"/>
          <w:color w:val="333333"/>
          <w:shd w:val="clear" w:color="auto" w:fill="FFFFFF"/>
        </w:rPr>
      </w:pPr>
    </w:p>
    <w:p w14:paraId="2EC57D43" w14:textId="7587FEE7" w:rsidR="005570F6" w:rsidRPr="00646108" w:rsidRDefault="00646108">
      <w:pPr>
        <w:rPr>
          <w:rFonts w:ascii="Georgia" w:eastAsia="Times New Roman" w:hAnsi="Georgia" w:cs="Times New Roman"/>
          <w:color w:val="333333"/>
          <w:shd w:val="clear" w:color="auto" w:fill="FFFFFF"/>
        </w:rPr>
      </w:pPr>
      <w:r w:rsidRPr="0064610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905896" wp14:editId="4107B9AB">
            <wp:extent cx="5943600" cy="2740025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0F6" w:rsidRPr="00646108" w:rsidSect="00646108">
      <w:pgSz w:w="12240" w:h="15840"/>
      <w:pgMar w:top="864" w:right="720" w:bottom="720" w:left="79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B2713"/>
    <w:multiLevelType w:val="hybridMultilevel"/>
    <w:tmpl w:val="68D2A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908E7"/>
    <w:multiLevelType w:val="multilevel"/>
    <w:tmpl w:val="6BF61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F6"/>
    <w:rsid w:val="0043449B"/>
    <w:rsid w:val="004D3271"/>
    <w:rsid w:val="0050764D"/>
    <w:rsid w:val="005570F6"/>
    <w:rsid w:val="00646108"/>
    <w:rsid w:val="0084057B"/>
    <w:rsid w:val="0096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3CB5B"/>
  <w15:chartTrackingRefBased/>
  <w15:docId w15:val="{3E5AF5C3-950C-B043-9AC9-4BC17A1DE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1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70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39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461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0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reast-cancer-research.biomedcentral.com/articles/10.1186/s13058-014-0510-y" TargetMode="External"/><Relationship Id="rId5" Type="http://schemas.openxmlformats.org/officeDocument/2006/relationships/hyperlink" Target="https://breast-cancer-research.biomedcentral.com/articles/10.1186/s13058-014-0510-y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Lim, Jamie/Sloan Kettering Institute</dc:creator>
  <cp:keywords/>
  <dc:description/>
  <cp:lastModifiedBy>Lim, Jamie/Sloan Kettering Institute</cp:lastModifiedBy>
  <cp:revision>3</cp:revision>
  <dcterms:created xsi:type="dcterms:W3CDTF">2020-09-15T20:26:00Z</dcterms:created>
  <dcterms:modified xsi:type="dcterms:W3CDTF">2020-09-17T19:27:00Z</dcterms:modified>
</cp:coreProperties>
</file>