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D4AFF"/>
          <w:sz w:val="20"/>
        </w:rPr>
        <w:t>DEPI – Digital Egypt Pioneers Initiative  |  Track: Junior Data Analysis</w:t>
      </w:r>
    </w:p>
    <w:p>
      <w:r>
        <w:rPr>
          <w:b/>
          <w:color w:val="0B2A5B"/>
          <w:sz w:val="60"/>
        </w:rPr>
        <w:t>Data Lens</w:t>
      </w:r>
    </w:p>
    <w:p>
      <w:r>
        <w:rPr>
          <w:b/>
          <w:color w:val="6D4AFF"/>
          <w:sz w:val="40"/>
        </w:rPr>
        <w:t>3. System Analysis &amp; Design</w:t>
      </w:r>
    </w:p>
    <w:p>
      <w:r>
        <w:rPr>
          <w:i/>
          <w:sz w:val="22"/>
        </w:rPr>
        <w:t>DEPI submission item: System Analysis &amp; Design (problem statement, diagrams, database design, UI/UX, deployment and integration)</w:t>
      </w:r>
    </w:p>
    <w:tbl>
      <w:tblPr>
        <w:tblStyle w:val="TableGrid"/>
        <w:tblW w:type="auto" w:w="0"/>
        <w:jc w:val="center"/>
        <w:tblLayout w:type="fixed"/>
        <w:tblLook w:firstColumn="1" w:firstRow="1" w:lastColumn="0" w:lastRow="0" w:noHBand="0" w:noVBand="1" w:val="04A0"/>
        <w:tblLayout w:type="fixed"/>
      </w:tblPr>
      <w:tblGrid>
        <w:gridCol w:w="5184"/>
        <w:gridCol w:w="4320"/>
      </w:tblGrid>
      <w:tr>
        <w:trPr>
          <w:tblHeader w:val="true"/>
        </w:trPr>
        <w:tc>
          <w:tcPr>
            <w:tcW w:type="dxa" w:w="5184"/>
            <w:shd w:val="clear" w:color="auto" w:fill="0B2A5B"/>
          </w:tcPr>
          <w:p>
            <w:r/>
            <w:r>
              <w:rPr>
                <w:b/>
                <w:color w:val="FFFFFF"/>
                <w:sz w:val="18"/>
              </w:rPr>
              <w:t>Team member</w:t>
            </w:r>
          </w:p>
        </w:tc>
        <w:tc>
          <w:tcPr>
            <w:tcW w:type="dxa" w:w="4320"/>
            <w:shd w:val="clear" w:color="auto" w:fill="0B2A5B"/>
          </w:tcPr>
          <w:p>
            <w:r/>
            <w:r>
              <w:rPr>
                <w:b/>
                <w:color w:val="FFFFFF"/>
                <w:sz w:val="18"/>
              </w:rPr>
              <w:t>Role</w:t>
            </w:r>
          </w:p>
        </w:tc>
      </w:tr>
      <w:tr>
        <w:tc>
          <w:tcPr>
            <w:tcW w:type="dxa" w:w="5184"/>
          </w:tcPr>
          <w:p>
            <w:r/>
            <w:r>
              <w:rPr>
                <w:sz w:val="18"/>
              </w:rPr>
              <w:t>Shahd Mahmoud Abdelmagid</w:t>
            </w:r>
          </w:p>
        </w:tc>
        <w:tc>
          <w:tcPr>
            <w:tcW w:type="dxa" w:w="4320"/>
          </w:tcPr>
          <w:p>
            <w:r/>
            <w:r>
              <w:rPr>
                <w:sz w:val="18"/>
              </w:rPr>
              <w:t>Team Leader</w:t>
            </w:r>
          </w:p>
        </w:tc>
      </w:tr>
      <w:tr>
        <w:tc>
          <w:tcPr>
            <w:tcW w:type="dxa" w:w="5184"/>
            <w:shd w:val="clear" w:color="auto" w:fill="F1F5FB"/>
          </w:tcPr>
          <w:p>
            <w:r/>
            <w:r>
              <w:rPr>
                <w:sz w:val="18"/>
              </w:rPr>
              <w:t>Eman Ali Mostafa</w:t>
            </w:r>
          </w:p>
        </w:tc>
        <w:tc>
          <w:tcPr>
            <w:tcW w:type="dxa" w:w="4320"/>
            <w:shd w:val="clear" w:color="auto" w:fill="F1F5FB"/>
          </w:tcPr>
          <w:p>
            <w:r/>
            <w:r>
              <w:rPr>
                <w:sz w:val="18"/>
              </w:rPr>
              <w:t>Member</w:t>
            </w:r>
          </w:p>
        </w:tc>
      </w:tr>
      <w:tr>
        <w:tc>
          <w:tcPr>
            <w:tcW w:type="dxa" w:w="5184"/>
          </w:tcPr>
          <w:p>
            <w:r/>
            <w:r>
              <w:rPr>
                <w:sz w:val="18"/>
              </w:rPr>
              <w:t>Malak Hassan Mahmoud</w:t>
            </w:r>
          </w:p>
        </w:tc>
        <w:tc>
          <w:tcPr>
            <w:tcW w:type="dxa" w:w="4320"/>
          </w:tcPr>
          <w:p>
            <w:r/>
            <w:r>
              <w:rPr>
                <w:sz w:val="18"/>
              </w:rPr>
              <w:t>Member</w:t>
            </w:r>
          </w:p>
        </w:tc>
      </w:tr>
      <w:tr>
        <w:tc>
          <w:tcPr>
            <w:tcW w:type="dxa" w:w="5184"/>
            <w:shd w:val="clear" w:color="auto" w:fill="F1F5FB"/>
          </w:tcPr>
          <w:p>
            <w:r/>
            <w:r>
              <w:rPr>
                <w:sz w:val="18"/>
              </w:rPr>
              <w:t>Farah Khaled Fathy</w:t>
            </w:r>
          </w:p>
        </w:tc>
        <w:tc>
          <w:tcPr>
            <w:tcW w:type="dxa" w:w="4320"/>
            <w:shd w:val="clear" w:color="auto" w:fill="F1F5FB"/>
          </w:tcPr>
          <w:p>
            <w:r/>
            <w:r>
              <w:rPr>
                <w:sz w:val="18"/>
              </w:rPr>
              <w:t>Member</w:t>
            </w:r>
          </w:p>
        </w:tc>
      </w:tr>
      <w:tr>
        <w:tc>
          <w:tcPr>
            <w:tcW w:type="dxa" w:w="5184"/>
          </w:tcPr>
          <w:p>
            <w:r/>
            <w:r>
              <w:rPr>
                <w:sz w:val="18"/>
              </w:rPr>
              <w:t>Menna Abdelnasser Ramadan</w:t>
            </w:r>
          </w:p>
        </w:tc>
        <w:tc>
          <w:tcPr>
            <w:tcW w:type="dxa" w:w="4320"/>
          </w:tcPr>
          <w:p>
            <w:r/>
            <w:r>
              <w:rPr>
                <w:sz w:val="18"/>
              </w:rPr>
              <w:t>Member</w:t>
            </w:r>
          </w:p>
        </w:tc>
      </w:tr>
      <w:tr>
        <w:tc>
          <w:tcPr>
            <w:tcW w:type="dxa" w:w="5184"/>
            <w:shd w:val="clear" w:color="auto" w:fill="F1F5FB"/>
          </w:tcPr>
          <w:p>
            <w:r/>
            <w:r>
              <w:rPr>
                <w:sz w:val="18"/>
              </w:rPr>
              <w:t>Mariam Baher Mohsen</w:t>
            </w:r>
          </w:p>
        </w:tc>
        <w:tc>
          <w:tcPr>
            <w:tcW w:type="dxa" w:w="4320"/>
            <w:shd w:val="clear" w:color="auto" w:fill="F1F5FB"/>
          </w:tcPr>
          <w:p>
            <w:r/>
            <w:r>
              <w:rPr>
                <w:sz w:val="18"/>
              </w:rPr>
              <w:t>Member</w:t>
            </w:r>
          </w:p>
        </w:tc>
      </w:tr>
      <w:tr>
        <w:tc>
          <w:tcPr>
            <w:tcW w:type="dxa" w:w="5184"/>
          </w:tcPr>
          <w:p>
            <w:r/>
            <w:r>
              <w:rPr>
                <w:sz w:val="18"/>
              </w:rPr>
              <w:t>Instructor: Noran El Zeky</w:t>
            </w:r>
          </w:p>
        </w:tc>
        <w:tc>
          <w:tcPr>
            <w:tcW w:type="dxa" w:w="4320"/>
          </w:tcPr>
          <w:p>
            <w:r/>
            <w:r>
              <w:rPr>
                <w:sz w:val="18"/>
              </w:rPr>
              <w:t>Lecturer / evaluator</w:t>
            </w:r>
          </w:p>
        </w:tc>
      </w:tr>
    </w:tbl>
    <w:p>
      <w:pPr>
        <w:spacing w:after="40"/>
      </w:pPr>
    </w:p>
    <w:p>
      <w:r>
        <w:rPr>
          <w:color w:val="5B6B82"/>
          <w:sz w:val="18"/>
        </w:rPr>
        <w:t>Version 1.0 (draft)  |  October 2026</w:t>
      </w:r>
    </w:p>
    <w:p>
      <w:r>
        <w:br w:type="page"/>
      </w:r>
    </w:p>
    <w:p>
      <w:pPr>
        <w:pStyle w:val="Heading1"/>
      </w:pPr>
      <w:r>
        <w:t>1. Problem Statement &amp; Objectives</w:t>
      </w:r>
    </w:p>
    <w:p>
      <w:pPr>
        <w:spacing w:after="120"/>
      </w:pPr>
      <w:r>
        <w:rPr>
          <w:b w:val="0"/>
          <w:i w:val="0"/>
        </w:rPr>
        <w:t>Problem: the WDI workbook covers many countries and indicators but cannot be compared directly. The same country appears under different spellings, many cells hold ".." or text instead of numbers, rows are duplicated or empty, and a year is missing. Comparing countries by hand in Excel is slow and error-prone.</w:t>
      </w:r>
    </w:p>
    <w:p>
      <w:pPr>
        <w:spacing w:after="120"/>
      </w:pPr>
      <w:r>
        <w:rPr>
          <w:b/>
          <w:i w:val="0"/>
        </w:rPr>
        <w:t>Objectives:</w:t>
      </w:r>
    </w:p>
    <w:p>
      <w:pPr>
        <w:pStyle w:val="ListBullet"/>
        <w:spacing w:after="40"/>
      </w:pPr>
      <w:r>
        <w:t>Clean and standardize the data in a repeatable way.</w:t>
      </w:r>
    </w:p>
    <w:p>
      <w:pPr>
        <w:pStyle w:val="ListBullet"/>
        <w:spacing w:after="40"/>
      </w:pPr>
      <w:r>
        <w:t>Build a star-schema model that supports comparison by country, indicator and year.</w:t>
      </w:r>
    </w:p>
    <w:p>
      <w:pPr>
        <w:pStyle w:val="ListBullet"/>
        <w:spacing w:after="40"/>
      </w:pPr>
      <w:r>
        <w:t>Deliver an interactive dashboard (overview, comparison, trends, map, drill-through).</w:t>
      </w:r>
    </w:p>
    <w:p>
      <w:pPr>
        <w:pStyle w:val="ListBullet"/>
        <w:spacing w:after="40"/>
      </w:pPr>
      <w:r>
        <w:t>Document, test and deliver everything through GitHub by the DEPI deadlines.</w:t>
      </w:r>
    </w:p>
    <w:p>
      <w:pPr>
        <w:pStyle w:val="Heading1"/>
      </w:pPr>
      <w:r>
        <w:t>2. Use Case Diagram &amp; Descriptions</w:t>
      </w:r>
    </w:p>
    <w:p>
      <w:pPr>
        <w:jc w:val="center"/>
      </w:pPr>
      <w:r>
        <w:drawing>
          <wp:inline xmlns:a="http://schemas.openxmlformats.org/drawingml/2006/main" xmlns:pic="http://schemas.openxmlformats.org/drawingml/2006/picture">
            <wp:extent cx="5669280" cy="3991708"/>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669280" cy="3991708"/>
                    </a:xfrm>
                    <a:prstGeom prst="rect"/>
                  </pic:spPr>
                </pic:pic>
              </a:graphicData>
            </a:graphic>
          </wp:inline>
        </w:drawing>
      </w:r>
    </w:p>
    <w:p>
      <w:pPr>
        <w:jc w:val="center"/>
      </w:pPr>
      <w:r>
        <w:rPr>
          <w:i/>
          <w:sz w:val="18"/>
        </w:rPr>
        <w:t>Figure 1 – Use case diagram</w:t>
      </w:r>
    </w:p>
    <w:p>
      <w:pPr>
        <w:spacing w:after="120"/>
      </w:pPr>
      <w:r>
        <w:rPr>
          <w:b w:val="0"/>
          <w:i w:val="0"/>
        </w:rPr>
        <w:t>Descriptions of UC1–UC9 are given in the Requirements Gathering document (section 4). Functional and non-functional requirements (FR1–FR14, NFR1–NFR8) are stated in the same document.</w:t>
      </w:r>
    </w:p>
    <w:p>
      <w:pPr>
        <w:pStyle w:val="Heading1"/>
      </w:pPr>
      <w:r>
        <w:t>3. Software Architecture</w:t>
      </w:r>
    </w:p>
    <w:p>
      <w:pPr>
        <w:spacing w:after="120"/>
      </w:pPr>
      <w:r>
        <w:rPr>
          <w:b w:val="0"/>
          <w:i w:val="0"/>
        </w:rPr>
        <w:t>Architecture style: layered business-intelligence architecture (source → transformation → semantic model → presentation). MVC and microservices do not apply because Data Lens has no web server or APIs; the dashboard runs inside Power BI.</w:t>
      </w:r>
    </w:p>
    <w:tbl>
      <w:tblPr>
        <w:tblStyle w:val="TableGrid"/>
        <w:tblW w:type="auto" w:w="0"/>
        <w:jc w:val="center"/>
        <w:tblLayout w:type="fixed"/>
        <w:tblLook w:firstColumn="1" w:firstRow="1" w:lastColumn="0" w:lastRow="0" w:noHBand="0" w:noVBand="1" w:val="04A0"/>
        <w:tblLayout w:type="fixed"/>
      </w:tblPr>
      <w:tblGrid>
        <w:gridCol w:w="1872"/>
        <w:gridCol w:w="2448"/>
        <w:gridCol w:w="5184"/>
      </w:tblGrid>
      <w:tr>
        <w:trPr>
          <w:tblHeader w:val="true"/>
        </w:trPr>
        <w:tc>
          <w:tcPr>
            <w:tcW w:type="dxa" w:w="1872"/>
            <w:shd w:val="clear" w:color="auto" w:fill="0B2A5B"/>
          </w:tcPr>
          <w:p>
            <w:r/>
            <w:r>
              <w:rPr>
                <w:b/>
                <w:color w:val="FFFFFF"/>
                <w:sz w:val="18"/>
              </w:rPr>
              <w:t>Layer</w:t>
            </w:r>
          </w:p>
        </w:tc>
        <w:tc>
          <w:tcPr>
            <w:tcW w:type="dxa" w:w="2448"/>
            <w:shd w:val="clear" w:color="auto" w:fill="0B2A5B"/>
          </w:tcPr>
          <w:p>
            <w:r/>
            <w:r>
              <w:rPr>
                <w:b/>
                <w:color w:val="FFFFFF"/>
                <w:sz w:val="18"/>
              </w:rPr>
              <w:t>Component</w:t>
            </w:r>
          </w:p>
        </w:tc>
        <w:tc>
          <w:tcPr>
            <w:tcW w:type="dxa" w:w="5184"/>
            <w:shd w:val="clear" w:color="auto" w:fill="0B2A5B"/>
          </w:tcPr>
          <w:p>
            <w:r/>
            <w:r>
              <w:rPr>
                <w:b/>
                <w:color w:val="FFFFFF"/>
                <w:sz w:val="18"/>
              </w:rPr>
              <w:t>Responsibility</w:t>
            </w:r>
          </w:p>
        </w:tc>
      </w:tr>
      <w:tr>
        <w:tc>
          <w:tcPr>
            <w:tcW w:type="dxa" w:w="1872"/>
          </w:tcPr>
          <w:p>
            <w:r/>
            <w:r>
              <w:rPr>
                <w:sz w:val="18"/>
              </w:rPr>
              <w:t>Source</w:t>
            </w:r>
          </w:p>
        </w:tc>
        <w:tc>
          <w:tcPr>
            <w:tcW w:type="dxa" w:w="2448"/>
          </w:tcPr>
          <w:p>
            <w:r/>
            <w:r>
              <w:rPr>
                <w:sz w:val="18"/>
              </w:rPr>
              <w:t>WDI_Data.xlsx</w:t>
            </w:r>
          </w:p>
        </w:tc>
        <w:tc>
          <w:tcPr>
            <w:tcW w:type="dxa" w:w="5184"/>
          </w:tcPr>
          <w:p>
            <w:r/>
            <w:r>
              <w:rPr>
                <w:sz w:val="18"/>
              </w:rPr>
              <w:t>Raw World Bank data (Data and Series - Metadata sheets)</w:t>
            </w:r>
          </w:p>
        </w:tc>
      </w:tr>
      <w:tr>
        <w:tc>
          <w:tcPr>
            <w:tcW w:type="dxa" w:w="1872"/>
            <w:shd w:val="clear" w:color="auto" w:fill="F1F5FB"/>
          </w:tcPr>
          <w:p>
            <w:r/>
            <w:r>
              <w:rPr>
                <w:sz w:val="18"/>
              </w:rPr>
              <w:t>Transformation</w:t>
            </w:r>
          </w:p>
        </w:tc>
        <w:tc>
          <w:tcPr>
            <w:tcW w:type="dxa" w:w="2448"/>
            <w:shd w:val="clear" w:color="auto" w:fill="F1F5FB"/>
          </w:tcPr>
          <w:p>
            <w:r/>
            <w:r>
              <w:rPr>
                <w:sz w:val="18"/>
              </w:rPr>
              <w:t>Power Query</w:t>
            </w:r>
          </w:p>
        </w:tc>
        <w:tc>
          <w:tcPr>
            <w:tcW w:type="dxa" w:w="5184"/>
            <w:shd w:val="clear" w:color="auto" w:fill="F1F5FB"/>
          </w:tcPr>
          <w:p>
            <w:r/>
            <w:r>
              <w:rPr>
                <w:sz w:val="18"/>
              </w:rPr>
              <w:t>Standardize names, handle missing values, remove duplicates, reshape years to rows</w:t>
            </w:r>
          </w:p>
        </w:tc>
      </w:tr>
      <w:tr>
        <w:tc>
          <w:tcPr>
            <w:tcW w:type="dxa" w:w="1872"/>
          </w:tcPr>
          <w:p>
            <w:r/>
            <w:r>
              <w:rPr>
                <w:sz w:val="18"/>
              </w:rPr>
              <w:t>Semantic model</w:t>
            </w:r>
          </w:p>
        </w:tc>
        <w:tc>
          <w:tcPr>
            <w:tcW w:type="dxa" w:w="2448"/>
          </w:tcPr>
          <w:p>
            <w:r/>
            <w:r>
              <w:rPr>
                <w:sz w:val="18"/>
              </w:rPr>
              <w:t>Star schema + DAX</w:t>
            </w:r>
          </w:p>
        </w:tc>
        <w:tc>
          <w:tcPr>
            <w:tcW w:type="dxa" w:w="5184"/>
          </w:tcPr>
          <w:p>
            <w:r/>
            <w:r>
              <w:rPr>
                <w:sz w:val="18"/>
              </w:rPr>
              <w:t>Relationships, measures, ranking, comparison logic</w:t>
            </w:r>
          </w:p>
        </w:tc>
      </w:tr>
      <w:tr>
        <w:tc>
          <w:tcPr>
            <w:tcW w:type="dxa" w:w="1872"/>
            <w:shd w:val="clear" w:color="auto" w:fill="F1F5FB"/>
          </w:tcPr>
          <w:p>
            <w:r/>
            <w:r>
              <w:rPr>
                <w:sz w:val="18"/>
              </w:rPr>
              <w:t>Presentation</w:t>
            </w:r>
          </w:p>
        </w:tc>
        <w:tc>
          <w:tcPr>
            <w:tcW w:type="dxa" w:w="2448"/>
            <w:shd w:val="clear" w:color="auto" w:fill="F1F5FB"/>
          </w:tcPr>
          <w:p>
            <w:r/>
            <w:r>
              <w:rPr>
                <w:sz w:val="18"/>
              </w:rPr>
              <w:t>Power BI report pages</w:t>
            </w:r>
          </w:p>
        </w:tc>
        <w:tc>
          <w:tcPr>
            <w:tcW w:type="dxa" w:w="5184"/>
            <w:shd w:val="clear" w:color="auto" w:fill="F1F5FB"/>
          </w:tcPr>
          <w:p>
            <w:r/>
            <w:r>
              <w:rPr>
                <w:sz w:val="18"/>
              </w:rPr>
              <w:t>Overview, Comparison, Trends, map, drill-through</w:t>
            </w:r>
          </w:p>
        </w:tc>
      </w:tr>
      <w:tr>
        <w:tc>
          <w:tcPr>
            <w:tcW w:type="dxa" w:w="1872"/>
          </w:tcPr>
          <w:p>
            <w:r/>
            <w:r>
              <w:rPr>
                <w:sz w:val="18"/>
              </w:rPr>
              <w:t>Delivery</w:t>
            </w:r>
          </w:p>
        </w:tc>
        <w:tc>
          <w:tcPr>
            <w:tcW w:type="dxa" w:w="2448"/>
          </w:tcPr>
          <w:p>
            <w:r/>
            <w:r>
              <w:rPr>
                <w:sz w:val="18"/>
              </w:rPr>
              <w:t>GitHub</w:t>
            </w:r>
          </w:p>
        </w:tc>
        <w:tc>
          <w:tcPr>
            <w:tcW w:type="dxa" w:w="5184"/>
          </w:tcPr>
          <w:p>
            <w:r/>
            <w:r>
              <w:rPr>
                <w:sz w:val="18"/>
              </w:rPr>
              <w:t>Version control and final deliverables</w:t>
            </w:r>
          </w:p>
        </w:tc>
      </w:tr>
    </w:tbl>
    <w:p>
      <w:pPr>
        <w:spacing w:after="40"/>
      </w:pPr>
    </w:p>
    <w:p>
      <w:pPr>
        <w:pStyle w:val="Heading1"/>
      </w:pPr>
      <w:r>
        <w:t>4. Database Design &amp; Data Modeling</w:t>
      </w:r>
    </w:p>
    <w:p>
      <w:pPr>
        <w:jc w:val="center"/>
      </w:pPr>
      <w:r>
        <w:drawing>
          <wp:inline xmlns:a="http://schemas.openxmlformats.org/drawingml/2006/main" xmlns:pic="http://schemas.openxmlformats.org/drawingml/2006/picture">
            <wp:extent cx="4206240" cy="4513759"/>
            <wp:docPr id="2" name="Picture 2"/>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4206240" cy="4513759"/>
                    </a:xfrm>
                    <a:prstGeom prst="rect"/>
                  </pic:spPr>
                </pic:pic>
              </a:graphicData>
            </a:graphic>
          </wp:inline>
        </w:drawing>
      </w:r>
    </w:p>
    <w:p>
      <w:pPr>
        <w:jc w:val="center"/>
      </w:pPr>
      <w:r>
        <w:rPr>
          <w:i/>
          <w:sz w:val="18"/>
        </w:rPr>
        <w:t>Figure 2 – Entity-Relationship Diagram</w:t>
      </w:r>
    </w:p>
    <w:p>
      <w:pPr>
        <w:pStyle w:val="Heading2"/>
      </w:pPr>
      <w:r>
        <w:t>Logical and physical schema</w:t>
      </w:r>
    </w:p>
    <w:tbl>
      <w:tblPr>
        <w:tblStyle w:val="TableGrid"/>
        <w:tblW w:type="auto" w:w="0"/>
        <w:jc w:val="center"/>
        <w:tblLayout w:type="fixed"/>
        <w:tblLook w:firstColumn="1" w:firstRow="1" w:lastColumn="0" w:lastRow="0" w:noHBand="0" w:noVBand="1" w:val="04A0"/>
        <w:tblLayout w:type="fixed"/>
      </w:tblPr>
      <w:tblGrid>
        <w:gridCol w:w="1872"/>
        <w:gridCol w:w="2015"/>
        <w:gridCol w:w="1584"/>
        <w:gridCol w:w="576"/>
        <w:gridCol w:w="3456"/>
      </w:tblGrid>
      <w:tr>
        <w:trPr>
          <w:tblHeader w:val="true"/>
        </w:trPr>
        <w:tc>
          <w:tcPr>
            <w:tcW w:type="dxa" w:w="1872"/>
            <w:shd w:val="clear" w:color="auto" w:fill="0B2A5B"/>
          </w:tcPr>
          <w:p>
            <w:r/>
            <w:r>
              <w:rPr>
                <w:b/>
                <w:color w:val="FFFFFF"/>
                <w:sz w:val="17"/>
              </w:rPr>
              <w:t>Table</w:t>
            </w:r>
          </w:p>
        </w:tc>
        <w:tc>
          <w:tcPr>
            <w:tcW w:type="dxa" w:w="2016"/>
            <w:shd w:val="clear" w:color="auto" w:fill="0B2A5B"/>
          </w:tcPr>
          <w:p>
            <w:r/>
            <w:r>
              <w:rPr>
                <w:b/>
                <w:color w:val="FFFFFF"/>
                <w:sz w:val="17"/>
              </w:rPr>
              <w:t>Column</w:t>
            </w:r>
          </w:p>
        </w:tc>
        <w:tc>
          <w:tcPr>
            <w:tcW w:type="dxa" w:w="1584"/>
            <w:shd w:val="clear" w:color="auto" w:fill="0B2A5B"/>
          </w:tcPr>
          <w:p>
            <w:r/>
            <w:r>
              <w:rPr>
                <w:b/>
                <w:color w:val="FFFFFF"/>
                <w:sz w:val="17"/>
              </w:rPr>
              <w:t>Type</w:t>
            </w:r>
          </w:p>
        </w:tc>
        <w:tc>
          <w:tcPr>
            <w:tcW w:type="dxa" w:w="576"/>
            <w:shd w:val="clear" w:color="auto" w:fill="0B2A5B"/>
          </w:tcPr>
          <w:p>
            <w:r/>
            <w:r>
              <w:rPr>
                <w:b/>
                <w:color w:val="FFFFFF"/>
                <w:sz w:val="17"/>
              </w:rPr>
              <w:t>Key</w:t>
            </w:r>
          </w:p>
        </w:tc>
        <w:tc>
          <w:tcPr>
            <w:tcW w:type="dxa" w:w="3456"/>
            <w:shd w:val="clear" w:color="auto" w:fill="0B2A5B"/>
          </w:tcPr>
          <w:p>
            <w:r/>
            <w:r>
              <w:rPr>
                <w:b/>
                <w:color w:val="FFFFFF"/>
                <w:sz w:val="17"/>
              </w:rPr>
              <w:t>Description</w:t>
            </w:r>
          </w:p>
        </w:tc>
      </w:tr>
      <w:tr>
        <w:tc>
          <w:tcPr>
            <w:tcW w:type="dxa" w:w="1872"/>
          </w:tcPr>
          <w:p>
            <w:r/>
            <w:r>
              <w:rPr>
                <w:sz w:val="17"/>
              </w:rPr>
              <w:t>DimCountry</w:t>
            </w:r>
          </w:p>
        </w:tc>
        <w:tc>
          <w:tcPr>
            <w:tcW w:type="dxa" w:w="2016"/>
          </w:tcPr>
          <w:p>
            <w:r/>
            <w:r>
              <w:rPr>
                <w:sz w:val="17"/>
              </w:rPr>
              <w:t>CountryKey</w:t>
            </w:r>
          </w:p>
        </w:tc>
        <w:tc>
          <w:tcPr>
            <w:tcW w:type="dxa" w:w="1584"/>
          </w:tcPr>
          <w:p>
            <w:r/>
            <w:r>
              <w:rPr>
                <w:sz w:val="17"/>
              </w:rPr>
              <w:t>Whole number</w:t>
            </w:r>
          </w:p>
        </w:tc>
        <w:tc>
          <w:tcPr>
            <w:tcW w:type="dxa" w:w="576"/>
          </w:tcPr>
          <w:p>
            <w:r/>
            <w:r>
              <w:rPr>
                <w:sz w:val="17"/>
              </w:rPr>
              <w:t>PK</w:t>
            </w:r>
          </w:p>
        </w:tc>
        <w:tc>
          <w:tcPr>
            <w:tcW w:type="dxa" w:w="3456"/>
          </w:tcPr>
          <w:p>
            <w:r/>
            <w:r>
              <w:rPr>
                <w:sz w:val="17"/>
              </w:rPr>
              <w:t>Surrogate key</w:t>
            </w:r>
          </w:p>
        </w:tc>
      </w:tr>
      <w:tr>
        <w:tc>
          <w:tcPr>
            <w:tcW w:type="dxa" w:w="1872"/>
            <w:shd w:val="clear" w:color="auto" w:fill="F1F5FB"/>
          </w:tcPr>
          <w:p>
            <w:r/>
            <w:r>
              <w:rPr>
                <w:sz w:val="17"/>
              </w:rPr>
            </w:r>
          </w:p>
        </w:tc>
        <w:tc>
          <w:tcPr>
            <w:tcW w:type="dxa" w:w="2016"/>
            <w:shd w:val="clear" w:color="auto" w:fill="F1F5FB"/>
          </w:tcPr>
          <w:p>
            <w:r/>
            <w:r>
              <w:rPr>
                <w:sz w:val="17"/>
              </w:rPr>
              <w:t>CountryCode</w:t>
            </w:r>
          </w:p>
        </w:tc>
        <w:tc>
          <w:tcPr>
            <w:tcW w:type="dxa" w:w="1584"/>
            <w:shd w:val="clear" w:color="auto" w:fill="F1F5FB"/>
          </w:tcPr>
          <w:p>
            <w:r/>
            <w:r>
              <w:rPr>
                <w:sz w:val="17"/>
              </w:rPr>
              <w:t>Text (3)</w:t>
            </w:r>
          </w:p>
        </w:tc>
        <w:tc>
          <w:tcPr>
            <w:tcW w:type="dxa" w:w="576"/>
            <w:shd w:val="clear" w:color="auto" w:fill="F1F5FB"/>
          </w:tcPr>
          <w:p>
            <w:r/>
            <w:r>
              <w:rPr>
                <w:sz w:val="17"/>
              </w:rPr>
            </w:r>
          </w:p>
        </w:tc>
        <w:tc>
          <w:tcPr>
            <w:tcW w:type="dxa" w:w="3456"/>
            <w:shd w:val="clear" w:color="auto" w:fill="F1F5FB"/>
          </w:tcPr>
          <w:p>
            <w:r/>
            <w:r>
              <w:rPr>
                <w:sz w:val="17"/>
              </w:rPr>
              <w:t>ISO-style code from the source, e.g. EGY</w:t>
            </w:r>
          </w:p>
        </w:tc>
      </w:tr>
      <w:tr>
        <w:tc>
          <w:tcPr>
            <w:tcW w:type="dxa" w:w="1872"/>
          </w:tcPr>
          <w:p>
            <w:r/>
            <w:r>
              <w:rPr>
                <w:sz w:val="17"/>
              </w:rPr>
            </w:r>
          </w:p>
        </w:tc>
        <w:tc>
          <w:tcPr>
            <w:tcW w:type="dxa" w:w="2016"/>
          </w:tcPr>
          <w:p>
            <w:r/>
            <w:r>
              <w:rPr>
                <w:sz w:val="17"/>
              </w:rPr>
              <w:t>CountryName</w:t>
            </w:r>
          </w:p>
        </w:tc>
        <w:tc>
          <w:tcPr>
            <w:tcW w:type="dxa" w:w="1584"/>
          </w:tcPr>
          <w:p>
            <w:r/>
            <w:r>
              <w:rPr>
                <w:sz w:val="17"/>
              </w:rPr>
              <w:t>Text</w:t>
            </w:r>
          </w:p>
        </w:tc>
        <w:tc>
          <w:tcPr>
            <w:tcW w:type="dxa" w:w="576"/>
          </w:tcPr>
          <w:p>
            <w:r/>
            <w:r>
              <w:rPr>
                <w:sz w:val="17"/>
              </w:rPr>
            </w:r>
          </w:p>
        </w:tc>
        <w:tc>
          <w:tcPr>
            <w:tcW w:type="dxa" w:w="3456"/>
          </w:tcPr>
          <w:p>
            <w:r/>
            <w:r>
              <w:rPr>
                <w:sz w:val="17"/>
              </w:rPr>
              <w:t>Standardized name</w:t>
            </w:r>
          </w:p>
        </w:tc>
      </w:tr>
      <w:tr>
        <w:tc>
          <w:tcPr>
            <w:tcW w:type="dxa" w:w="1872"/>
            <w:shd w:val="clear" w:color="auto" w:fill="F1F5FB"/>
          </w:tcPr>
          <w:p>
            <w:r/>
            <w:r>
              <w:rPr>
                <w:sz w:val="17"/>
              </w:rPr>
            </w:r>
          </w:p>
        </w:tc>
        <w:tc>
          <w:tcPr>
            <w:tcW w:type="dxa" w:w="2016"/>
            <w:shd w:val="clear" w:color="auto" w:fill="F1F5FB"/>
          </w:tcPr>
          <w:p>
            <w:r/>
            <w:r>
              <w:rPr>
                <w:sz w:val="17"/>
              </w:rPr>
              <w:t>HasData</w:t>
            </w:r>
          </w:p>
        </w:tc>
        <w:tc>
          <w:tcPr>
            <w:tcW w:type="dxa" w:w="1584"/>
            <w:shd w:val="clear" w:color="auto" w:fill="F1F5FB"/>
          </w:tcPr>
          <w:p>
            <w:r/>
            <w:r>
              <w:rPr>
                <w:sz w:val="17"/>
              </w:rPr>
              <w:t>True/False</w:t>
            </w:r>
          </w:p>
        </w:tc>
        <w:tc>
          <w:tcPr>
            <w:tcW w:type="dxa" w:w="576"/>
            <w:shd w:val="clear" w:color="auto" w:fill="F1F5FB"/>
          </w:tcPr>
          <w:p>
            <w:r/>
            <w:r>
              <w:rPr>
                <w:sz w:val="17"/>
              </w:rPr>
            </w:r>
          </w:p>
        </w:tc>
        <w:tc>
          <w:tcPr>
            <w:tcW w:type="dxa" w:w="3456"/>
            <w:shd w:val="clear" w:color="auto" w:fill="F1F5FB"/>
          </w:tcPr>
          <w:p>
            <w:r/>
            <w:r>
              <w:rPr>
                <w:sz w:val="17"/>
              </w:rPr>
              <w:t>False if the country lacks usable data</w:t>
            </w:r>
          </w:p>
        </w:tc>
      </w:tr>
      <w:tr>
        <w:tc>
          <w:tcPr>
            <w:tcW w:type="dxa" w:w="1872"/>
          </w:tcPr>
          <w:p>
            <w:r/>
            <w:r>
              <w:rPr>
                <w:sz w:val="17"/>
              </w:rPr>
              <w:t>DimIndicator</w:t>
            </w:r>
          </w:p>
        </w:tc>
        <w:tc>
          <w:tcPr>
            <w:tcW w:type="dxa" w:w="2016"/>
          </w:tcPr>
          <w:p>
            <w:r/>
            <w:r>
              <w:rPr>
                <w:sz w:val="17"/>
              </w:rPr>
              <w:t>IndicatorCode</w:t>
            </w:r>
          </w:p>
        </w:tc>
        <w:tc>
          <w:tcPr>
            <w:tcW w:type="dxa" w:w="1584"/>
          </w:tcPr>
          <w:p>
            <w:r/>
            <w:r>
              <w:rPr>
                <w:sz w:val="17"/>
              </w:rPr>
              <w:t>Text</w:t>
            </w:r>
          </w:p>
        </w:tc>
        <w:tc>
          <w:tcPr>
            <w:tcW w:type="dxa" w:w="576"/>
          </w:tcPr>
          <w:p>
            <w:r/>
            <w:r>
              <w:rPr>
                <w:sz w:val="17"/>
              </w:rPr>
              <w:t>PK</w:t>
            </w:r>
          </w:p>
        </w:tc>
        <w:tc>
          <w:tcPr>
            <w:tcW w:type="dxa" w:w="3456"/>
          </w:tcPr>
          <w:p>
            <w:r/>
            <w:r>
              <w:rPr>
                <w:sz w:val="17"/>
              </w:rPr>
              <w:t>Series code, trimmed</w:t>
            </w:r>
          </w:p>
        </w:tc>
      </w:tr>
      <w:tr>
        <w:tc>
          <w:tcPr>
            <w:tcW w:type="dxa" w:w="1872"/>
            <w:shd w:val="clear" w:color="auto" w:fill="F1F5FB"/>
          </w:tcPr>
          <w:p>
            <w:r/>
            <w:r>
              <w:rPr>
                <w:sz w:val="17"/>
              </w:rPr>
            </w:r>
          </w:p>
        </w:tc>
        <w:tc>
          <w:tcPr>
            <w:tcW w:type="dxa" w:w="2016"/>
            <w:shd w:val="clear" w:color="auto" w:fill="F1F5FB"/>
          </w:tcPr>
          <w:p>
            <w:r/>
            <w:r>
              <w:rPr>
                <w:sz w:val="17"/>
              </w:rPr>
              <w:t>IndicatorName</w:t>
            </w:r>
          </w:p>
        </w:tc>
        <w:tc>
          <w:tcPr>
            <w:tcW w:type="dxa" w:w="1584"/>
            <w:shd w:val="clear" w:color="auto" w:fill="F1F5FB"/>
          </w:tcPr>
          <w:p>
            <w:r/>
            <w:r>
              <w:rPr>
                <w:sz w:val="17"/>
              </w:rPr>
              <w:t>Text</w:t>
            </w:r>
          </w:p>
        </w:tc>
        <w:tc>
          <w:tcPr>
            <w:tcW w:type="dxa" w:w="576"/>
            <w:shd w:val="clear" w:color="auto" w:fill="F1F5FB"/>
          </w:tcPr>
          <w:p>
            <w:r/>
            <w:r>
              <w:rPr>
                <w:sz w:val="17"/>
              </w:rPr>
            </w:r>
          </w:p>
        </w:tc>
        <w:tc>
          <w:tcPr>
            <w:tcW w:type="dxa" w:w="3456"/>
            <w:shd w:val="clear" w:color="auto" w:fill="F1F5FB"/>
          </w:tcPr>
          <w:p>
            <w:r/>
            <w:r>
              <w:rPr>
                <w:sz w:val="17"/>
              </w:rPr>
              <w:t>Trimmed series name</w:t>
            </w:r>
          </w:p>
        </w:tc>
      </w:tr>
      <w:tr>
        <w:tc>
          <w:tcPr>
            <w:tcW w:type="dxa" w:w="1872"/>
          </w:tcPr>
          <w:p>
            <w:r/>
            <w:r>
              <w:rPr>
                <w:sz w:val="17"/>
              </w:rPr>
            </w:r>
          </w:p>
        </w:tc>
        <w:tc>
          <w:tcPr>
            <w:tcW w:type="dxa" w:w="2016"/>
          </w:tcPr>
          <w:p>
            <w:r/>
            <w:r>
              <w:rPr>
                <w:sz w:val="17"/>
              </w:rPr>
              <w:t>Topic</w:t>
            </w:r>
          </w:p>
        </w:tc>
        <w:tc>
          <w:tcPr>
            <w:tcW w:type="dxa" w:w="1584"/>
          </w:tcPr>
          <w:p>
            <w:r/>
            <w:r>
              <w:rPr>
                <w:sz w:val="17"/>
              </w:rPr>
              <w:t>Text</w:t>
            </w:r>
          </w:p>
        </w:tc>
        <w:tc>
          <w:tcPr>
            <w:tcW w:type="dxa" w:w="576"/>
          </w:tcPr>
          <w:p>
            <w:r/>
            <w:r>
              <w:rPr>
                <w:sz w:val="17"/>
              </w:rPr>
            </w:r>
          </w:p>
        </w:tc>
        <w:tc>
          <w:tcPr>
            <w:tcW w:type="dxa" w:w="3456"/>
          </w:tcPr>
          <w:p>
            <w:r/>
            <w:r>
              <w:rPr>
                <w:sz w:val="17"/>
              </w:rPr>
              <w:t>From Series - Metadata</w:t>
            </w:r>
          </w:p>
        </w:tc>
      </w:tr>
      <w:tr>
        <w:tc>
          <w:tcPr>
            <w:tcW w:type="dxa" w:w="1872"/>
            <w:shd w:val="clear" w:color="auto" w:fill="F1F5FB"/>
          </w:tcPr>
          <w:p>
            <w:r/>
            <w:r>
              <w:rPr>
                <w:sz w:val="17"/>
              </w:rPr>
            </w:r>
          </w:p>
        </w:tc>
        <w:tc>
          <w:tcPr>
            <w:tcW w:type="dxa" w:w="2016"/>
            <w:shd w:val="clear" w:color="auto" w:fill="F1F5FB"/>
          </w:tcPr>
          <w:p>
            <w:r/>
            <w:r>
              <w:rPr>
                <w:sz w:val="17"/>
              </w:rPr>
              <w:t>UnitOfMeasure</w:t>
            </w:r>
          </w:p>
        </w:tc>
        <w:tc>
          <w:tcPr>
            <w:tcW w:type="dxa" w:w="1584"/>
            <w:shd w:val="clear" w:color="auto" w:fill="F1F5FB"/>
          </w:tcPr>
          <w:p>
            <w:r/>
            <w:r>
              <w:rPr>
                <w:sz w:val="17"/>
              </w:rPr>
              <w:t>Text</w:t>
            </w:r>
          </w:p>
        </w:tc>
        <w:tc>
          <w:tcPr>
            <w:tcW w:type="dxa" w:w="576"/>
            <w:shd w:val="clear" w:color="auto" w:fill="F1F5FB"/>
          </w:tcPr>
          <w:p>
            <w:r/>
            <w:r>
              <w:rPr>
                <w:sz w:val="17"/>
              </w:rPr>
            </w:r>
          </w:p>
        </w:tc>
        <w:tc>
          <w:tcPr>
            <w:tcW w:type="dxa" w:w="3456"/>
            <w:shd w:val="clear" w:color="auto" w:fill="F1F5FB"/>
          </w:tcPr>
          <w:p>
            <w:r/>
            <w:r>
              <w:rPr>
                <w:sz w:val="17"/>
              </w:rPr>
              <w:t>From Series - Metadata</w:t>
            </w:r>
          </w:p>
        </w:tc>
      </w:tr>
      <w:tr>
        <w:tc>
          <w:tcPr>
            <w:tcW w:type="dxa" w:w="1872"/>
          </w:tcPr>
          <w:p>
            <w:r/>
            <w:r>
              <w:rPr>
                <w:sz w:val="17"/>
              </w:rPr>
            </w:r>
          </w:p>
        </w:tc>
        <w:tc>
          <w:tcPr>
            <w:tcW w:type="dxa" w:w="2016"/>
          </w:tcPr>
          <w:p>
            <w:r/>
            <w:r>
              <w:rPr>
                <w:sz w:val="17"/>
              </w:rPr>
              <w:t>Definition</w:t>
            </w:r>
          </w:p>
        </w:tc>
        <w:tc>
          <w:tcPr>
            <w:tcW w:type="dxa" w:w="1584"/>
          </w:tcPr>
          <w:p>
            <w:r/>
            <w:r>
              <w:rPr>
                <w:sz w:val="17"/>
              </w:rPr>
              <w:t>Text</w:t>
            </w:r>
          </w:p>
        </w:tc>
        <w:tc>
          <w:tcPr>
            <w:tcW w:type="dxa" w:w="576"/>
          </w:tcPr>
          <w:p>
            <w:r/>
            <w:r>
              <w:rPr>
                <w:sz w:val="17"/>
              </w:rPr>
            </w:r>
          </w:p>
        </w:tc>
        <w:tc>
          <w:tcPr>
            <w:tcW w:type="dxa" w:w="3456"/>
          </w:tcPr>
          <w:p>
            <w:r/>
            <w:r>
              <w:rPr>
                <w:sz w:val="17"/>
              </w:rPr>
              <w:t>Long definition</w:t>
            </w:r>
          </w:p>
        </w:tc>
      </w:tr>
      <w:tr>
        <w:tc>
          <w:tcPr>
            <w:tcW w:type="dxa" w:w="1872"/>
            <w:shd w:val="clear" w:color="auto" w:fill="F1F5FB"/>
          </w:tcPr>
          <w:p>
            <w:r/>
            <w:r>
              <w:rPr>
                <w:sz w:val="17"/>
              </w:rPr>
            </w:r>
          </w:p>
        </w:tc>
        <w:tc>
          <w:tcPr>
            <w:tcW w:type="dxa" w:w="2016"/>
            <w:shd w:val="clear" w:color="auto" w:fill="F1F5FB"/>
          </w:tcPr>
          <w:p>
            <w:r/>
            <w:r>
              <w:rPr>
                <w:sz w:val="17"/>
              </w:rPr>
              <w:t>Source</w:t>
            </w:r>
          </w:p>
        </w:tc>
        <w:tc>
          <w:tcPr>
            <w:tcW w:type="dxa" w:w="1584"/>
            <w:shd w:val="clear" w:color="auto" w:fill="F1F5FB"/>
          </w:tcPr>
          <w:p>
            <w:r/>
            <w:r>
              <w:rPr>
                <w:sz w:val="17"/>
              </w:rPr>
              <w:t>Text</w:t>
            </w:r>
          </w:p>
        </w:tc>
        <w:tc>
          <w:tcPr>
            <w:tcW w:type="dxa" w:w="576"/>
            <w:shd w:val="clear" w:color="auto" w:fill="F1F5FB"/>
          </w:tcPr>
          <w:p>
            <w:r/>
            <w:r>
              <w:rPr>
                <w:sz w:val="17"/>
              </w:rPr>
            </w:r>
          </w:p>
        </w:tc>
        <w:tc>
          <w:tcPr>
            <w:tcW w:type="dxa" w:w="3456"/>
            <w:shd w:val="clear" w:color="auto" w:fill="F1F5FB"/>
          </w:tcPr>
          <w:p>
            <w:r/>
            <w:r>
              <w:rPr>
                <w:sz w:val="17"/>
              </w:rPr>
              <w:t>Data source note</w:t>
            </w:r>
          </w:p>
        </w:tc>
      </w:tr>
      <w:tr>
        <w:tc>
          <w:tcPr>
            <w:tcW w:type="dxa" w:w="1872"/>
          </w:tcPr>
          <w:p>
            <w:r/>
            <w:r>
              <w:rPr>
                <w:sz w:val="17"/>
              </w:rPr>
              <w:t>DimYear</w:t>
            </w:r>
          </w:p>
        </w:tc>
        <w:tc>
          <w:tcPr>
            <w:tcW w:type="dxa" w:w="2016"/>
          </w:tcPr>
          <w:p>
            <w:r/>
            <w:r>
              <w:rPr>
                <w:sz w:val="17"/>
              </w:rPr>
              <w:t>Year</w:t>
            </w:r>
          </w:p>
        </w:tc>
        <w:tc>
          <w:tcPr>
            <w:tcW w:type="dxa" w:w="1584"/>
          </w:tcPr>
          <w:p>
            <w:r/>
            <w:r>
              <w:rPr>
                <w:sz w:val="17"/>
              </w:rPr>
              <w:t>Whole number</w:t>
            </w:r>
          </w:p>
        </w:tc>
        <w:tc>
          <w:tcPr>
            <w:tcW w:type="dxa" w:w="576"/>
          </w:tcPr>
          <w:p>
            <w:r/>
            <w:r>
              <w:rPr>
                <w:sz w:val="17"/>
              </w:rPr>
              <w:t>PK</w:t>
            </w:r>
          </w:p>
        </w:tc>
        <w:tc>
          <w:tcPr>
            <w:tcW w:type="dxa" w:w="3456"/>
          </w:tcPr>
          <w:p>
            <w:r/>
            <w:r>
              <w:rPr>
                <w:sz w:val="17"/>
              </w:rPr>
              <w:t>2000–2025 (2009 has no data)</w:t>
            </w:r>
          </w:p>
        </w:tc>
      </w:tr>
      <w:tr>
        <w:tc>
          <w:tcPr>
            <w:tcW w:type="dxa" w:w="1872"/>
            <w:shd w:val="clear" w:color="auto" w:fill="F1F5FB"/>
          </w:tcPr>
          <w:p>
            <w:r/>
            <w:r>
              <w:rPr>
                <w:sz w:val="17"/>
              </w:rPr>
            </w:r>
          </w:p>
        </w:tc>
        <w:tc>
          <w:tcPr>
            <w:tcW w:type="dxa" w:w="2016"/>
            <w:shd w:val="clear" w:color="auto" w:fill="F1F5FB"/>
          </w:tcPr>
          <w:p>
            <w:r/>
            <w:r>
              <w:rPr>
                <w:sz w:val="17"/>
              </w:rPr>
              <w:t>Decade</w:t>
            </w:r>
          </w:p>
        </w:tc>
        <w:tc>
          <w:tcPr>
            <w:tcW w:type="dxa" w:w="1584"/>
            <w:shd w:val="clear" w:color="auto" w:fill="F1F5FB"/>
          </w:tcPr>
          <w:p>
            <w:r/>
            <w:r>
              <w:rPr>
                <w:sz w:val="17"/>
              </w:rPr>
              <w:t>Text</w:t>
            </w:r>
          </w:p>
        </w:tc>
        <w:tc>
          <w:tcPr>
            <w:tcW w:type="dxa" w:w="576"/>
            <w:shd w:val="clear" w:color="auto" w:fill="F1F5FB"/>
          </w:tcPr>
          <w:p>
            <w:r/>
            <w:r>
              <w:rPr>
                <w:sz w:val="17"/>
              </w:rPr>
            </w:r>
          </w:p>
        </w:tc>
        <w:tc>
          <w:tcPr>
            <w:tcW w:type="dxa" w:w="3456"/>
            <w:shd w:val="clear" w:color="auto" w:fill="F1F5FB"/>
          </w:tcPr>
          <w:p>
            <w:r/>
            <w:r>
              <w:rPr>
                <w:sz w:val="17"/>
              </w:rPr>
              <w:t>e.g. 2000s</w:t>
            </w:r>
          </w:p>
        </w:tc>
      </w:tr>
      <w:tr>
        <w:tc>
          <w:tcPr>
            <w:tcW w:type="dxa" w:w="1872"/>
          </w:tcPr>
          <w:p>
            <w:r/>
            <w:r>
              <w:rPr>
                <w:sz w:val="17"/>
              </w:rPr>
              <w:t>FactIndicatorValue</w:t>
            </w:r>
          </w:p>
        </w:tc>
        <w:tc>
          <w:tcPr>
            <w:tcW w:type="dxa" w:w="2016"/>
          </w:tcPr>
          <w:p>
            <w:r/>
            <w:r>
              <w:rPr>
                <w:sz w:val="17"/>
              </w:rPr>
              <w:t>CountryKey</w:t>
            </w:r>
          </w:p>
        </w:tc>
        <w:tc>
          <w:tcPr>
            <w:tcW w:type="dxa" w:w="1584"/>
          </w:tcPr>
          <w:p>
            <w:r/>
            <w:r>
              <w:rPr>
                <w:sz w:val="17"/>
              </w:rPr>
              <w:t>Whole number</w:t>
            </w:r>
          </w:p>
        </w:tc>
        <w:tc>
          <w:tcPr>
            <w:tcW w:type="dxa" w:w="576"/>
          </w:tcPr>
          <w:p>
            <w:r/>
            <w:r>
              <w:rPr>
                <w:sz w:val="17"/>
              </w:rPr>
              <w:t>FK</w:t>
            </w:r>
          </w:p>
        </w:tc>
        <w:tc>
          <w:tcPr>
            <w:tcW w:type="dxa" w:w="3456"/>
          </w:tcPr>
          <w:p>
            <w:r/>
            <w:r>
              <w:rPr>
                <w:sz w:val="17"/>
              </w:rPr>
              <w:t>→ DimCountry</w:t>
            </w:r>
          </w:p>
        </w:tc>
      </w:tr>
      <w:tr>
        <w:tc>
          <w:tcPr>
            <w:tcW w:type="dxa" w:w="1872"/>
            <w:shd w:val="clear" w:color="auto" w:fill="F1F5FB"/>
          </w:tcPr>
          <w:p>
            <w:r/>
            <w:r>
              <w:rPr>
                <w:sz w:val="17"/>
              </w:rPr>
            </w:r>
          </w:p>
        </w:tc>
        <w:tc>
          <w:tcPr>
            <w:tcW w:type="dxa" w:w="2016"/>
            <w:shd w:val="clear" w:color="auto" w:fill="F1F5FB"/>
          </w:tcPr>
          <w:p>
            <w:r/>
            <w:r>
              <w:rPr>
                <w:sz w:val="17"/>
              </w:rPr>
              <w:t>IndicatorCode</w:t>
            </w:r>
          </w:p>
        </w:tc>
        <w:tc>
          <w:tcPr>
            <w:tcW w:type="dxa" w:w="1584"/>
            <w:shd w:val="clear" w:color="auto" w:fill="F1F5FB"/>
          </w:tcPr>
          <w:p>
            <w:r/>
            <w:r>
              <w:rPr>
                <w:sz w:val="17"/>
              </w:rPr>
              <w:t>Text</w:t>
            </w:r>
          </w:p>
        </w:tc>
        <w:tc>
          <w:tcPr>
            <w:tcW w:type="dxa" w:w="576"/>
            <w:shd w:val="clear" w:color="auto" w:fill="F1F5FB"/>
          </w:tcPr>
          <w:p>
            <w:r/>
            <w:r>
              <w:rPr>
                <w:sz w:val="17"/>
              </w:rPr>
              <w:t>FK</w:t>
            </w:r>
          </w:p>
        </w:tc>
        <w:tc>
          <w:tcPr>
            <w:tcW w:type="dxa" w:w="3456"/>
            <w:shd w:val="clear" w:color="auto" w:fill="F1F5FB"/>
          </w:tcPr>
          <w:p>
            <w:r/>
            <w:r>
              <w:rPr>
                <w:sz w:val="17"/>
              </w:rPr>
              <w:t>→ DimIndicator</w:t>
            </w:r>
          </w:p>
        </w:tc>
      </w:tr>
      <w:tr>
        <w:tc>
          <w:tcPr>
            <w:tcW w:type="dxa" w:w="1872"/>
          </w:tcPr>
          <w:p>
            <w:r/>
            <w:r>
              <w:rPr>
                <w:sz w:val="17"/>
              </w:rPr>
            </w:r>
          </w:p>
        </w:tc>
        <w:tc>
          <w:tcPr>
            <w:tcW w:type="dxa" w:w="2016"/>
          </w:tcPr>
          <w:p>
            <w:r/>
            <w:r>
              <w:rPr>
                <w:sz w:val="17"/>
              </w:rPr>
              <w:t>Year</w:t>
            </w:r>
          </w:p>
        </w:tc>
        <w:tc>
          <w:tcPr>
            <w:tcW w:type="dxa" w:w="1584"/>
          </w:tcPr>
          <w:p>
            <w:r/>
            <w:r>
              <w:rPr>
                <w:sz w:val="17"/>
              </w:rPr>
              <w:t>Whole number</w:t>
            </w:r>
          </w:p>
        </w:tc>
        <w:tc>
          <w:tcPr>
            <w:tcW w:type="dxa" w:w="576"/>
          </w:tcPr>
          <w:p>
            <w:r/>
            <w:r>
              <w:rPr>
                <w:sz w:val="17"/>
              </w:rPr>
              <w:t>FK</w:t>
            </w:r>
          </w:p>
        </w:tc>
        <w:tc>
          <w:tcPr>
            <w:tcW w:type="dxa" w:w="3456"/>
          </w:tcPr>
          <w:p>
            <w:r/>
            <w:r>
              <w:rPr>
                <w:sz w:val="17"/>
              </w:rPr>
              <w:t>→ DimYear</w:t>
            </w:r>
          </w:p>
        </w:tc>
      </w:tr>
      <w:tr>
        <w:tc>
          <w:tcPr>
            <w:tcW w:type="dxa" w:w="1872"/>
            <w:shd w:val="clear" w:color="auto" w:fill="F1F5FB"/>
          </w:tcPr>
          <w:p>
            <w:r/>
            <w:r>
              <w:rPr>
                <w:sz w:val="17"/>
              </w:rPr>
            </w:r>
          </w:p>
        </w:tc>
        <w:tc>
          <w:tcPr>
            <w:tcW w:type="dxa" w:w="2016"/>
            <w:shd w:val="clear" w:color="auto" w:fill="F1F5FB"/>
          </w:tcPr>
          <w:p>
            <w:r/>
            <w:r>
              <w:rPr>
                <w:sz w:val="17"/>
              </w:rPr>
              <w:t>Value</w:t>
            </w:r>
          </w:p>
        </w:tc>
        <w:tc>
          <w:tcPr>
            <w:tcW w:type="dxa" w:w="1584"/>
            <w:shd w:val="clear" w:color="auto" w:fill="F1F5FB"/>
          </w:tcPr>
          <w:p>
            <w:r/>
            <w:r>
              <w:rPr>
                <w:sz w:val="17"/>
              </w:rPr>
              <w:t>Decimal (nullable)</w:t>
            </w:r>
          </w:p>
        </w:tc>
        <w:tc>
          <w:tcPr>
            <w:tcW w:type="dxa" w:w="576"/>
            <w:shd w:val="clear" w:color="auto" w:fill="F1F5FB"/>
          </w:tcPr>
          <w:p>
            <w:r/>
            <w:r>
              <w:rPr>
                <w:sz w:val="17"/>
              </w:rPr>
            </w:r>
          </w:p>
        </w:tc>
        <w:tc>
          <w:tcPr>
            <w:tcW w:type="dxa" w:w="3456"/>
            <w:shd w:val="clear" w:color="auto" w:fill="F1F5FB"/>
          </w:tcPr>
          <w:p>
            <w:r/>
            <w:r>
              <w:rPr>
                <w:sz w:val="17"/>
              </w:rPr>
              <w:t>Null when the source has "..", "-" or no value</w:t>
            </w:r>
          </w:p>
        </w:tc>
      </w:tr>
      <w:tr>
        <w:tc>
          <w:tcPr>
            <w:tcW w:type="dxa" w:w="1872"/>
          </w:tcPr>
          <w:p>
            <w:r/>
            <w:r>
              <w:rPr>
                <w:sz w:val="17"/>
              </w:rPr>
              <w:t>ExcludedEntities</w:t>
            </w:r>
          </w:p>
        </w:tc>
        <w:tc>
          <w:tcPr>
            <w:tcW w:type="dxa" w:w="2016"/>
          </w:tcPr>
          <w:p>
            <w:r/>
            <w:r>
              <w:rPr>
                <w:sz w:val="17"/>
              </w:rPr>
              <w:t>EntityType / EntityName / Reason</w:t>
            </w:r>
          </w:p>
        </w:tc>
        <w:tc>
          <w:tcPr>
            <w:tcW w:type="dxa" w:w="1584"/>
          </w:tcPr>
          <w:p>
            <w:r/>
            <w:r>
              <w:rPr>
                <w:sz w:val="17"/>
              </w:rPr>
              <w:t>Text</w:t>
            </w:r>
          </w:p>
        </w:tc>
        <w:tc>
          <w:tcPr>
            <w:tcW w:type="dxa" w:w="576"/>
          </w:tcPr>
          <w:p>
            <w:r/>
            <w:r>
              <w:rPr>
                <w:sz w:val="17"/>
              </w:rPr>
            </w:r>
          </w:p>
        </w:tc>
        <w:tc>
          <w:tcPr>
            <w:tcW w:type="dxa" w:w="3456"/>
          </w:tcPr>
          <w:p>
            <w:r/>
            <w:r>
              <w:rPr>
                <w:sz w:val="17"/>
              </w:rPr>
              <w:t>Countries or indicators lacking data</w:t>
            </w:r>
          </w:p>
        </w:tc>
      </w:tr>
    </w:tbl>
    <w:p>
      <w:pPr>
        <w:spacing w:after="40"/>
      </w:pPr>
    </w:p>
    <w:p>
      <w:pPr>
        <w:spacing w:after="120"/>
      </w:pPr>
      <w:r>
        <w:rPr>
          <w:b w:val="0"/>
          <w:i w:val="0"/>
        </w:rPr>
        <w:t>Normalization: the model is in third normal form for the dimensions (each attribute depends only on its key) and uses a fact table at the grain "one value per country, indicator and year". Unpivoting the 25 year columns into rows removes the repeating-column design of the source sheet. The composite key (CountryKey, IndicatorCode, Year) is unique after duplicate removal.</w:t>
      </w:r>
    </w:p>
    <w:p>
      <w:pPr>
        <w:pStyle w:val="Heading2"/>
      </w:pPr>
      <w:r>
        <w:t>Data cleaning rules</w:t>
      </w:r>
    </w:p>
    <w:tbl>
      <w:tblPr>
        <w:tblStyle w:val="TableGrid"/>
        <w:tblW w:type="auto" w:w="0"/>
        <w:jc w:val="center"/>
        <w:tblLayout w:type="fixed"/>
        <w:tblLook w:firstColumn="1" w:firstRow="1" w:lastColumn="0" w:lastRow="0" w:noHBand="0" w:noVBand="1" w:val="04A0"/>
        <w:tblLayout w:type="fixed"/>
      </w:tblPr>
      <w:tblGrid>
        <w:gridCol w:w="4320"/>
        <w:gridCol w:w="5184"/>
      </w:tblGrid>
      <w:tr>
        <w:trPr>
          <w:tblHeader w:val="true"/>
        </w:trPr>
        <w:tc>
          <w:tcPr>
            <w:tcW w:type="dxa" w:w="4320"/>
            <w:shd w:val="clear" w:color="auto" w:fill="0B2A5B"/>
          </w:tcPr>
          <w:p>
            <w:r/>
            <w:r>
              <w:rPr>
                <w:b/>
                <w:color w:val="FFFFFF"/>
                <w:sz w:val="18"/>
              </w:rPr>
              <w:t>Issue in source</w:t>
            </w:r>
          </w:p>
        </w:tc>
        <w:tc>
          <w:tcPr>
            <w:tcW w:type="dxa" w:w="5184"/>
            <w:shd w:val="clear" w:color="auto" w:fill="0B2A5B"/>
          </w:tcPr>
          <w:p>
            <w:r/>
            <w:r>
              <w:rPr>
                <w:b/>
                <w:color w:val="FFFFFF"/>
                <w:sz w:val="18"/>
              </w:rPr>
              <w:t>Rule applied</w:t>
            </w:r>
          </w:p>
        </w:tc>
      </w:tr>
      <w:tr>
        <w:tc>
          <w:tcPr>
            <w:tcW w:type="dxa" w:w="4320"/>
          </w:tcPr>
          <w:p>
            <w:r/>
            <w:r>
              <w:rPr>
                <w:sz w:val="18"/>
              </w:rPr>
              <w:t>Spelling and case variants of country names</w:t>
            </w:r>
          </w:p>
        </w:tc>
        <w:tc>
          <w:tcPr>
            <w:tcW w:type="dxa" w:w="5184"/>
          </w:tcPr>
          <w:p>
            <w:r/>
            <w:r>
              <w:rPr>
                <w:sz w:val="18"/>
              </w:rPr>
              <w:t>Trim spaces, then map to one standard name (table below)</w:t>
            </w:r>
          </w:p>
        </w:tc>
      </w:tr>
      <w:tr>
        <w:tc>
          <w:tcPr>
            <w:tcW w:type="dxa" w:w="4320"/>
            <w:shd w:val="clear" w:color="auto" w:fill="F1F5FB"/>
          </w:tcPr>
          <w:p>
            <w:r/>
            <w:r>
              <w:rPr>
                <w:sz w:val="18"/>
              </w:rPr>
              <w:t>".." and "-" in year cells</w:t>
            </w:r>
          </w:p>
        </w:tc>
        <w:tc>
          <w:tcPr>
            <w:tcW w:type="dxa" w:w="5184"/>
            <w:shd w:val="clear" w:color="auto" w:fill="F1F5FB"/>
          </w:tcPr>
          <w:p>
            <w:r/>
            <w:r>
              <w:rPr>
                <w:sz w:val="18"/>
              </w:rPr>
              <w:t>Convert to null</w:t>
            </w:r>
          </w:p>
        </w:tc>
      </w:tr>
      <w:tr>
        <w:tc>
          <w:tcPr>
            <w:tcW w:type="dxa" w:w="4320"/>
          </w:tcPr>
          <w:p>
            <w:r/>
            <w:r>
              <w:rPr>
                <w:sz w:val="18"/>
              </w:rPr>
              <w:t>Numbers stored as text, e.g. "295,282.00"</w:t>
            </w:r>
          </w:p>
        </w:tc>
        <w:tc>
          <w:tcPr>
            <w:tcW w:type="dxa" w:w="5184"/>
          </w:tcPr>
          <w:p>
            <w:r/>
            <w:r>
              <w:rPr>
                <w:sz w:val="18"/>
              </w:rPr>
              <w:t>Remove thousands separators and convert to decimal</w:t>
            </w:r>
          </w:p>
        </w:tc>
      </w:tr>
      <w:tr>
        <w:tc>
          <w:tcPr>
            <w:tcW w:type="dxa" w:w="4320"/>
            <w:shd w:val="clear" w:color="auto" w:fill="F1F5FB"/>
          </w:tcPr>
          <w:p>
            <w:r/>
            <w:r>
              <w:rPr>
                <w:sz w:val="18"/>
              </w:rPr>
              <w:t>Duplicate country–indicator rows (6)</w:t>
            </w:r>
          </w:p>
        </w:tc>
        <w:tc>
          <w:tcPr>
            <w:tcW w:type="dxa" w:w="5184"/>
            <w:shd w:val="clear" w:color="auto" w:fill="F1F5FB"/>
          </w:tcPr>
          <w:p>
            <w:r/>
            <w:r>
              <w:rPr>
                <w:sz w:val="18"/>
              </w:rPr>
              <w:t>Keep one row per key</w:t>
            </w:r>
          </w:p>
        </w:tc>
      </w:tr>
      <w:tr>
        <w:tc>
          <w:tcPr>
            <w:tcW w:type="dxa" w:w="4320"/>
          </w:tcPr>
          <w:p>
            <w:r/>
            <w:r>
              <w:rPr>
                <w:sz w:val="18"/>
              </w:rPr>
              <w:t>Empty rows (100) and non-data rows (4: blank rows and source/date notes)</w:t>
            </w:r>
          </w:p>
        </w:tc>
        <w:tc>
          <w:tcPr>
            <w:tcW w:type="dxa" w:w="5184"/>
          </w:tcPr>
          <w:p>
            <w:r/>
            <w:r>
              <w:rPr>
                <w:sz w:val="18"/>
              </w:rPr>
              <w:t>Remove from the fact table; log the empty rows</w:t>
            </w:r>
          </w:p>
        </w:tc>
      </w:tr>
      <w:tr>
        <w:tc>
          <w:tcPr>
            <w:tcW w:type="dxa" w:w="4320"/>
            <w:shd w:val="clear" w:color="auto" w:fill="F1F5FB"/>
          </w:tcPr>
          <w:p>
            <w:r/>
            <w:r>
              <w:rPr>
                <w:sz w:val="18"/>
              </w:rPr>
              <w:t>Year columns named like "2000 [YR2000]"</w:t>
            </w:r>
          </w:p>
        </w:tc>
        <w:tc>
          <w:tcPr>
            <w:tcW w:type="dxa" w:w="5184"/>
            <w:shd w:val="clear" w:color="auto" w:fill="F1F5FB"/>
          </w:tcPr>
          <w:p>
            <w:r/>
            <w:r>
              <w:rPr>
                <w:sz w:val="18"/>
              </w:rPr>
              <w:t>Extract the 4-digit year, then unpivot</w:t>
            </w:r>
          </w:p>
        </w:tc>
      </w:tr>
      <w:tr>
        <w:tc>
          <w:tcPr>
            <w:tcW w:type="dxa" w:w="4320"/>
          </w:tcPr>
          <w:p>
            <w:r/>
            <w:r>
              <w:rPr>
                <w:sz w:val="18"/>
              </w:rPr>
              <w:t>Indicators without metadata (6)</w:t>
            </w:r>
          </w:p>
        </w:tc>
        <w:tc>
          <w:tcPr>
            <w:tcW w:type="dxa" w:w="5184"/>
          </w:tcPr>
          <w:p>
            <w:r/>
            <w:r>
              <w:rPr>
                <w:sz w:val="18"/>
              </w:rPr>
              <w:t>Keep, mark Topic = "Not in metadata", exclude from comparison visuals</w:t>
            </w:r>
          </w:p>
        </w:tc>
      </w:tr>
      <w:tr>
        <w:tc>
          <w:tcPr>
            <w:tcW w:type="dxa" w:w="4320"/>
            <w:shd w:val="clear" w:color="auto" w:fill="F1F5FB"/>
          </w:tcPr>
          <w:p>
            <w:r/>
            <w:r>
              <w:rPr>
                <w:sz w:val="18"/>
              </w:rPr>
              <w:t>Indicator with no values at all (1)</w:t>
            </w:r>
          </w:p>
        </w:tc>
        <w:tc>
          <w:tcPr>
            <w:tcW w:type="dxa" w:w="5184"/>
            <w:shd w:val="clear" w:color="auto" w:fill="F1F5FB"/>
          </w:tcPr>
          <w:p>
            <w:r/>
            <w:r>
              <w:rPr>
                <w:sz w:val="18"/>
              </w:rPr>
              <w:t>Move to ExcludedEntities</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6048"/>
        <w:gridCol w:w="3456"/>
      </w:tblGrid>
      <w:tr>
        <w:trPr>
          <w:tblHeader w:val="true"/>
        </w:trPr>
        <w:tc>
          <w:tcPr>
            <w:tcW w:type="dxa" w:w="6048"/>
            <w:shd w:val="clear" w:color="auto" w:fill="0B2A5B"/>
          </w:tcPr>
          <w:p>
            <w:r/>
            <w:r>
              <w:rPr>
                <w:b/>
                <w:color w:val="FFFFFF"/>
                <w:sz w:val="18"/>
              </w:rPr>
              <w:t>Raw variants found</w:t>
            </w:r>
          </w:p>
        </w:tc>
        <w:tc>
          <w:tcPr>
            <w:tcW w:type="dxa" w:w="3456"/>
            <w:shd w:val="clear" w:color="auto" w:fill="0B2A5B"/>
          </w:tcPr>
          <w:p>
            <w:r/>
            <w:r>
              <w:rPr>
                <w:b/>
                <w:color w:val="FFFFFF"/>
                <w:sz w:val="18"/>
              </w:rPr>
              <w:t>Standard name</w:t>
            </w:r>
          </w:p>
        </w:tc>
      </w:tr>
      <w:tr>
        <w:tc>
          <w:tcPr>
            <w:tcW w:type="dxa" w:w="6048"/>
          </w:tcPr>
          <w:p>
            <w:r/>
            <w:r>
              <w:rPr>
                <w:sz w:val="18"/>
              </w:rPr>
              <w:t>Egypt, Arab Rep. / EGYPT, ARAB REP. / egypt / Egypt</w:t>
            </w:r>
          </w:p>
        </w:tc>
        <w:tc>
          <w:tcPr>
            <w:tcW w:type="dxa" w:w="3456"/>
          </w:tcPr>
          <w:p>
            <w:r/>
            <w:r>
              <w:rPr>
                <w:sz w:val="18"/>
              </w:rPr>
              <w:t>Egypt</w:t>
            </w:r>
          </w:p>
        </w:tc>
      </w:tr>
      <w:tr>
        <w:tc>
          <w:tcPr>
            <w:tcW w:type="dxa" w:w="6048"/>
            <w:shd w:val="clear" w:color="auto" w:fill="F1F5FB"/>
          </w:tcPr>
          <w:p>
            <w:r/>
            <w:r>
              <w:rPr>
                <w:sz w:val="18"/>
              </w:rPr>
              <w:t>USA / United States / united states / United States of America</w:t>
            </w:r>
          </w:p>
        </w:tc>
        <w:tc>
          <w:tcPr>
            <w:tcW w:type="dxa" w:w="3456"/>
            <w:shd w:val="clear" w:color="auto" w:fill="F1F5FB"/>
          </w:tcPr>
          <w:p>
            <w:r/>
            <w:r>
              <w:rPr>
                <w:sz w:val="18"/>
              </w:rPr>
              <w:t>United States</w:t>
            </w:r>
          </w:p>
        </w:tc>
      </w:tr>
      <w:tr>
        <w:tc>
          <w:tcPr>
            <w:tcW w:type="dxa" w:w="6048"/>
          </w:tcPr>
          <w:p>
            <w:r/>
            <w:r>
              <w:rPr>
                <w:sz w:val="18"/>
              </w:rPr>
              <w:t>Korea, Rep. / Korea Rep / South Korea</w:t>
            </w:r>
          </w:p>
        </w:tc>
        <w:tc>
          <w:tcPr>
            <w:tcW w:type="dxa" w:w="3456"/>
          </w:tcPr>
          <w:p>
            <w:r/>
            <w:r>
              <w:rPr>
                <w:sz w:val="18"/>
              </w:rPr>
              <w:t>South Korea</w:t>
            </w:r>
          </w:p>
        </w:tc>
      </w:tr>
      <w:tr>
        <w:tc>
          <w:tcPr>
            <w:tcW w:type="dxa" w:w="6048"/>
            <w:shd w:val="clear" w:color="auto" w:fill="F1F5FB"/>
          </w:tcPr>
          <w:p>
            <w:r/>
            <w:r>
              <w:rPr>
                <w:sz w:val="18"/>
              </w:rPr>
              <w:t>Russian Federation / Russia</w:t>
            </w:r>
          </w:p>
        </w:tc>
        <w:tc>
          <w:tcPr>
            <w:tcW w:type="dxa" w:w="3456"/>
            <w:shd w:val="clear" w:color="auto" w:fill="F1F5FB"/>
          </w:tcPr>
          <w:p>
            <w:r/>
            <w:r>
              <w:rPr>
                <w:sz w:val="18"/>
              </w:rPr>
              <w:t>Russia</w:t>
            </w:r>
          </w:p>
        </w:tc>
      </w:tr>
      <w:tr>
        <w:tc>
          <w:tcPr>
            <w:tcW w:type="dxa" w:w="6048"/>
          </w:tcPr>
          <w:p>
            <w:r/>
            <w:r>
              <w:rPr>
                <w:sz w:val="18"/>
              </w:rPr>
              <w:t>Turkiye / Turkey</w:t>
            </w:r>
          </w:p>
        </w:tc>
        <w:tc>
          <w:tcPr>
            <w:tcW w:type="dxa" w:w="3456"/>
          </w:tcPr>
          <w:p>
            <w:r/>
            <w:r>
              <w:rPr>
                <w:sz w:val="18"/>
              </w:rPr>
              <w:t>Turkey</w:t>
            </w:r>
          </w:p>
        </w:tc>
      </w:tr>
      <w:tr>
        <w:tc>
          <w:tcPr>
            <w:tcW w:type="dxa" w:w="6048"/>
            <w:shd w:val="clear" w:color="auto" w:fill="F1F5FB"/>
          </w:tcPr>
          <w:p>
            <w:r/>
            <w:r>
              <w:rPr>
                <w:sz w:val="18"/>
              </w:rPr>
              <w:t>Names with leading/trailing spaces (Argentina, Australia, France, India, Italy, Nigeria, Saudi Arabia, United Kingdom)</w:t>
            </w:r>
          </w:p>
        </w:tc>
        <w:tc>
          <w:tcPr>
            <w:tcW w:type="dxa" w:w="3456"/>
            <w:shd w:val="clear" w:color="auto" w:fill="F1F5FB"/>
          </w:tcPr>
          <w:p>
            <w:r/>
            <w:r>
              <w:rPr>
                <w:sz w:val="18"/>
              </w:rPr>
              <w:t>Trimmed name</w:t>
            </w:r>
          </w:p>
        </w:tc>
      </w:tr>
    </w:tbl>
    <w:p>
      <w:pPr>
        <w:spacing w:after="40"/>
      </w:pPr>
    </w:p>
    <w:p>
      <w:r>
        <w:rPr>
          <w:i/>
          <w:color w:val="8A4B00"/>
          <w:sz w:val="20"/>
        </w:rPr>
        <w:t>Note: Standard display names are a team choice; the official WDI names can be kept as an extra column if the instructor prefers them.</w:t>
      </w:r>
    </w:p>
    <w:p>
      <w:pPr>
        <w:pStyle w:val="Heading1"/>
      </w:pPr>
      <w:r>
        <w:t>5. Data Flow &amp; System Behavior</w:t>
      </w:r>
    </w:p>
    <w:p>
      <w:pPr>
        <w:jc w:val="center"/>
      </w:pPr>
      <w:r>
        <w:drawing>
          <wp:inline xmlns:a="http://schemas.openxmlformats.org/drawingml/2006/main" xmlns:pic="http://schemas.openxmlformats.org/drawingml/2006/picture">
            <wp:extent cx="5303520" cy="1980210"/>
            <wp:docPr id="3" name="Picture 3"/>
            <wp:cNvGraphicFramePr>
              <a:graphicFrameLocks noChangeAspect="1"/>
            </wp:cNvGraphicFramePr>
            <a:graphic>
              <a:graphicData uri="http://schemas.openxmlformats.org/drawingml/2006/picture">
                <pic:pic>
                  <pic:nvPicPr>
                    <pic:cNvPr id="0" name="dfd0.png"/>
                    <pic:cNvPicPr/>
                  </pic:nvPicPr>
                  <pic:blipFill>
                    <a:blip r:embed="rId12"/>
                    <a:stretch>
                      <a:fillRect/>
                    </a:stretch>
                  </pic:blipFill>
                  <pic:spPr>
                    <a:xfrm>
                      <a:off x="0" y="0"/>
                      <a:ext cx="5303520" cy="1980210"/>
                    </a:xfrm>
                    <a:prstGeom prst="rect"/>
                  </pic:spPr>
                </pic:pic>
              </a:graphicData>
            </a:graphic>
          </wp:inline>
        </w:drawing>
      </w:r>
    </w:p>
    <w:p>
      <w:pPr>
        <w:jc w:val="center"/>
      </w:pPr>
      <w:r>
        <w:rPr>
          <w:i/>
          <w:sz w:val="18"/>
        </w:rPr>
        <w:t>Figure 3 – DFD context level (Level 0)</w:t>
      </w:r>
    </w:p>
    <w:p>
      <w:pPr>
        <w:jc w:val="center"/>
      </w:pPr>
      <w:r>
        <w:drawing>
          <wp:inline xmlns:a="http://schemas.openxmlformats.org/drawingml/2006/main" xmlns:pic="http://schemas.openxmlformats.org/drawingml/2006/picture">
            <wp:extent cx="5852160" cy="822930"/>
            <wp:docPr id="4" name="Picture 4"/>
            <wp:cNvGraphicFramePr>
              <a:graphicFrameLocks noChangeAspect="1"/>
            </wp:cNvGraphicFramePr>
            <a:graphic>
              <a:graphicData uri="http://schemas.openxmlformats.org/drawingml/2006/picture">
                <pic:pic>
                  <pic:nvPicPr>
                    <pic:cNvPr id="0" name="dfd1.png"/>
                    <pic:cNvPicPr/>
                  </pic:nvPicPr>
                  <pic:blipFill>
                    <a:blip r:embed="rId13"/>
                    <a:stretch>
                      <a:fillRect/>
                    </a:stretch>
                  </pic:blipFill>
                  <pic:spPr>
                    <a:xfrm>
                      <a:off x="0" y="0"/>
                      <a:ext cx="5852160" cy="822930"/>
                    </a:xfrm>
                    <a:prstGeom prst="rect"/>
                  </pic:spPr>
                </pic:pic>
              </a:graphicData>
            </a:graphic>
          </wp:inline>
        </w:drawing>
      </w:r>
    </w:p>
    <w:p>
      <w:pPr>
        <w:jc w:val="center"/>
      </w:pPr>
      <w:r>
        <w:rPr>
          <w:i/>
          <w:sz w:val="18"/>
        </w:rPr>
        <w:t>Figure 4 – DFD Level 1</w:t>
      </w:r>
    </w:p>
    <w:p>
      <w:pPr>
        <w:jc w:val="center"/>
      </w:pPr>
      <w:r>
        <w:drawing>
          <wp:inline xmlns:a="http://schemas.openxmlformats.org/drawingml/2006/main" xmlns:pic="http://schemas.openxmlformats.org/drawingml/2006/picture">
            <wp:extent cx="5669280" cy="2996200"/>
            <wp:docPr id="5" name="Picture 5"/>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669280" cy="2996200"/>
                    </a:xfrm>
                    <a:prstGeom prst="rect"/>
                  </pic:spPr>
                </pic:pic>
              </a:graphicData>
            </a:graphic>
          </wp:inline>
        </w:drawing>
      </w:r>
    </w:p>
    <w:p>
      <w:pPr>
        <w:jc w:val="center"/>
      </w:pPr>
      <w:r>
        <w:rPr>
          <w:i/>
          <w:sz w:val="18"/>
        </w:rPr>
        <w:t>Figure 5 – Sequence diagram: exploring an indicator</w:t>
      </w:r>
    </w:p>
    <w:p>
      <w:pPr>
        <w:jc w:val="center"/>
      </w:pPr>
      <w:r>
        <w:drawing>
          <wp:inline xmlns:a="http://schemas.openxmlformats.org/drawingml/2006/main" xmlns:pic="http://schemas.openxmlformats.org/drawingml/2006/picture">
            <wp:extent cx="3291840" cy="4553943"/>
            <wp:docPr id="6" name="Picture 6"/>
            <wp:cNvGraphicFramePr>
              <a:graphicFrameLocks noChangeAspect="1"/>
            </wp:cNvGraphicFramePr>
            <a:graphic>
              <a:graphicData uri="http://schemas.openxmlformats.org/drawingml/2006/picture">
                <pic:pic>
                  <pic:nvPicPr>
                    <pic:cNvPr id="0" name="activity.png"/>
                    <pic:cNvPicPr/>
                  </pic:nvPicPr>
                  <pic:blipFill>
                    <a:blip r:embed="rId15"/>
                    <a:stretch>
                      <a:fillRect/>
                    </a:stretch>
                  </pic:blipFill>
                  <pic:spPr>
                    <a:xfrm>
                      <a:off x="0" y="0"/>
                      <a:ext cx="3291840" cy="4553943"/>
                    </a:xfrm>
                    <a:prstGeom prst="rect"/>
                  </pic:spPr>
                </pic:pic>
              </a:graphicData>
            </a:graphic>
          </wp:inline>
        </w:drawing>
      </w:r>
    </w:p>
    <w:p>
      <w:pPr>
        <w:jc w:val="center"/>
      </w:pPr>
      <w:r>
        <w:rPr>
          <w:i/>
          <w:sz w:val="18"/>
        </w:rPr>
        <w:t>Figure 6 – Activity diagram: user exploration</w:t>
      </w:r>
    </w:p>
    <w:p>
      <w:pPr>
        <w:jc w:val="center"/>
      </w:pPr>
      <w:r>
        <w:drawing>
          <wp:inline xmlns:a="http://schemas.openxmlformats.org/drawingml/2006/main" xmlns:pic="http://schemas.openxmlformats.org/drawingml/2006/picture">
            <wp:extent cx="5852160" cy="438912"/>
            <wp:docPr id="7" name="Picture 7"/>
            <wp:cNvGraphicFramePr>
              <a:graphicFrameLocks noChangeAspect="1"/>
            </wp:cNvGraphicFramePr>
            <a:graphic>
              <a:graphicData uri="http://schemas.openxmlformats.org/drawingml/2006/picture">
                <pic:pic>
                  <pic:nvPicPr>
                    <pic:cNvPr id="0" name="state.png"/>
                    <pic:cNvPicPr/>
                  </pic:nvPicPr>
                  <pic:blipFill>
                    <a:blip r:embed="rId16"/>
                    <a:stretch>
                      <a:fillRect/>
                    </a:stretch>
                  </pic:blipFill>
                  <pic:spPr>
                    <a:xfrm>
                      <a:off x="0" y="0"/>
                      <a:ext cx="5852160" cy="438912"/>
                    </a:xfrm>
                    <a:prstGeom prst="rect"/>
                  </pic:spPr>
                </pic:pic>
              </a:graphicData>
            </a:graphic>
          </wp:inline>
        </w:drawing>
      </w:r>
    </w:p>
    <w:p>
      <w:pPr>
        <w:jc w:val="center"/>
      </w:pPr>
      <w:r>
        <w:rPr>
          <w:i/>
          <w:sz w:val="18"/>
        </w:rPr>
        <w:t>Figure 7 – State diagram: life cycle of the dataset</w:t>
      </w:r>
    </w:p>
    <w:p>
      <w:pPr>
        <w:jc w:val="center"/>
      </w:pPr>
      <w:r>
        <w:drawing>
          <wp:inline xmlns:a="http://schemas.openxmlformats.org/drawingml/2006/main" xmlns:pic="http://schemas.openxmlformats.org/drawingml/2006/picture">
            <wp:extent cx="4572000" cy="3211241"/>
            <wp:docPr id="8" name="Picture 8"/>
            <wp:cNvGraphicFramePr>
              <a:graphicFrameLocks noChangeAspect="1"/>
            </wp:cNvGraphicFramePr>
            <a:graphic>
              <a:graphicData uri="http://schemas.openxmlformats.org/drawingml/2006/picture">
                <pic:pic>
                  <pic:nvPicPr>
                    <pic:cNvPr id="0" name="class.png"/>
                    <pic:cNvPicPr/>
                  </pic:nvPicPr>
                  <pic:blipFill>
                    <a:blip r:embed="rId17"/>
                    <a:stretch>
                      <a:fillRect/>
                    </a:stretch>
                  </pic:blipFill>
                  <pic:spPr>
                    <a:xfrm>
                      <a:off x="0" y="0"/>
                      <a:ext cx="4572000" cy="3211241"/>
                    </a:xfrm>
                    <a:prstGeom prst="rect"/>
                  </pic:spPr>
                </pic:pic>
              </a:graphicData>
            </a:graphic>
          </wp:inline>
        </w:drawing>
      </w:r>
    </w:p>
    <w:p>
      <w:pPr>
        <w:jc w:val="center"/>
      </w:pPr>
      <w:r>
        <w:rPr>
          <w:i/>
          <w:sz w:val="18"/>
        </w:rPr>
        <w:t>Figure 8 – Class diagram</w:t>
      </w:r>
    </w:p>
    <w:p>
      <w:pPr>
        <w:pStyle w:val="Heading1"/>
      </w:pPr>
      <w:r>
        <w:t>6. UI/UX Design &amp; Prototyping</w:t>
      </w:r>
    </w:p>
    <w:p>
      <w:pPr>
        <w:pStyle w:val="Heading2"/>
      </w:pPr>
      <w:r>
        <w:t>Wireframes</w:t>
      </w:r>
    </w:p>
    <w:p>
      <w:pPr>
        <w:jc w:val="center"/>
      </w:pPr>
      <w:r>
        <w:drawing>
          <wp:inline xmlns:a="http://schemas.openxmlformats.org/drawingml/2006/main" xmlns:pic="http://schemas.openxmlformats.org/drawingml/2006/picture">
            <wp:extent cx="5303520" cy="2993291"/>
            <wp:docPr id="9" name="Picture 9"/>
            <wp:cNvGraphicFramePr>
              <a:graphicFrameLocks noChangeAspect="1"/>
            </wp:cNvGraphicFramePr>
            <a:graphic>
              <a:graphicData uri="http://schemas.openxmlformats.org/drawingml/2006/picture">
                <pic:pic>
                  <pic:nvPicPr>
                    <pic:cNvPr id="0" name="wf1.png"/>
                    <pic:cNvPicPr/>
                  </pic:nvPicPr>
                  <pic:blipFill>
                    <a:blip r:embed="rId18"/>
                    <a:stretch>
                      <a:fillRect/>
                    </a:stretch>
                  </pic:blipFill>
                  <pic:spPr>
                    <a:xfrm>
                      <a:off x="0" y="0"/>
                      <a:ext cx="5303520" cy="2993291"/>
                    </a:xfrm>
                    <a:prstGeom prst="rect"/>
                  </pic:spPr>
                </pic:pic>
              </a:graphicData>
            </a:graphic>
          </wp:inline>
        </w:drawing>
      </w:r>
    </w:p>
    <w:p>
      <w:pPr>
        <w:jc w:val="center"/>
      </w:pPr>
      <w:r>
        <w:rPr>
          <w:i/>
          <w:sz w:val="18"/>
        </w:rPr>
        <w:t>Figure 9 – Wireframe: Overview page</w:t>
      </w:r>
    </w:p>
    <w:p>
      <w:pPr>
        <w:jc w:val="center"/>
      </w:pPr>
      <w:r>
        <w:drawing>
          <wp:inline xmlns:a="http://schemas.openxmlformats.org/drawingml/2006/main" xmlns:pic="http://schemas.openxmlformats.org/drawingml/2006/picture">
            <wp:extent cx="5303520" cy="2993291"/>
            <wp:docPr id="10" name="Picture 10"/>
            <wp:cNvGraphicFramePr>
              <a:graphicFrameLocks noChangeAspect="1"/>
            </wp:cNvGraphicFramePr>
            <a:graphic>
              <a:graphicData uri="http://schemas.openxmlformats.org/drawingml/2006/picture">
                <pic:pic>
                  <pic:nvPicPr>
                    <pic:cNvPr id="0" name="wf2.png"/>
                    <pic:cNvPicPr/>
                  </pic:nvPicPr>
                  <pic:blipFill>
                    <a:blip r:embed="rId19"/>
                    <a:stretch>
                      <a:fillRect/>
                    </a:stretch>
                  </pic:blipFill>
                  <pic:spPr>
                    <a:xfrm>
                      <a:off x="0" y="0"/>
                      <a:ext cx="5303520" cy="2993291"/>
                    </a:xfrm>
                    <a:prstGeom prst="rect"/>
                  </pic:spPr>
                </pic:pic>
              </a:graphicData>
            </a:graphic>
          </wp:inline>
        </w:drawing>
      </w:r>
    </w:p>
    <w:p>
      <w:pPr>
        <w:jc w:val="center"/>
      </w:pPr>
      <w:r>
        <w:rPr>
          <w:i/>
          <w:sz w:val="18"/>
        </w:rPr>
        <w:t>Figure 10 – Wireframe: Comparison page</w:t>
      </w:r>
    </w:p>
    <w:p>
      <w:pPr>
        <w:jc w:val="center"/>
      </w:pPr>
      <w:r>
        <w:drawing>
          <wp:inline xmlns:a="http://schemas.openxmlformats.org/drawingml/2006/main" xmlns:pic="http://schemas.openxmlformats.org/drawingml/2006/picture">
            <wp:extent cx="5303520" cy="2993291"/>
            <wp:docPr id="11" name="Picture 11"/>
            <wp:cNvGraphicFramePr>
              <a:graphicFrameLocks noChangeAspect="1"/>
            </wp:cNvGraphicFramePr>
            <a:graphic>
              <a:graphicData uri="http://schemas.openxmlformats.org/drawingml/2006/picture">
                <pic:pic>
                  <pic:nvPicPr>
                    <pic:cNvPr id="0" name="wf3.png"/>
                    <pic:cNvPicPr/>
                  </pic:nvPicPr>
                  <pic:blipFill>
                    <a:blip r:embed="rId20"/>
                    <a:stretch>
                      <a:fillRect/>
                    </a:stretch>
                  </pic:blipFill>
                  <pic:spPr>
                    <a:xfrm>
                      <a:off x="0" y="0"/>
                      <a:ext cx="5303520" cy="2993291"/>
                    </a:xfrm>
                    <a:prstGeom prst="rect"/>
                  </pic:spPr>
                </pic:pic>
              </a:graphicData>
            </a:graphic>
          </wp:inline>
        </w:drawing>
      </w:r>
    </w:p>
    <w:p>
      <w:pPr>
        <w:jc w:val="center"/>
      </w:pPr>
      <w:r>
        <w:rPr>
          <w:i/>
          <w:sz w:val="18"/>
        </w:rPr>
        <w:t>Figure 11 – Wireframe: Trends page with drill-through</w:t>
      </w:r>
    </w:p>
    <w:p>
      <w:pPr>
        <w:pStyle w:val="Heading2"/>
      </w:pPr>
      <w:r>
        <w:t>UI/UX guidelines</w:t>
      </w:r>
    </w:p>
    <w:tbl>
      <w:tblPr>
        <w:tblStyle w:val="TableGrid"/>
        <w:tblW w:type="auto" w:w="0"/>
        <w:jc w:val="center"/>
        <w:tblLayout w:type="fixed"/>
        <w:tblLook w:firstColumn="1" w:firstRow="1" w:lastColumn="0" w:lastRow="0" w:noHBand="0" w:noVBand="1" w:val="04A0"/>
        <w:tblLayout w:type="fixed"/>
      </w:tblPr>
      <w:tblGrid>
        <w:gridCol w:w="1872"/>
        <w:gridCol w:w="7632"/>
      </w:tblGrid>
      <w:tr>
        <w:trPr>
          <w:tblHeader w:val="true"/>
        </w:trPr>
        <w:tc>
          <w:tcPr>
            <w:tcW w:type="dxa" w:w="1872"/>
            <w:shd w:val="clear" w:color="auto" w:fill="0B2A5B"/>
          </w:tcPr>
          <w:p>
            <w:r/>
            <w:r>
              <w:rPr>
                <w:b/>
                <w:color w:val="FFFFFF"/>
                <w:sz w:val="18"/>
              </w:rPr>
              <w:t>Area</w:t>
            </w:r>
          </w:p>
        </w:tc>
        <w:tc>
          <w:tcPr>
            <w:tcW w:type="dxa" w:w="7632"/>
            <w:shd w:val="clear" w:color="auto" w:fill="0B2A5B"/>
          </w:tcPr>
          <w:p>
            <w:r/>
            <w:r>
              <w:rPr>
                <w:b/>
                <w:color w:val="FFFFFF"/>
                <w:sz w:val="18"/>
              </w:rPr>
              <w:t>Guideline</w:t>
            </w:r>
          </w:p>
        </w:tc>
      </w:tr>
      <w:tr>
        <w:tc>
          <w:tcPr>
            <w:tcW w:type="dxa" w:w="1872"/>
          </w:tcPr>
          <w:p>
            <w:r/>
            <w:r>
              <w:rPr>
                <w:sz w:val="18"/>
              </w:rPr>
              <w:t>Colors</w:t>
            </w:r>
          </w:p>
        </w:tc>
        <w:tc>
          <w:tcPr>
            <w:tcW w:type="dxa" w:w="7632"/>
          </w:tcPr>
          <w:p>
            <w:r/>
            <w:r>
              <w:rPr>
                <w:sz w:val="18"/>
              </w:rPr>
              <w:t>Deep blue (#0B2A5B) for headers and titles, purple (#6D4AFF) for the selected state, cyan (#00B8D9) for highlights, orange (#FF8A00) for warnings such as missing data, green (#1FB36B) for positive change; white or light gray background</w:t>
            </w:r>
          </w:p>
        </w:tc>
      </w:tr>
      <w:tr>
        <w:tc>
          <w:tcPr>
            <w:tcW w:type="dxa" w:w="1872"/>
            <w:shd w:val="clear" w:color="auto" w:fill="F1F5FB"/>
          </w:tcPr>
          <w:p>
            <w:r/>
            <w:r>
              <w:rPr>
                <w:sz w:val="18"/>
              </w:rPr>
              <w:t>Typography</w:t>
            </w:r>
          </w:p>
        </w:tc>
        <w:tc>
          <w:tcPr>
            <w:tcW w:type="dxa" w:w="7632"/>
            <w:shd w:val="clear" w:color="auto" w:fill="F1F5FB"/>
          </w:tcPr>
          <w:p>
            <w:r/>
            <w:r>
              <w:rPr>
                <w:sz w:val="18"/>
              </w:rPr>
              <w:t>One sans-serif font; page title 24 pt, visual titles 14 pt, labels 11 pt or larger</w:t>
            </w:r>
          </w:p>
        </w:tc>
      </w:tr>
      <w:tr>
        <w:tc>
          <w:tcPr>
            <w:tcW w:type="dxa" w:w="1872"/>
          </w:tcPr>
          <w:p>
            <w:r/>
            <w:r>
              <w:rPr>
                <w:sz w:val="18"/>
              </w:rPr>
              <w:t>Layout</w:t>
            </w:r>
          </w:p>
        </w:tc>
        <w:tc>
          <w:tcPr>
            <w:tcW w:type="dxa" w:w="7632"/>
          </w:tcPr>
          <w:p>
            <w:r/>
            <w:r>
              <w:rPr>
                <w:sz w:val="18"/>
              </w:rPr>
              <w:t>Same header, navigation buttons and slicer position on every page; 16:9 canvas</w:t>
            </w:r>
          </w:p>
        </w:tc>
      </w:tr>
      <w:tr>
        <w:tc>
          <w:tcPr>
            <w:tcW w:type="dxa" w:w="1872"/>
            <w:shd w:val="clear" w:color="auto" w:fill="F1F5FB"/>
          </w:tcPr>
          <w:p>
            <w:r/>
            <w:r>
              <w:rPr>
                <w:sz w:val="18"/>
              </w:rPr>
              <w:t>Charts</w:t>
            </w:r>
          </w:p>
        </w:tc>
        <w:tc>
          <w:tcPr>
            <w:tcW w:type="dxa" w:w="7632"/>
            <w:shd w:val="clear" w:color="auto" w:fill="F1F5FB"/>
          </w:tcPr>
          <w:p>
            <w:r/>
            <w:r>
              <w:rPr>
                <w:sz w:val="18"/>
              </w:rPr>
              <w:t>Bars for comparison, lines for time, map for geography; units in every title; no 3-D</w:t>
            </w:r>
          </w:p>
        </w:tc>
      </w:tr>
      <w:tr>
        <w:tc>
          <w:tcPr>
            <w:tcW w:type="dxa" w:w="1872"/>
          </w:tcPr>
          <w:p>
            <w:r/>
            <w:r>
              <w:rPr>
                <w:sz w:val="18"/>
              </w:rPr>
              <w:t>Missing data</w:t>
            </w:r>
          </w:p>
        </w:tc>
        <w:tc>
          <w:tcPr>
            <w:tcW w:type="dxa" w:w="7632"/>
          </w:tcPr>
          <w:p>
            <w:r/>
            <w:r>
              <w:rPr>
                <w:sz w:val="18"/>
              </w:rPr>
              <w:t>Show blank or "No data", never zero</w:t>
            </w:r>
          </w:p>
        </w:tc>
      </w:tr>
      <w:tr>
        <w:tc>
          <w:tcPr>
            <w:tcW w:type="dxa" w:w="1872"/>
            <w:shd w:val="clear" w:color="auto" w:fill="F1F5FB"/>
          </w:tcPr>
          <w:p>
            <w:r/>
            <w:r>
              <w:rPr>
                <w:sz w:val="18"/>
              </w:rPr>
              <w:t>Accessibility</w:t>
            </w:r>
          </w:p>
        </w:tc>
        <w:tc>
          <w:tcPr>
            <w:tcW w:type="dxa" w:w="7632"/>
            <w:shd w:val="clear" w:color="auto" w:fill="F1F5FB"/>
          </w:tcPr>
          <w:p>
            <w:r/>
            <w:r>
              <w:rPr>
                <w:sz w:val="18"/>
              </w:rPr>
              <w:t>High contrast; color not the only cue (labels and markers); alt text on visuals; tooltips with definition and unit</w:t>
            </w:r>
          </w:p>
        </w:tc>
      </w:tr>
      <w:tr>
        <w:tc>
          <w:tcPr>
            <w:tcW w:type="dxa" w:w="1872"/>
          </w:tcPr>
          <w:p>
            <w:r/>
            <w:r>
              <w:rPr>
                <w:sz w:val="18"/>
              </w:rPr>
              <w:t>Interaction</w:t>
            </w:r>
          </w:p>
        </w:tc>
        <w:tc>
          <w:tcPr>
            <w:tcW w:type="dxa" w:w="7632"/>
          </w:tcPr>
          <w:p>
            <w:r/>
            <w:r>
              <w:rPr>
                <w:sz w:val="18"/>
              </w:rPr>
              <w:t>Clear-filters button; visible selected slicer values; drill-through hint text</w:t>
            </w:r>
          </w:p>
        </w:tc>
      </w:tr>
    </w:tbl>
    <w:p>
      <w:pPr>
        <w:spacing w:after="40"/>
      </w:pPr>
    </w:p>
    <w:p>
      <w:pPr>
        <w:pStyle w:val="Heading1"/>
      </w:pPr>
      <w:r>
        <w:t>7. System Deployment &amp; Integration</w:t>
      </w:r>
    </w:p>
    <w:tbl>
      <w:tblPr>
        <w:tblStyle w:val="TableGrid"/>
        <w:tblW w:type="auto" w:w="0"/>
        <w:jc w:val="center"/>
        <w:tblLayout w:type="fixed"/>
        <w:tblLook w:firstColumn="1" w:firstRow="1" w:lastColumn="0" w:lastRow="0" w:noHBand="0" w:noVBand="1" w:val="04A0"/>
        <w:tblLayout w:type="fixed"/>
      </w:tblPr>
      <w:tblGrid>
        <w:gridCol w:w="3168"/>
        <w:gridCol w:w="6336"/>
      </w:tblGrid>
      <w:tr>
        <w:trPr>
          <w:tblHeader w:val="true"/>
        </w:trPr>
        <w:tc>
          <w:tcPr>
            <w:tcW w:type="dxa" w:w="3168"/>
            <w:shd w:val="clear" w:color="auto" w:fill="0B2A5B"/>
          </w:tcPr>
          <w:p>
            <w:r/>
            <w:r>
              <w:rPr>
                <w:b/>
                <w:color w:val="FFFFFF"/>
                <w:sz w:val="18"/>
              </w:rPr>
              <w:t>Part</w:t>
            </w:r>
          </w:p>
        </w:tc>
        <w:tc>
          <w:tcPr>
            <w:tcW w:type="dxa" w:w="6336"/>
            <w:shd w:val="clear" w:color="auto" w:fill="0B2A5B"/>
          </w:tcPr>
          <w:p>
            <w:r/>
            <w:r>
              <w:rPr>
                <w:b/>
                <w:color w:val="FFFFFF"/>
                <w:sz w:val="18"/>
              </w:rPr>
              <w:t>Technology</w:t>
            </w:r>
          </w:p>
        </w:tc>
      </w:tr>
      <w:tr>
        <w:tc>
          <w:tcPr>
            <w:tcW w:type="dxa" w:w="3168"/>
          </w:tcPr>
          <w:p>
            <w:r/>
            <w:r>
              <w:rPr>
                <w:sz w:val="18"/>
              </w:rPr>
              <w:t>Backend / data preparation</w:t>
            </w:r>
          </w:p>
        </w:tc>
        <w:tc>
          <w:tcPr>
            <w:tcW w:type="dxa" w:w="6336"/>
          </w:tcPr>
          <w:p>
            <w:r/>
            <w:r>
              <w:rPr>
                <w:sz w:val="18"/>
              </w:rPr>
              <w:t>Power Query (M) in Power BI Desktop</w:t>
            </w:r>
          </w:p>
        </w:tc>
      </w:tr>
      <w:tr>
        <w:tc>
          <w:tcPr>
            <w:tcW w:type="dxa" w:w="3168"/>
            <w:shd w:val="clear" w:color="auto" w:fill="F1F5FB"/>
          </w:tcPr>
          <w:p>
            <w:r/>
            <w:r>
              <w:rPr>
                <w:sz w:val="18"/>
              </w:rPr>
              <w:t>Frontend / dashboard</w:t>
            </w:r>
          </w:p>
        </w:tc>
        <w:tc>
          <w:tcPr>
            <w:tcW w:type="dxa" w:w="6336"/>
            <w:shd w:val="clear" w:color="auto" w:fill="F1F5FB"/>
          </w:tcPr>
          <w:p>
            <w:r/>
            <w:r>
              <w:rPr>
                <w:sz w:val="18"/>
              </w:rPr>
              <w:t>Power BI report</w:t>
            </w:r>
          </w:p>
        </w:tc>
      </w:tr>
      <w:tr>
        <w:tc>
          <w:tcPr>
            <w:tcW w:type="dxa" w:w="3168"/>
          </w:tcPr>
          <w:p>
            <w:r/>
            <w:r>
              <w:rPr>
                <w:sz w:val="18"/>
              </w:rPr>
              <w:t>Database / model</w:t>
            </w:r>
          </w:p>
        </w:tc>
        <w:tc>
          <w:tcPr>
            <w:tcW w:type="dxa" w:w="6336"/>
          </w:tcPr>
          <w:p>
            <w:r/>
            <w:r>
              <w:rPr>
                <w:sz w:val="18"/>
              </w:rPr>
              <w:t>Power BI in-memory data model (imported from Excel)</w:t>
            </w:r>
          </w:p>
        </w:tc>
      </w:tr>
      <w:tr>
        <w:tc>
          <w:tcPr>
            <w:tcW w:type="dxa" w:w="3168"/>
            <w:shd w:val="clear" w:color="auto" w:fill="F1F5FB"/>
          </w:tcPr>
          <w:p>
            <w:r/>
            <w:r>
              <w:rPr>
                <w:sz w:val="18"/>
              </w:rPr>
              <w:t>Calculations</w:t>
            </w:r>
          </w:p>
        </w:tc>
        <w:tc>
          <w:tcPr>
            <w:tcW w:type="dxa" w:w="6336"/>
            <w:shd w:val="clear" w:color="auto" w:fill="F1F5FB"/>
          </w:tcPr>
          <w:p>
            <w:r/>
            <w:r>
              <w:rPr>
                <w:sz w:val="18"/>
              </w:rPr>
              <w:t>DAX</w:t>
            </w:r>
          </w:p>
        </w:tc>
      </w:tr>
      <w:tr>
        <w:tc>
          <w:tcPr>
            <w:tcW w:type="dxa" w:w="3168"/>
          </w:tcPr>
          <w:p>
            <w:r/>
            <w:r>
              <w:rPr>
                <w:sz w:val="18"/>
              </w:rPr>
              <w:t>Source and delivery</w:t>
            </w:r>
          </w:p>
        </w:tc>
        <w:tc>
          <w:tcPr>
            <w:tcW w:type="dxa" w:w="6336"/>
          </w:tcPr>
          <w:p>
            <w:r/>
            <w:r>
              <w:rPr>
                <w:sz w:val="18"/>
              </w:rPr>
              <w:t>Excel workbook; GitHub</w:t>
            </w:r>
          </w:p>
        </w:tc>
      </w:tr>
    </w:tbl>
    <w:p>
      <w:pPr>
        <w:spacing w:after="40"/>
      </w:pPr>
    </w:p>
    <w:p>
      <w:pPr>
        <w:jc w:val="center"/>
      </w:pPr>
      <w:r>
        <w:drawing>
          <wp:inline xmlns:a="http://schemas.openxmlformats.org/drawingml/2006/main" xmlns:pic="http://schemas.openxmlformats.org/drawingml/2006/picture">
            <wp:extent cx="5852160" cy="597333"/>
            <wp:docPr id="12" name="Picture 12"/>
            <wp:cNvGraphicFramePr>
              <a:graphicFrameLocks noChangeAspect="1"/>
            </wp:cNvGraphicFramePr>
            <a:graphic>
              <a:graphicData uri="http://schemas.openxmlformats.org/drawingml/2006/picture">
                <pic:pic>
                  <pic:nvPicPr>
                    <pic:cNvPr id="0" name="component.png"/>
                    <pic:cNvPicPr/>
                  </pic:nvPicPr>
                  <pic:blipFill>
                    <a:blip r:embed="rId21"/>
                    <a:stretch>
                      <a:fillRect/>
                    </a:stretch>
                  </pic:blipFill>
                  <pic:spPr>
                    <a:xfrm>
                      <a:off x="0" y="0"/>
                      <a:ext cx="5852160" cy="597333"/>
                    </a:xfrm>
                    <a:prstGeom prst="rect"/>
                  </pic:spPr>
                </pic:pic>
              </a:graphicData>
            </a:graphic>
          </wp:inline>
        </w:drawing>
      </w:r>
    </w:p>
    <w:p>
      <w:pPr>
        <w:jc w:val="center"/>
      </w:pPr>
      <w:r>
        <w:rPr>
          <w:i/>
          <w:sz w:val="18"/>
        </w:rPr>
        <w:t>Figure 12 – Component diagram</w:t>
      </w:r>
    </w:p>
    <w:p>
      <w:pPr>
        <w:jc w:val="center"/>
      </w:pPr>
      <w:r>
        <w:drawing>
          <wp:inline xmlns:a="http://schemas.openxmlformats.org/drawingml/2006/main" xmlns:pic="http://schemas.openxmlformats.org/drawingml/2006/picture">
            <wp:extent cx="5852160" cy="965057"/>
            <wp:docPr id="13" name="Picture 13"/>
            <wp:cNvGraphicFramePr>
              <a:graphicFrameLocks noChangeAspect="1"/>
            </wp:cNvGraphicFramePr>
            <a:graphic>
              <a:graphicData uri="http://schemas.openxmlformats.org/drawingml/2006/picture">
                <pic:pic>
                  <pic:nvPicPr>
                    <pic:cNvPr id="0" name="deployment.png"/>
                    <pic:cNvPicPr/>
                  </pic:nvPicPr>
                  <pic:blipFill>
                    <a:blip r:embed="rId22"/>
                    <a:stretch>
                      <a:fillRect/>
                    </a:stretch>
                  </pic:blipFill>
                  <pic:spPr>
                    <a:xfrm>
                      <a:off x="0" y="0"/>
                      <a:ext cx="5852160" cy="965057"/>
                    </a:xfrm>
                    <a:prstGeom prst="rect"/>
                  </pic:spPr>
                </pic:pic>
              </a:graphicData>
            </a:graphic>
          </wp:inline>
        </w:drawing>
      </w:r>
    </w:p>
    <w:p>
      <w:pPr>
        <w:jc w:val="center"/>
      </w:pPr>
      <w:r>
        <w:rPr>
          <w:i/>
          <w:sz w:val="18"/>
        </w:rPr>
        <w:t>Figure 13 – Deployment diagram</w:t>
      </w:r>
    </w:p>
    <w:p>
      <w:pPr>
        <w:pStyle w:val="Heading1"/>
      </w:pPr>
      <w:r>
        <w:t>8. Additional Deliverables</w:t>
      </w:r>
    </w:p>
    <w:p>
      <w:pPr>
        <w:pStyle w:val="ListBullet"/>
        <w:spacing w:after="40"/>
      </w:pPr>
      <w:r>
        <w:rPr>
          <w:b/>
        </w:rPr>
        <w:t>API documentation:</w:t>
      </w:r>
      <w:r>
        <w:t xml:space="preserve"> not applicable – the system has no APIs.</w:t>
      </w:r>
    </w:p>
    <w:p>
      <w:pPr>
        <w:pStyle w:val="ListBullet"/>
        <w:spacing w:after="40"/>
      </w:pPr>
      <w:r>
        <w:rPr>
          <w:b/>
        </w:rPr>
        <w:t>Testing &amp; validation:</w:t>
      </w:r>
      <w:r>
        <w:t xml:space="preserve"> see 04_Testing_and_Quality_Assurance.docx (unit-style data checks, integration checks of the model, user acceptance test).</w:t>
      </w:r>
    </w:p>
    <w:p>
      <w:pPr>
        <w:pStyle w:val="ListBullet"/>
        <w:spacing w:after="40"/>
      </w:pPr>
      <w:r>
        <w:rPr>
          <w:b/>
        </w:rPr>
        <w:t>Deployment strategy:</w:t>
      </w:r>
      <w:r>
        <w:t xml:space="preserve"> the .pbix file and all documents are uploaded to the team’s repository in the organization GitHub account (not a personal account). Feature branches are merged by the Team Leader through pull requests. Releases are tagged v0.1 (clean data), v0.5 (model and measures), v1.0 (final). Publishing to the Power BI Service is optional and depends on licensing. Scaling is not a concern because the dataset is small (about 37,000 year cells).</w:t>
      </w:r>
    </w:p>
    <w:sectPr w:rsidR="00FC693F" w:rsidRPr="0006063C" w:rsidSect="00034616">
      <w:footerReference w:type="default" r:id="rId9"/>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Data Lens  |  DEPI – Junior Data Analysis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A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D4A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A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