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r>
        <w:rPr>
          <w:b/>
          <w:bCs/>
          <w:color w:val="7C3AED"/>
          <w:sz w:val="24"/>
          <w:szCs w:val="24"/>
        </w:rPr>
        <w:t xml:space="preserve">DEPI · Digital Egypt Pioneers Initiative</w:t>
      </w:r>
    </w:p>
    <w:p>
      <w:pPr>
        <w:spacing w:after="300"/>
      </w:pPr>
      <w:r>
        <w:rPr>
          <w:color w:val="5B6785"/>
          <w:sz w:val="24"/>
          <w:szCs w:val="24"/>
        </w:rPr>
        <w:t xml:space="preserve">Track: Data Analysis</w:t>
      </w:r>
    </w:p>
    <w:p>
      <w:pPr>
        <w:spacing w:after="120"/>
      </w:pPr>
      <w:r>
        <w:rPr>
          <w:b/>
          <w:bCs/>
          <w:color w:val="1E3A8A"/>
          <w:sz w:val="56"/>
          <w:szCs w:val="56"/>
        </w:rPr>
        <w:t xml:space="preserve">System Analysis &amp; Design</w:t>
      </w:r>
    </w:p>
    <w:p>
      <w:pPr>
        <w:pBdr>
          <w:bottom w:val="single" w:color="7C3AED" w:sz="8" w:space="10"/>
        </w:pBdr>
        <w:spacing w:after="500"/>
      </w:pPr>
      <w:r>
        <w:rPr>
          <w:color w:val="5B6785"/>
          <w:sz w:val="28"/>
          <w:szCs w:val="28"/>
        </w:rPr>
        <w:t xml:space="preserve">Architecture · Data model · UML · UI/UX · Deployment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Project: DevCompare – Development Indicators Comparison (Egypt, Nigeria, India, Brazil, Türkiye)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7017"/>
      </w:tblGrid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Team Leader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Shahd Mahmoud Abdelmagid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Team Members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 Hassan Mahmoud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Eman Ali Mostafa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Farah Khaled Fathy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Mariam Baher Mohsen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Menna AbdelNasser Ramadan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Instructor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Nouran Elzeky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v1.0 · 31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Problem Statement &amp; Objectives</w:t>
      </w:r>
    </w:p>
    <w:p>
      <w:pPr>
        <w:spacing w:after="120" w:line="276"/>
      </w:pPr>
      <w:r>
        <w:rPr>
          <w:b/>
          <w:bCs/>
        </w:rPr>
        <w:t xml:space="preserve">Problem.</w:t>
      </w:r>
      <w:r>
        <w:t xml:space="preserve"> Development data for different countries is spread over large Excel files with hundreds of rows, text markers for missing values (</w:t>
      </w:r>
      <w:r>
        <w:rPr>
          <w:rFonts w:ascii="Consolas" w:cs="Consolas" w:eastAsia="Consolas" w:hAnsi="Consolas"/>
          <w:sz w:val="20"/>
          <w:szCs w:val="20"/>
        </w:rPr>
        <w:t xml:space="preserve">..</w:t>
      </w:r>
      <w:r>
        <w:t xml:space="preserve">) and missing years. Comparing five countries across themes by hand is slow and error-prone, and gaps can silently distort conclusions.</w:t>
      </w:r>
    </w:p>
    <w:p>
      <w:pPr>
        <w:spacing w:after="120" w:line="276"/>
      </w:pPr>
      <w:r>
        <w:rPr>
          <w:b/>
          <w:bCs/>
        </w:rPr>
        <w:t xml:space="preserve">Solution.</w:t>
      </w:r>
      <w:r>
        <w:t xml:space="preserve"> DevCompare cleans and merges the data, analyses it in a repeatable pipeline, and shows the results in an interactive dashboard that states clearly what is observed, what is interpolated and what is forecast.</w:t>
      </w:r>
    </w:p>
    <w:p>
      <w:pPr>
        <w:pStyle w:val="Heading3"/>
      </w:pPr>
      <w:r>
        <w:t xml:space="preserve">Objectives (measurable)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</w:t>
      </w:r>
      <w:r>
        <w:rPr>
          <w:b/>
          <w:bCs/>
        </w:rPr>
        <w:t xml:space="preserve">5 countries</w:t>
      </w:r>
      <w:r>
        <w:t xml:space="preserve"> on </w:t>
      </w:r>
      <w:r>
        <w:rPr>
          <w:b/>
          <w:bCs/>
        </w:rPr>
        <w:t xml:space="preserve">18 indicators + 1 derived</w:t>
      </w:r>
      <w:r>
        <w:t xml:space="preserve"> across </w:t>
      </w:r>
      <w:r>
        <w:rPr>
          <w:b/>
          <w:bCs/>
        </w:rPr>
        <w:t xml:space="preserve">5 themes</w:t>
      </w:r>
      <w:r>
        <w:t xml:space="preserve"> for 2000–2025.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rankings, CAGR, correlations, a Development Score and a 2030 trend forecast.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whole pipeline with one command in ≤ 10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every figure traceable: source, unit, ranking rule and data quality are always visible.</w:t>
      </w:r>
    </w:p>
    <w:p>
      <w:pPr>
        <w:pStyle w:val="Heading2"/>
      </w:pPr>
      <w:r>
        <w:t xml:space="preserve">1.1 Use case diagram and descriptions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790950"/>
            <wp:effectExtent t="0" r="0" b="0" l="0"/>
            <wp:docPr id="1" name="usecase.png" descr="Figure 1 – Use case diagram (descriptions UC1–UC11 are in the Requirements Specification, section 3.3)" title="Figure 1 – Use case diagram (descriptions UC1–UC11 are in the Requirements Specification, section 3.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1 – Use case diagram (descriptions UC1–UC11 are in the Requirements Specification, section 3.3)</w:t>
      </w:r>
    </w:p>
    <w:p>
      <w:pPr>
        <w:pStyle w:val="Heading2"/>
      </w:pPr>
      <w:r>
        <w:t xml:space="preserve">1.2 Functional and non-functional requirements</w:t>
      </w:r>
    </w:p>
    <w:p>
      <w:pPr>
        <w:spacing w:after="120" w:line="276"/>
      </w:pPr>
      <w:r>
        <w:t xml:space="preserve">The design covers </w:t>
      </w:r>
      <w:r>
        <w:rPr>
          <w:b/>
          <w:bCs/>
        </w:rPr>
        <w:t xml:space="preserve">FR-01 – FR-18</w:t>
      </w:r>
      <w:r>
        <w:t xml:space="preserve"> and </w:t>
      </w:r>
      <w:r>
        <w:rPr>
          <w:b/>
          <w:bCs/>
        </w:rPr>
        <w:t xml:space="preserve">NFR-01 – NFR-10</w:t>
      </w:r>
      <w:r>
        <w:t xml:space="preserve"> defined in the Requirements Specification. The key design-driving constraints are: data gaps must never be hidden (NFR-05), one-command reproducibility (NFR-01), and a static single-file dashboard (NFR-02, NFR-08).</w:t>
      </w:r>
    </w:p>
    <w:p>
      <w:pPr>
        <w:pStyle w:val="Heading2"/>
      </w:pPr>
      <w:r>
        <w:t xml:space="preserve">1.3 Software architecture</w:t>
      </w:r>
    </w:p>
    <w:p>
      <w:pPr>
        <w:spacing w:after="120" w:line="276"/>
      </w:pPr>
      <w:r>
        <w:rPr>
          <w:b/>
          <w:bCs/>
        </w:rPr>
        <w:t xml:space="preserve">Architecture style:</w:t>
      </w:r>
      <w:r>
        <w:t xml:space="preserve"> a layered </w:t>
      </w:r>
      <w:r>
        <w:rPr>
          <w:b/>
          <w:bCs/>
        </w:rPr>
        <w:t xml:space="preserve">ETL / analytics pipeline</w:t>
      </w:r>
      <w:r>
        <w:t xml:space="preserve"> feeding a </w:t>
      </w:r>
      <w:r>
        <w:rPr>
          <w:b/>
          <w:bCs/>
        </w:rPr>
        <w:t xml:space="preserve">static client-side dashboard</w:t>
      </w:r>
      <w:r>
        <w:t xml:space="preserve">. MVC and microservices were considered and rejected: there is no server, no user input that changes stored data, and no need for independently deployed services.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3703"/>
        <w:gridCol w:w="3899"/>
      </w:tblGrid>
      <w:tr>
        <w:trPr>
          <w:tblHeader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89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data/raw/*.xlsx</w:t>
            </w:r>
          </w:p>
        </w:tc>
        <w:tc>
          <w:tcPr>
            <w:tcW w:type="dxa" w:w="389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Two WDI extracts (read-only)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Processing</w:t>
            </w:r>
          </w:p>
        </w:tc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src/data_loader.py</w:t>
            </w:r>
          </w:p>
        </w:tc>
        <w:tc>
          <w:tcPr>
            <w:tcW w:type="dxa" w:w="389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Read, merge (priority rule), clean, filter, interpolate, derive GDP per capita, quality report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src/analysis.py</w:t>
            </w:r>
          </w:p>
        </w:tc>
        <w:tc>
          <w:tcPr>
            <w:tcW w:type="dxa" w:w="389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Ranking, CAGR, correlation, Development Score, forecast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src/charts.py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main.py</w:t>
            </w:r>
          </w:p>
        </w:tc>
        <w:tc>
          <w:tcPr>
            <w:tcW w:type="dxa" w:w="389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CSV, XLSX and PNG exports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src/export_dashboard.py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dashboard/template.html</w:t>
            </w:r>
          </w:p>
        </w:tc>
        <w:tc>
          <w:tcPr>
            <w:tcW w:type="dxa" w:w="389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Embeds results as JSON in one HTML file drawn by Chart.js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src/config.py</w:t>
            </w:r>
          </w:p>
        </w:tc>
        <w:tc>
          <w:tcPr>
            <w:tcW w:type="dxa" w:w="389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Countries, indicators, years, forecast horizon</w:t>
            </w:r>
          </w:p>
        </w:tc>
      </w:tr>
    </w:tbl>
    <w:p>
      <w:pPr>
        <w:spacing w:after="160"/>
      </w:pPr>
    </w:p>
    <w:p>
      <w:pPr>
        <w:spacing w:after="40" w:before="80"/>
        <w:jc w:val="center"/>
      </w:pPr>
      <w:r>
        <w:drawing>
          <wp:inline distT="0" distB="0" distL="0" distR="0">
            <wp:extent cx="6096000" cy="1952625"/>
            <wp:effectExtent t="0" r="0" b="0" l="0"/>
            <wp:docPr id="1" name="architecture.png" descr="Figure 2 – Layered architecture" title="Figure 2 – Layered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2 – Layered architecture</w:t>
      </w:r>
    </w:p>
    <w:p>
      <w:pPr>
        <w:pStyle w:val="Heading1"/>
        <w:pageBreakBefore/>
      </w:pPr>
      <w:r>
        <w:t xml:space="preserve">2. Database Design &amp; Data Modeling</w:t>
      </w:r>
    </w:p>
    <w:p>
      <w:pPr>
        <w:spacing w:after="120" w:line="276"/>
      </w:pPr>
      <w:r>
        <w:t xml:space="preserve">The project does not use a database server. The data is stored as CSV/XLSX files whose columns follow the schema below, and </w:t>
      </w:r>
      <w:r>
        <w:rPr>
          <w:rFonts w:ascii="Consolas" w:cs="Consolas" w:eastAsia="Consolas" w:hAnsi="Consolas"/>
          <w:sz w:val="20"/>
          <w:szCs w:val="20"/>
        </w:rPr>
        <w:t xml:space="preserve">docs/schema.sql</w:t>
      </w:r>
      <w:r>
        <w:t xml:space="preserve"> contains an equivalent SQL definition so the files can be loaded into any relational database later.</w:t>
      </w:r>
    </w:p>
    <w:p>
      <w:pPr>
        <w:pStyle w:val="Heading2"/>
      </w:pPr>
      <w:r>
        <w:t xml:space="preserve">2.1 ER diagram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4105275"/>
            <wp:effectExtent t="0" r="0" b="0" l="0"/>
            <wp:docPr id="1" name="erd.png" descr="Figure 3 – Entity-relationship diagram" title="Figure 3 – Entity-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3 – Entity-relationship diagram</w:t>
      </w:r>
    </w:p>
    <w:p>
      <w:pPr>
        <w:pStyle w:val="Heading2"/>
      </w:pPr>
      <w:r>
        <w:t xml:space="preserve">2.2 Logical and physical schema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5068"/>
        <w:gridCol w:w="2924"/>
      </w:tblGrid>
      <w:tr>
        <w:trPr>
          <w:tblHeader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06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Columns (PK = primary key, FK = foreign key)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Normalisation / keys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COUNTRY</w:t>
            </w:r>
          </w:p>
        </w:tc>
        <w:tc>
          <w:tcPr>
            <w:tcW w:type="dxa" w:w="506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country_id (PK), country_name, wdi_name (unique)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3NF; 5 rows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THEME</w:t>
            </w:r>
          </w:p>
        </w:tc>
        <w:tc>
          <w:tcPr>
            <w:tcW w:type="dxa" w:w="506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theme_id (PK), theme_name (unique)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3NF; 5 rows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INDICATOR</w:t>
            </w:r>
          </w:p>
        </w:tc>
        <w:tc>
          <w:tcPr>
            <w:tcW w:type="dxa" w:w="506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indicator_id (PK), theme_id (FK), series_code (unique), indicator_name, unit, higher_is_better (nullable)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3NF; 19 rows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OBSERVATION</w:t>
            </w:r>
          </w:p>
        </w:tc>
        <w:tc>
          <w:tcPr>
            <w:tcW w:type="dxa" w:w="506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country_id (PK, FK), indicator_id (PK, FK), year (PK), value (nullable), is_observed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Composite key; one row per country × indicator × year (2,470 rows = 5 × 19 × 26)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FORECAST</w:t>
            </w:r>
          </w:p>
        </w:tc>
        <w:tc>
          <w:tcPr>
            <w:tcW w:type="dxa" w:w="506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country_id, indicator_id, year (composite PK), forecast_value ≥ 0, slope_per_year, holdout_mae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Years 2026–2030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DEV_SCORE</w:t>
            </w:r>
          </w:p>
        </w:tc>
        <w:tc>
          <w:tcPr>
            <w:tcW w:type="dxa" w:w="506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country_id (PK, FK), score 0–100, rank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row per country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File mapping.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data/processed/wdi_five_countries_long.csv</w:t>
      </w:r>
      <w:r>
        <w:t xml:space="preserve"> is the denormalised OBSERVATION table (country, theme, indicator, series code, unit, year, value, observed). </w:t>
      </w:r>
      <w:r>
        <w:rPr>
          <w:rFonts w:ascii="Consolas" w:cs="Consolas" w:eastAsia="Consolas" w:hAnsi="Consolas"/>
          <w:sz w:val="20"/>
          <w:szCs w:val="20"/>
        </w:rPr>
        <w:t xml:space="preserve">outputs/analysis_results.xlsx</w:t>
      </w:r>
      <w:r>
        <w:t xml:space="preserve"> holds FORECAST, DEV_SCORE and the other analysis sheets.</w:t>
      </w:r>
    </w:p>
    <w:p>
      <w:pPr>
        <w:pStyle w:val="Heading1"/>
        <w:pageBreakBefore/>
      </w:pPr>
      <w:r>
        <w:t xml:space="preserve">3. Data Flow &amp; System Behavior</w:t>
      </w:r>
    </w:p>
    <w:p>
      <w:pPr>
        <w:pStyle w:val="Heading2"/>
      </w:pPr>
      <w:r>
        <w:t xml:space="preserve">3.1 Data flow diagrams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1390650"/>
            <wp:effectExtent t="0" r="0" b="0" l="0"/>
            <wp:docPr id="1" name="dfd0.png" descr="Figure 4 – DFD level 0 (context)" title="Figure 4 – DFD level 0 (contex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4 – DFD level 0 (context)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942975"/>
            <wp:effectExtent t="0" r="0" b="0" l="0"/>
            <wp:docPr id="1" name="dfd1.png" descr="Figure 5 – DFD level 1" title="Figure 5 – DFD le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5 – DFD level 1</w:t>
      </w:r>
    </w:p>
    <w:p>
      <w:pPr>
        <w:pStyle w:val="Heading2"/>
      </w:pPr>
      <w:r>
        <w:t xml:space="preserve">3.2 Sequence diagrams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009900"/>
            <wp:effectExtent t="0" r="0" b="0" l="0"/>
            <wp:docPr id="1" name="sequence_pipeline.png" descr="Figure 6 – Sequence: running the pipeline" title="Figure 6 – Sequence: running th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6 – Sequence: running the pipeline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sequence_dashboard.png" descr="Figure 7 – Sequence: using the dashboard" title="Figure 7 – Sequence: using the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7 – Sequence: using the dashboard</w:t>
      </w:r>
    </w:p>
    <w:p>
      <w:pPr>
        <w:pStyle w:val="Heading2"/>
      </w:pPr>
      <w:r>
        <w:t xml:space="preserve">3.3 Activity diagram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12049125"/>
            <wp:effectExtent t="0" r="0" b="0" l="0"/>
            <wp:docPr id="1" name="activity.png" descr="Figure 8 – Activity: from raw files to dashboard" title="Figure 8 – Activity: from raw files to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0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8 – Activity: from raw files to dashboard</w:t>
      </w:r>
    </w:p>
    <w:p>
      <w:pPr>
        <w:pStyle w:val="Heading2"/>
      </w:pPr>
      <w:r>
        <w:t xml:space="preserve">3.4 State diagram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1295400"/>
            <wp:effectExtent t="0" r="0" b="0" l="0"/>
            <wp:docPr id="1" name="state.png" descr="Figure 9 – States of a single data point" title="Figure 9 – States of a single data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9 – States of a single data point</w:t>
      </w:r>
    </w:p>
    <w:p>
      <w:pPr>
        <w:pStyle w:val="Heading2"/>
      </w:pPr>
      <w:r>
        <w:t xml:space="preserve">3.5 Class diagram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638175"/>
            <wp:effectExtent t="0" r="0" b="0" l="0"/>
            <wp:docPr id="1" name="classes.png" descr="Figure 10 – Modules and their operations (the code is function-based; each box is a module)" title="Figure 10 – Modules and their operations (the code is function-based; each box is a modu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10 – Modules and their operations (the code is function-based; each box is a module)</w:t>
      </w:r>
    </w:p>
    <w:p>
      <w:pPr>
        <w:pStyle w:val="Heading1"/>
        <w:pageBreakBefore/>
      </w:pPr>
      <w:r>
        <w:t xml:space="preserve">4. UI/UX Design &amp; Prototyping</w:t>
      </w:r>
    </w:p>
    <w:p>
      <w:pPr>
        <w:pStyle w:val="Heading2"/>
      </w:pPr>
      <w:r>
        <w:t xml:space="preserve">4.1 Wireframes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2190750"/>
            <wp:effectExtent t="0" r="0" b="0" l="0"/>
            <wp:docPr id="1" name="wireframes.png" descr="Figure 11 – Wireframes: overview, ranking table, mobile" title="Figure 11 – Wireframes: overview, ranking table,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11 – Wireframes: overview, ranking table, mobile</w:t>
      </w:r>
    </w:p>
    <w:p>
      <w:pPr>
        <w:spacing w:after="120" w:line="276"/>
      </w:pPr>
      <w:r>
        <w:t xml:space="preserve">The final interface is the working dashboard (</w:t>
      </w:r>
      <w:r>
        <w:rPr>
          <w:rFonts w:ascii="Consolas" w:cs="Consolas" w:eastAsia="Consolas" w:hAnsi="Consolas"/>
          <w:sz w:val="20"/>
          <w:szCs w:val="20"/>
        </w:rPr>
        <w:t xml:space="preserve">dashboard/dashboard.html</w:t>
      </w:r>
      <w:r>
        <w:t xml:space="preserve">); the wireframes above define its layout: header → KPI cards → controls → charts → ranking table → source note.</w:t>
      </w:r>
    </w:p>
    <w:p>
      <w:pPr>
        <w:pStyle w:val="Heading2"/>
      </w:pPr>
      <w:r>
        <w:t xml:space="preserve">4.2 UI/UX guidelines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Guideline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Colour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Deep blue (primary), purple (secondary), cyan (accent), orange (highlight), green (success) – the DEPI infographic palette. Each country keeps one fixed colour in every chart.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Typography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 / Segoe UI / system sans-serif; title 28 px, section headings 15 px, body 13–14 px; tabular numbers in tables.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Layout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Cards with rounded corners and soft shadows; two-column chart area on desktop that stacks on screens &lt; 860 px.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honesty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Hollow markers = interpolated; dashed lines = forecast; notes under the charts; source and score formula in the footer.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Themes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Automatic light/dark mode following the device setting.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Every control has a visible label; country chips are real buttons; values are also in a table; colour is never the only carrier of meaning (country names in legend, bars and table).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5. System Deployment &amp; Integration</w:t>
      </w:r>
    </w:p>
    <w:p>
      <w:pPr>
        <w:pStyle w:val="Heading2"/>
      </w:pPr>
      <w:r>
        <w:t xml:space="preserve">5.1 Technology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3509"/>
        <w:gridCol w:w="3898"/>
      </w:tblGrid>
      <w:tr>
        <w:trPr>
          <w:tblHeader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3.10+</w:t>
            </w:r>
          </w:p>
        </w:tc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Pipeline, analysis, tests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pandas, NumPy, openpyxl</w:t>
            </w:r>
          </w:p>
        </w:tc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Read Excel, reshape, clean, write xlsx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scikit-learn (LinearRegression)</w:t>
            </w:r>
          </w:p>
        </w:tc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Linear trend forecast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Charts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matplotlib</w:t>
            </w:r>
          </w:p>
        </w:tc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Static PNG charts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HTML, CSS, JavaScript, Chart.js 4.4.1</w:t>
            </w:r>
          </w:p>
        </w:tc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Interactive dashboard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unittest</w:t>
            </w:r>
          </w:p>
        </w:tc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18 automated tests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 / GitHub (company organisation)</w:t>
            </w:r>
          </w:p>
        </w:tc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Source, docs and data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No backend framework, no database server and no AI/LLM services are used.</w:t>
      </w:r>
    </w:p>
    <w:p>
      <w:pPr>
        <w:pStyle w:val="Heading2"/>
      </w:pPr>
      <w:r>
        <w:t xml:space="preserve">5.2 Component diagram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962400"/>
            <wp:effectExtent t="0" r="0" b="0" l="0"/>
            <wp:docPr id="1" name="component.png" descr="Figure 12 – Component diagram" title="Figure 12 – 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12 – Component diagram</w:t>
      </w:r>
    </w:p>
    <w:p>
      <w:pPr>
        <w:pStyle w:val="Heading2"/>
      </w:pPr>
      <w:r>
        <w:t xml:space="preserve">5.3 Deployment diagram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933450"/>
            <wp:effectExtent t="0" r="0" b="0" l="0"/>
            <wp:docPr id="1" name="deployment.png" descr="Figure 13 – Deployment diagram" title="Figure 13 – 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13 – Deployment diagram</w:t>
      </w:r>
    </w:p>
    <w:p>
      <w:pPr>
        <w:pStyle w:val="Heading1"/>
        <w:pageBreakBefore/>
      </w:pPr>
      <w:r>
        <w:t xml:space="preserve">6. Additional Deliverables</w:t>
      </w:r>
    </w:p>
    <w:p>
      <w:pPr>
        <w:pStyle w:val="Heading2"/>
      </w:pPr>
      <w:r>
        <w:t xml:space="preserve">6.1 API documentation</w:t>
      </w:r>
    </w:p>
    <w:p>
      <w:pPr>
        <w:spacing w:after="120" w:line="276"/>
      </w:pPr>
      <w:r>
        <w:t xml:space="preserve">The system has </w:t>
      </w:r>
      <w:r>
        <w:rPr>
          <w:b/>
          <w:bCs/>
        </w:rPr>
        <w:t xml:space="preserve">no REST API</w:t>
      </w:r>
      <w:r>
        <w:t xml:space="preserve"> (no server), so there are no endpoints to document. The public Python functions are documented in the Technical Documentation (section 4).</w:t>
      </w:r>
    </w:p>
    <w:p>
      <w:pPr>
        <w:pStyle w:val="Heading2"/>
      </w:pPr>
      <w:r>
        <w:t xml:space="preserve">6.2 Testing &amp; validation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 tests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tests/test_pipeline.py</w:t>
      </w:r>
      <w:r>
        <w:t xml:space="preserve">, 18 tests) for loading, cleaning, interpolation, ranking, CAGR, score, forecast and dashboard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Integration check: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python main.py</w:t>
      </w:r>
      <w:r>
        <w:t xml:space="preserve"> must finish without errors and create all output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acceptance tests</w:t>
      </w:r>
      <w:r>
        <w:t xml:space="preserve"> (UAT-01 … UAT-09) executed in a browser; listed in the Test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validation:</w:t>
      </w:r>
      <w:r>
        <w:t xml:space="preserve"> quality report per country; a hold-out error for each forecast.</w:t>
      </w:r>
    </w:p>
    <w:p>
      <w:pPr>
        <w:pStyle w:val="Heading2"/>
      </w:pPr>
      <w:r>
        <w:t xml:space="preserve">6.3 Deployment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 environment:</w:t>
      </w:r>
      <w:r>
        <w:t xml:space="preserve"> none required. Team members run the pipeline locally; the dashboard is one HTML file that can be opened from disk, from GitHub, or from any static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  <w:r>
        <w:t xml:space="preserve"> then </w:t>
      </w:r>
      <w:r>
        <w:rPr>
          <w:rFonts w:ascii="Consolas" w:cs="Consolas" w:eastAsia="Consolas" w:hAnsi="Consolas"/>
          <w:sz w:val="20"/>
          <w:szCs w:val="20"/>
        </w:rPr>
        <w:t xml:space="preserve">python main.py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CI/CD:</w:t>
      </w:r>
      <w:r>
        <w:t xml:space="preserve"> optional. A GitHub Actions workflow could run the 18 tests on every pull request; not configured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Scaling:</w:t>
      </w:r>
      <w:r>
        <w:t xml:space="preserve"> the pipeline is vectorised pandas; adding countries or indicators needs only </w:t>
      </w:r>
      <w:r>
        <w:rPr>
          <w:rFonts w:ascii="Consolas" w:cs="Consolas" w:eastAsia="Consolas" w:hAnsi="Consolas"/>
          <w:sz w:val="20"/>
          <w:szCs w:val="20"/>
        </w:rPr>
        <w:t xml:space="preserve">config.py</w:t>
      </w:r>
      <w:r>
        <w:t xml:space="preserve"> changes. Data above a few hundred MB would call for a database (see </w:t>
      </w:r>
      <w:r>
        <w:rPr>
          <w:rFonts w:ascii="Consolas" w:cs="Consolas" w:eastAsia="Consolas" w:hAnsi="Consolas"/>
          <w:sz w:val="20"/>
          <w:szCs w:val="20"/>
        </w:rPr>
        <w:t xml:space="preserve">docs/schema.sql</w:t>
      </w:r>
      <w:r>
        <w:t xml:space="preserve">).</w:t>
      </w:r>
    </w:p>
    <w:sectPr>
      <w:headerReference w:type="default" r:id="rId7"/>
      <w:footerReference w:type="default" r:id="rId8"/>
      <w:pgSz w:w="11906" w:h="16838" w:orient="portrait"/>
      <w:pgMar w:top="13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85"/>
        <w:sz w:val="16"/>
        <w:szCs w:val="16"/>
      </w:rPr>
      <w:t xml:space="preserve">System Analysis &amp; Design  ·  Page </w:t>
    </w:r>
    <w:r>
      <w:rPr>
        <w:color w:val="5B67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785"/>
        <w:sz w:val="16"/>
        <w:szCs w:val="16"/>
      </w:rPr>
      <w:t xml:space="preserve"> of </w:t>
    </w:r>
    <w:r>
      <w:rPr>
        <w:color w:val="5B67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8" w:sz="4" w:space="4"/>
      </w:pBdr>
      <w:tabs>
        <w:tab w:val="right" w:pos="9746"/>
      </w:tabs>
    </w:pPr>
    <w:r>
      <w:drawing>
        <wp:inline distT="0" distB="0" distL="0" distR="0">
          <wp:extent cx="628650" cy="323850"/>
          <wp:effectExtent t="0" r="0" b="0" l="0"/>
          <wp:docPr id="1" name="depi" descr="DEPI logo" title="DE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666750" cy="314325"/>
          <wp:effectExtent t="0" r="0" b="0" l="0"/>
          <wp:docPr id="1" name="mcit" descr="Ministry logo" title="MC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7C3AE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F1A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de896df33d4152f5c5f6dbaa4bfab82a1dbbb1.png"/><Relationship Id="rId10" Type="http://schemas.openxmlformats.org/officeDocument/2006/relationships/image" Target="media/913fe2cf63ac64bdba48e419bd2e88d19ce67496.png"/><Relationship Id="rId11" Type="http://schemas.openxmlformats.org/officeDocument/2006/relationships/image" Target="media/f02e5cebcebae928fc9b2f2caeb8e39ed0b919fb.png"/><Relationship Id="rId12" Type="http://schemas.openxmlformats.org/officeDocument/2006/relationships/image" Target="media/ca88f6344ad7405613f145a963ecca3066a29cf0.png"/><Relationship Id="rId13" Type="http://schemas.openxmlformats.org/officeDocument/2006/relationships/image" Target="media/ba5a63ecf273c566002bd41e95dff0671811084a.png"/><Relationship Id="rId14" Type="http://schemas.openxmlformats.org/officeDocument/2006/relationships/image" Target="media/5a33357a6c1171b0df869127e90ffb42a2654b52.png"/><Relationship Id="rId15" Type="http://schemas.openxmlformats.org/officeDocument/2006/relationships/image" Target="media/b36db9342ad2e948cfea7347bc579df90146fca9.png"/><Relationship Id="rId16" Type="http://schemas.openxmlformats.org/officeDocument/2006/relationships/image" Target="media/5950d9795f13391699c0ad369e0b69f116da53d6.png"/><Relationship Id="rId17" Type="http://schemas.openxmlformats.org/officeDocument/2006/relationships/image" Target="media/d500ab3ac5e01f9f6d2219a48addd3fdf26cdbcc.png"/><Relationship Id="rId18" Type="http://schemas.openxmlformats.org/officeDocument/2006/relationships/image" Target="media/45553bd34cf9604f674d184924d64696ab4b199b.png"/><Relationship Id="rId19" Type="http://schemas.openxmlformats.org/officeDocument/2006/relationships/image" Target="media/85e9b7c6cb311dc8c5fcfe45e0df052ee9eb367e.png"/><Relationship Id="rId20" Type="http://schemas.openxmlformats.org/officeDocument/2006/relationships/image" Target="media/dc82fbfb18f119860e55b1be121a0da9027c62a5.png"/><Relationship Id="rId21" Type="http://schemas.openxmlformats.org/officeDocument/2006/relationships/image" Target="media/f378875b6aab31ca4ebb2b70be04c92bcc072ad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95697d83bb758fb29b8999a9f5f395ec87f975.jpg"/><Relationship Id="rId1" Type="http://schemas.openxmlformats.org/officeDocument/2006/relationships/image" Target="media/f0be665b666d07bdabd669987d3902971cb1a2ed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Analysis &amp; Design</dc:title>
  <dc:creator>DevCompare Team</dc:creator>
  <cp:lastModifiedBy>Un-named</cp:lastModifiedBy>
  <cp:revision>1</cp:revision>
  <dcterms:created xsi:type="dcterms:W3CDTF">2026-10-31T04:02:13.685Z</dcterms:created>
  <dcterms:modified xsi:type="dcterms:W3CDTF">2026-10-31T04:02:13.685Z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