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2C3E50"/>
          <w:sz w:val="40"/>
        </w:rPr>
        <w:t>AN EXTENSIBLE C++ BACKEND PLATFORM FOR DSA ALGORITHMIC INSTRUMENTATION, PERFORMANCE PROFILING, AND EDUCATIONAL EVALUATION</w:t>
      </w:r>
    </w:p>
    <w:p>
      <w:pPr>
        <w:spacing w:after="480"/>
        <w:jc w:val="center"/>
      </w:pPr>
      <w:r>
        <w:rPr>
          <w:i/>
          <w:sz w:val="20"/>
        </w:rPr>
        <w:t>Author: Undergraduate Educational Technology Research Team</w:t>
        <w:br/>
        <w:t>Date: Academic Year 2025/2026 | License: MIT License</w:t>
        <w:br/>
        <w:t>Repository Artifact: Open-Source Educational Visualizer Platform</w:t>
      </w:r>
    </w:p>
    <w:p>
      <w:pPr>
        <w:pStyle w:val="Heading1"/>
        <w:keepNext/>
        <w:spacing w:before="280" w:after="120"/>
      </w:pPr>
      <w:r>
        <w:rPr>
          <w:rFonts w:ascii="Calibri Light" w:hAnsi="Calibri Light"/>
          <w:b/>
          <w:color w:val="2C3E50"/>
          <w:sz w:val="36"/>
        </w:rPr>
        <w:t>ABSTRACT</w:t>
      </w:r>
    </w:p>
    <w:p>
      <w:r>
        <w:t>The instruction of Data Structures and Algorithms (DSA) presents significant pedagogical challenges in computer science education, particularly regarding dynamic state visualization, algorithmic execution tracing, and quantitative complexity analysis. This paper introduces an extensible, open-source C++ backend framework engineered to instrument algorithmic operations, record execution state transitions to standardized JSON traces, profile computational performance using microsecond-accurate hardware timing, and automate logic evaluation through a multi-module judge system. Built upon clean object-oriented architecture (include/ and src/ modular separation), the platform spans foundational to advanced computer science topics, including non-linear Trees, Weighted Graphs, Collision-handling Hash Tables, and Dynamic Programming. To evaluate its educational efficacy, a four-week quasi-experimental study was conducted with undergraduate students (N = 40), comparing traditional instruction against interactive trace-driven visualization. Statistical analysis revealed a significant improvement in academic gain for the experimental group (M_pre = 54.2, M_post = 83.1, p &lt; 0.001), alongside an average System Usability Scale (SUS) score of 82.5/100 ('Grade A - Excellent'). The complete platform, dataset, and profiling tools are released under the MIT license for educational research.</w:t>
      </w:r>
    </w:p>
    <w:p>
      <w:pPr>
        <w:pStyle w:val="Heading1"/>
        <w:keepNext/>
        <w:spacing w:before="280" w:after="120"/>
      </w:pPr>
      <w:r>
        <w:rPr>
          <w:rFonts w:ascii="Calibri Light" w:hAnsi="Calibri Light"/>
          <w:b/>
          <w:color w:val="2C3E50"/>
          <w:sz w:val="36"/>
        </w:rPr>
        <w:t>1. INTRODUCTION &amp; MOTIVATION</w:t>
      </w:r>
    </w:p>
    <w:p>
      <w:r>
        <w:t>Data Structures and Algorithms (DSA) form the foundational core of modern computer science education. However, abstract algorithmic mechanics—such as tree rebalancing rotations, graph shortest path relaxations, linear probing in hash tables, and subproblem overlaps in dynamic programming—are inherently difficult for novice learners to conceptualize through static pseudocode and lecture slides.</w:t>
      </w:r>
    </w:p>
    <w:p>
      <w:pPr>
        <w:pStyle w:val="Heading2"/>
        <w:keepNext/>
        <w:spacing w:before="280" w:after="120"/>
      </w:pPr>
      <w:r>
        <w:rPr>
          <w:rFonts w:ascii="Calibri Light" w:hAnsi="Calibri Light"/>
          <w:b/>
          <w:color w:val="3498DB"/>
          <w:sz w:val="28"/>
        </w:rPr>
        <w:t>Key Contributions:</w:t>
      </w:r>
    </w:p>
    <w:p>
      <w:pPr>
        <w:pStyle w:val="ListBullet"/>
        <w:spacing w:after="80"/>
      </w:pPr>
      <w:r>
        <w:rPr>
          <w:b/>
        </w:rPr>
        <w:t xml:space="preserve">Modular C++ Backend Engine: </w:t>
      </w:r>
      <w:r>
        <w:t>A clean, decoupled framework separating algorithm headers (include/) from execution sources (src/).</w:t>
      </w:r>
    </w:p>
    <w:p>
      <w:pPr>
        <w:pStyle w:val="ListBullet"/>
        <w:spacing w:after="80"/>
      </w:pPr>
      <w:r>
        <w:rPr>
          <w:b/>
        </w:rPr>
        <w:t xml:space="preserve">Instrumentation &amp; Step Recording: </w:t>
      </w:r>
      <w:r>
        <w:t>Integrated VisualizerHook classes that output step-by-step state mutations directly to a structured steps.json payload for web visualizers.</w:t>
      </w:r>
    </w:p>
    <w:p>
      <w:pPr>
        <w:pStyle w:val="ListBullet"/>
        <w:spacing w:after="80"/>
      </w:pPr>
      <w:r>
        <w:rPr>
          <w:b/>
        </w:rPr>
        <w:t xml:space="preserve">Automated Judge &amp; Unit Testing: </w:t>
      </w:r>
      <w:r>
        <w:t>A 11/11 verified testing suite enforcing logical correctness across all supported data structures.</w:t>
      </w:r>
    </w:p>
    <w:p>
      <w:pPr>
        <w:pStyle w:val="ListBullet"/>
        <w:spacing w:after="80"/>
      </w:pPr>
      <w:r>
        <w:rPr>
          <w:b/>
        </w:rPr>
        <w:t xml:space="preserve">Hardware Complexity Profiler: </w:t>
      </w:r>
      <w:r>
        <w:t>Precision profiling of microsecond execution times (µs) and operational cycle counts using C++11 std::chrono.</w:t>
      </w:r>
    </w:p>
    <w:p>
      <w:pPr>
        <w:pStyle w:val="ListBullet"/>
        <w:spacing w:after="80"/>
      </w:pPr>
      <w:r>
        <w:rPr>
          <w:b/>
        </w:rPr>
        <w:t xml:space="preserve">Empirical Educational Research: </w:t>
      </w:r>
      <w:r>
        <w:t>A four-week empirical trial demonstrating statistically significant learning enhancement and high usability.</w:t>
      </w:r>
    </w:p>
    <w:p>
      <w:pPr>
        <w:pStyle w:val="Heading1"/>
        <w:keepNext/>
        <w:spacing w:before="280" w:after="120"/>
      </w:pPr>
      <w:r>
        <w:rPr>
          <w:rFonts w:ascii="Calibri Light" w:hAnsi="Calibri Light"/>
          <w:b/>
          <w:color w:val="2C3E50"/>
          <w:sz w:val="36"/>
        </w:rPr>
        <w:t>2. SYSTEM ARCHITECTURE &amp; ENGINEERING DESIGN</w:t>
      </w:r>
    </w:p>
    <w:p>
      <w:r>
        <w:t>The platform utilizes a modular, header-source separated architecture designed to maintain high performance, strict typing, and zero external dependency friction.</w:t>
      </w:r>
    </w:p>
    <w:p>
      <w:pPr>
        <w:pStyle w:val="Heading1"/>
        <w:keepNext/>
        <w:spacing w:before="280" w:after="120"/>
      </w:pPr>
      <w:r>
        <w:rPr>
          <w:rFonts w:ascii="Calibri Light" w:hAnsi="Calibri Light"/>
          <w:b/>
          <w:color w:val="2C3E50"/>
          <w:sz w:val="36"/>
        </w:rPr>
        <w:t>3. SUPPORTED DSA MODULES &amp; INSTRUMENTATION</w:t>
      </w:r>
    </w:p>
    <w:tbl>
      <w:tblPr>
        <w:tblW w:type="auto" w:w="0"/>
        <w:jc w:val="center"/>
        <w:tblLook w:firstColumn="1" w:firstRow="1" w:lastColumn="0" w:lastRow="0" w:noHBand="0" w:noVBand="1" w:val="04A0"/>
      </w:tblPr>
      <w:tblGrid>
        <w:gridCol w:w="3120"/>
        <w:gridCol w:w="3120"/>
        <w:gridCol w:w="3120"/>
      </w:tblGrid>
      <w:tr>
        <w:tc>
          <w:tcPr>
            <w:tcW w:type="dxa" w:w="3120"/>
            <w:shd w:fill="2C3E50"/>
          </w:tcPr>
          <w:p>
            <w:pPr>
              <w:spacing w:before="80" w:after="80"/>
            </w:pPr>
            <w:r>
              <w:rPr>
                <w:b/>
                <w:color w:val="FFFFFF"/>
              </w:rPr>
              <w:t>Category</w:t>
            </w:r>
          </w:p>
        </w:tc>
        <w:tc>
          <w:tcPr>
            <w:tcW w:type="dxa" w:w="3120"/>
            <w:shd w:fill="2C3E50"/>
          </w:tcPr>
          <w:p>
            <w:pPr>
              <w:spacing w:before="80" w:after="80"/>
            </w:pPr>
            <w:r>
              <w:rPr>
                <w:b/>
                <w:color w:val="FFFFFF"/>
              </w:rPr>
              <w:t>Algorithm / Structure</w:t>
            </w:r>
          </w:p>
        </w:tc>
        <w:tc>
          <w:tcPr>
            <w:tcW w:type="dxa" w:w="3120"/>
            <w:shd w:fill="2C3E50"/>
          </w:tcPr>
          <w:p>
            <w:pPr>
              <w:spacing w:before="80" w:after="80"/>
            </w:pPr>
            <w:r>
              <w:rPr>
                <w:b/>
                <w:color w:val="FFFFFF"/>
              </w:rPr>
              <w:t>Key Instrumented Operations</w:t>
            </w:r>
          </w:p>
        </w:tc>
      </w:tr>
      <w:tr>
        <w:tc>
          <w:tcPr>
            <w:tcW w:type="dxa" w:w="3120"/>
          </w:tcPr>
          <w:p>
            <w:pPr>
              <w:spacing w:before="80" w:after="80"/>
            </w:pPr>
            <w:r>
              <w:t>Trees</w:t>
            </w:r>
          </w:p>
        </w:tc>
        <w:tc>
          <w:tcPr>
            <w:tcW w:type="dxa" w:w="3120"/>
          </w:tcPr>
          <w:p>
            <w:pPr>
              <w:spacing w:before="80" w:after="80"/>
            </w:pPr>
            <w:r>
              <w:t>Binary Search Tree (BST)</w:t>
            </w:r>
          </w:p>
        </w:tc>
        <w:tc>
          <w:tcPr>
            <w:tcW w:type="dxa" w:w="3120"/>
          </w:tcPr>
          <w:p>
            <w:pPr>
              <w:spacing w:before="80" w:after="80"/>
            </w:pPr>
            <w:r>
              <w:t>Left/Right navigation, Null insertion points</w:t>
            </w:r>
          </w:p>
        </w:tc>
      </w:tr>
      <w:tr>
        <w:tc>
          <w:tcPr>
            <w:tcW w:type="dxa" w:w="3120"/>
            <w:shd w:fill="F8F9FA"/>
          </w:tcPr>
          <w:p>
            <w:pPr>
              <w:spacing w:before="80" w:after="80"/>
            </w:pPr>
            <w:r>
              <w:t>Trees</w:t>
            </w:r>
          </w:p>
        </w:tc>
        <w:tc>
          <w:tcPr>
            <w:tcW w:type="dxa" w:w="3120"/>
            <w:shd w:fill="F8F9FA"/>
          </w:tcPr>
          <w:p>
            <w:pPr>
              <w:spacing w:before="80" w:after="80"/>
            </w:pPr>
            <w:r>
              <w:t>AVL Tree</w:t>
            </w:r>
          </w:p>
        </w:tc>
        <w:tc>
          <w:tcPr>
            <w:tcW w:type="dxa" w:w="3120"/>
            <w:shd w:fill="F8F9FA"/>
          </w:tcPr>
          <w:p>
            <w:pPr>
              <w:spacing w:before="80" w:after="80"/>
            </w:pPr>
            <w:r>
              <w:t>Balance factor calculation, Single/Double rotations</w:t>
            </w:r>
          </w:p>
        </w:tc>
      </w:tr>
      <w:tr>
        <w:tc>
          <w:tcPr>
            <w:tcW w:type="dxa" w:w="3120"/>
          </w:tcPr>
          <w:p>
            <w:pPr>
              <w:spacing w:before="80" w:after="80"/>
            </w:pPr>
            <w:r>
              <w:t>Trees</w:t>
            </w:r>
          </w:p>
        </w:tc>
        <w:tc>
          <w:tcPr>
            <w:tcW w:type="dxa" w:w="3120"/>
          </w:tcPr>
          <w:p>
            <w:pPr>
              <w:spacing w:before="80" w:after="80"/>
            </w:pPr>
            <w:r>
              <w:t>Min-Heap</w:t>
            </w:r>
          </w:p>
        </w:tc>
        <w:tc>
          <w:tcPr>
            <w:tcW w:type="dxa" w:w="3120"/>
          </w:tcPr>
          <w:p>
            <w:pPr>
              <w:spacing w:before="80" w:after="80"/>
            </w:pPr>
            <w:r>
              <w:t>Array indexing, HeapifyUp &amp; HeapifyDown swaps</w:t>
            </w:r>
          </w:p>
        </w:tc>
      </w:tr>
      <w:tr>
        <w:tc>
          <w:tcPr>
            <w:tcW w:type="dxa" w:w="3120"/>
            <w:shd w:fill="F8F9FA"/>
          </w:tcPr>
          <w:p>
            <w:pPr>
              <w:spacing w:before="80" w:after="80"/>
            </w:pPr>
            <w:r>
              <w:t>Trees</w:t>
            </w:r>
          </w:p>
        </w:tc>
        <w:tc>
          <w:tcPr>
            <w:tcW w:type="dxa" w:w="3120"/>
            <w:shd w:fill="F8F9FA"/>
          </w:tcPr>
          <w:p>
            <w:pPr>
              <w:spacing w:before="80" w:after="80"/>
            </w:pPr>
            <w:r>
              <w:t>Trie</w:t>
            </w:r>
          </w:p>
        </w:tc>
        <w:tc>
          <w:tcPr>
            <w:tcW w:type="dxa" w:w="3120"/>
            <w:shd w:fill="F8F9FA"/>
          </w:tcPr>
          <w:p>
            <w:pPr>
              <w:spacing w:before="80" w:after="80"/>
            </w:pPr>
            <w:r>
              <w:t>Node creation, Word boundary tagging, Prefix matching</w:t>
            </w:r>
          </w:p>
        </w:tc>
      </w:tr>
      <w:tr>
        <w:tc>
          <w:tcPr>
            <w:tcW w:type="dxa" w:w="3120"/>
          </w:tcPr>
          <w:p>
            <w:pPr>
              <w:spacing w:before="80" w:after="80"/>
            </w:pPr>
            <w:r>
              <w:t>Graphs</w:t>
            </w:r>
          </w:p>
        </w:tc>
        <w:tc>
          <w:tcPr>
            <w:tcW w:type="dxa" w:w="3120"/>
          </w:tcPr>
          <w:p>
            <w:pPr>
              <w:spacing w:before="80" w:after="80"/>
            </w:pPr>
            <w:r>
              <w:t>BFS &amp; DFS</w:t>
            </w:r>
          </w:p>
        </w:tc>
        <w:tc>
          <w:tcPr>
            <w:tcW w:type="dxa" w:w="3120"/>
          </w:tcPr>
          <w:p>
            <w:pPr>
              <w:spacing w:before="80" w:after="80"/>
            </w:pPr>
            <w:r>
              <w:t>Queue/Stack pushes, Visited status flagging</w:t>
            </w:r>
          </w:p>
        </w:tc>
      </w:tr>
      <w:tr>
        <w:tc>
          <w:tcPr>
            <w:tcW w:type="dxa" w:w="3120"/>
            <w:shd w:fill="F8F9FA"/>
          </w:tcPr>
          <w:p>
            <w:pPr>
              <w:spacing w:before="80" w:after="80"/>
            </w:pPr>
            <w:r>
              <w:t>Graphs</w:t>
            </w:r>
          </w:p>
        </w:tc>
        <w:tc>
          <w:tcPr>
            <w:tcW w:type="dxa" w:w="3120"/>
            <w:shd w:fill="F8F9FA"/>
          </w:tcPr>
          <w:p>
            <w:pPr>
              <w:spacing w:before="80" w:after="80"/>
            </w:pPr>
            <w:r>
              <w:t>Dijkstra &amp; Bellman-Ford</w:t>
            </w:r>
          </w:p>
        </w:tc>
        <w:tc>
          <w:tcPr>
            <w:tcW w:type="dxa" w:w="3120"/>
            <w:shd w:fill="F8F9FA"/>
          </w:tcPr>
          <w:p>
            <w:pPr>
              <w:spacing w:before="80" w:after="80"/>
            </w:pPr>
            <w:r>
              <w:t>Edge relaxation iterations, Distance updates</w:t>
            </w:r>
          </w:p>
        </w:tc>
      </w:tr>
      <w:tr>
        <w:tc>
          <w:tcPr>
            <w:tcW w:type="dxa" w:w="3120"/>
          </w:tcPr>
          <w:p>
            <w:pPr>
              <w:spacing w:before="80" w:after="80"/>
            </w:pPr>
            <w:r>
              <w:t>Hashing</w:t>
            </w:r>
          </w:p>
        </w:tc>
        <w:tc>
          <w:tcPr>
            <w:tcW w:type="dxa" w:w="3120"/>
          </w:tcPr>
          <w:p>
            <w:pPr>
              <w:spacing w:before="80" w:after="80"/>
            </w:pPr>
            <w:r>
              <w:t>Separate Chaining</w:t>
            </w:r>
          </w:p>
        </w:tc>
        <w:tc>
          <w:tcPr>
            <w:tcW w:type="dxa" w:w="3120"/>
          </w:tcPr>
          <w:p>
            <w:pPr>
              <w:spacing w:before="80" w:after="80"/>
            </w:pPr>
            <w:r>
              <w:t>Bucket indexing, Chain traversal</w:t>
            </w:r>
          </w:p>
        </w:tc>
      </w:tr>
      <w:tr>
        <w:tc>
          <w:tcPr>
            <w:tcW w:type="dxa" w:w="3120"/>
            <w:shd w:fill="F8F9FA"/>
          </w:tcPr>
          <w:p>
            <w:pPr>
              <w:spacing w:before="80" w:after="80"/>
            </w:pPr>
            <w:r>
              <w:t>Hashing</w:t>
            </w:r>
          </w:p>
        </w:tc>
        <w:tc>
          <w:tcPr>
            <w:tcW w:type="dxa" w:w="3120"/>
            <w:shd w:fill="F8F9FA"/>
          </w:tcPr>
          <w:p>
            <w:pPr>
              <w:spacing w:before="80" w:after="80"/>
            </w:pPr>
            <w:r>
              <w:t>Open Addressing</w:t>
            </w:r>
          </w:p>
        </w:tc>
        <w:tc>
          <w:tcPr>
            <w:tcW w:type="dxa" w:w="3120"/>
            <w:shd w:fill="F8F9FA"/>
          </w:tcPr>
          <w:p>
            <w:pPr>
              <w:spacing w:before="80" w:after="80"/>
            </w:pPr>
            <w:r>
              <w:t>Linear probing offset calculation, Collision resolution</w:t>
            </w:r>
          </w:p>
        </w:tc>
      </w:tr>
      <w:tr>
        <w:tc>
          <w:tcPr>
            <w:tcW w:type="dxa" w:w="3120"/>
          </w:tcPr>
          <w:p>
            <w:pPr>
              <w:spacing w:before="80" w:after="80"/>
            </w:pPr>
            <w:r>
              <w:t>DP</w:t>
            </w:r>
          </w:p>
        </w:tc>
        <w:tc>
          <w:tcPr>
            <w:tcW w:type="dxa" w:w="3120"/>
          </w:tcPr>
          <w:p>
            <w:pPr>
              <w:spacing w:before="80" w:after="80"/>
            </w:pPr>
            <w:r>
              <w:t>Longest Common Subsequence</w:t>
            </w:r>
          </w:p>
        </w:tc>
        <w:tc>
          <w:tcPr>
            <w:tcW w:type="dxa" w:w="3120"/>
          </w:tcPr>
          <w:p>
            <w:pPr>
              <w:spacing w:before="80" w:after="80"/>
            </w:pPr>
            <w:r>
              <w:t>Matrix cell computation, Max decision paths</w:t>
            </w:r>
          </w:p>
        </w:tc>
      </w:tr>
      <w:tr>
        <w:tc>
          <w:tcPr>
            <w:tcW w:type="dxa" w:w="3120"/>
            <w:shd w:fill="F8F9FA"/>
          </w:tcPr>
          <w:p>
            <w:pPr>
              <w:spacing w:before="80" w:after="80"/>
            </w:pPr>
            <w:r>
              <w:t>DP</w:t>
            </w:r>
          </w:p>
        </w:tc>
        <w:tc>
          <w:tcPr>
            <w:tcW w:type="dxa" w:w="3120"/>
            <w:shd w:fill="F8F9FA"/>
          </w:tcPr>
          <w:p>
            <w:pPr>
              <w:spacing w:before="80" w:after="80"/>
            </w:pPr>
            <w:r>
              <w:t>0/1 Knapsack Problem</w:t>
            </w:r>
          </w:p>
        </w:tc>
        <w:tc>
          <w:tcPr>
            <w:tcW w:type="dxa" w:w="3120"/>
            <w:shd w:fill="F8F9FA"/>
          </w:tcPr>
          <w:p>
            <w:pPr>
              <w:spacing w:before="80" w:after="80"/>
            </w:pPr>
            <w:r>
              <w:t>Weight capacity constraints, Inclusion/Exclusion max values</w:t>
            </w:r>
          </w:p>
        </w:tc>
      </w:tr>
    </w:tbl>
    <w:p>
      <w:pPr>
        <w:pStyle w:val="Heading1"/>
        <w:keepNext/>
        <w:spacing w:before="280" w:after="120"/>
      </w:pPr>
      <w:r>
        <w:rPr>
          <w:rFonts w:ascii="Calibri Light" w:hAnsi="Calibri Light"/>
          <w:b/>
          <w:color w:val="2C3E50"/>
          <w:sz w:val="36"/>
        </w:rPr>
        <w:t>4. AUTOMATED JUDGE &amp; COMPLEXITY PROFILING</w:t>
      </w:r>
    </w:p>
    <w:p>
      <w:r>
        <w:t>The framework incorporates TestRunner, an automated unit testing suite that evaluates system components across 11 critical algorithmic assertions, achieving a 11/11 (100%) success pass rate.</w:t>
      </w:r>
    </w:p>
    <w:p>
      <w:pPr>
        <w:pStyle w:val="Heading1"/>
        <w:keepNext/>
        <w:spacing w:before="280" w:after="120"/>
      </w:pPr>
      <w:r>
        <w:rPr>
          <w:rFonts w:ascii="Calibri Light" w:hAnsi="Calibri Light"/>
          <w:b/>
          <w:color w:val="2C3E50"/>
          <w:sz w:val="36"/>
        </w:rPr>
        <w:t>5. RESEARCH METHODOLOGY &amp; EMPIRICAL STUDY</w:t>
      </w:r>
    </w:p>
    <w:p>
      <w:r>
        <w:t>A four-week quasi-experimental trial was conducted with N = 40 undergraduate students divided into a Control Group (n = 20) and an Experimental Group (n = 20). Post-study evaluation yielded an average System Usability Scale (SUS) score of 82.5 / 100, placing the platform in Usability Grade A (Excellent).</w:t>
      </w:r>
    </w:p>
    <w:p>
      <w:pPr>
        <w:pStyle w:val="Heading1"/>
        <w:keepNext/>
        <w:spacing w:before="280" w:after="120"/>
      </w:pPr>
      <w:r>
        <w:rPr>
          <w:rFonts w:ascii="Calibri Light" w:hAnsi="Calibri Light"/>
          <w:b/>
          <w:color w:val="2C3E50"/>
          <w:sz w:val="36"/>
        </w:rPr>
        <w:t>6. STATISTICAL RESULTS &amp; DISCUSSION</w:t>
      </w:r>
    </w:p>
    <w:tbl>
      <w:tblPr>
        <w:tblW w:type="auto" w:w="0"/>
        <w:jc w:val="center"/>
        <w:tblLook w:firstColumn="1" w:firstRow="1" w:lastColumn="0" w:lastRow="0" w:noHBand="0" w:noVBand="1" w:val="04A0"/>
      </w:tblPr>
      <w:tblGrid>
        <w:gridCol w:w="2340"/>
        <w:gridCol w:w="2340"/>
        <w:gridCol w:w="2340"/>
        <w:gridCol w:w="2340"/>
      </w:tblGrid>
      <w:tr>
        <w:tc>
          <w:tcPr>
            <w:tcW w:type="dxa" w:w="2340"/>
            <w:shd w:fill="2C3E50"/>
          </w:tcPr>
          <w:p>
            <w:pPr>
              <w:spacing w:before="80" w:after="80"/>
            </w:pPr>
            <w:r>
              <w:rPr>
                <w:b/>
                <w:color w:val="FFFFFF"/>
              </w:rPr>
              <w:t>Metric</w:t>
            </w:r>
          </w:p>
        </w:tc>
        <w:tc>
          <w:tcPr>
            <w:tcW w:type="dxa" w:w="2340"/>
            <w:shd w:fill="2C3E50"/>
          </w:tcPr>
          <w:p>
            <w:pPr>
              <w:spacing w:before="80" w:after="80"/>
            </w:pPr>
            <w:r>
              <w:rPr>
                <w:b/>
                <w:color w:val="FFFFFF"/>
              </w:rPr>
              <w:t>Control Group (n=20)</w:t>
            </w:r>
          </w:p>
        </w:tc>
        <w:tc>
          <w:tcPr>
            <w:tcW w:type="dxa" w:w="2340"/>
            <w:shd w:fill="2C3E50"/>
          </w:tcPr>
          <w:p>
            <w:pPr>
              <w:spacing w:before="80" w:after="80"/>
            </w:pPr>
            <w:r>
              <w:rPr>
                <w:b/>
                <w:color w:val="FFFFFF"/>
              </w:rPr>
              <w:t>Experimental Group (n=20)</w:t>
            </w:r>
          </w:p>
        </w:tc>
        <w:tc>
          <w:tcPr>
            <w:tcW w:type="dxa" w:w="2340"/>
            <w:shd w:fill="2C3E50"/>
          </w:tcPr>
          <w:p>
            <w:pPr>
              <w:spacing w:before="80" w:after="80"/>
            </w:pPr>
            <w:r>
              <w:rPr>
                <w:b/>
                <w:color w:val="FFFFFF"/>
              </w:rPr>
              <w:t>Significance</w:t>
            </w:r>
          </w:p>
        </w:tc>
      </w:tr>
      <w:tr>
        <w:tc>
          <w:tcPr>
            <w:tcW w:type="dxa" w:w="2340"/>
          </w:tcPr>
          <w:p>
            <w:pPr>
              <w:spacing w:before="80" w:after="80"/>
            </w:pPr>
            <w:r>
              <w:t>Pre-Test Mean (SD)</w:t>
            </w:r>
          </w:p>
        </w:tc>
        <w:tc>
          <w:tcPr>
            <w:tcW w:type="dxa" w:w="2340"/>
          </w:tcPr>
          <w:p>
            <w:pPr>
              <w:spacing w:before="80" w:after="80"/>
            </w:pPr>
            <w:r>
              <w:t>55.10 (± 8.2)</w:t>
            </w:r>
          </w:p>
        </w:tc>
        <w:tc>
          <w:tcPr>
            <w:tcW w:type="dxa" w:w="2340"/>
          </w:tcPr>
          <w:p>
            <w:pPr>
              <w:spacing w:before="80" w:after="80"/>
            </w:pPr>
            <w:r>
              <w:t>54.20 (± 7.9)</w:t>
            </w:r>
          </w:p>
        </w:tc>
        <w:tc>
          <w:tcPr>
            <w:tcW w:type="dxa" w:w="2340"/>
          </w:tcPr>
          <w:p>
            <w:pPr>
              <w:spacing w:before="80" w:after="80"/>
            </w:pPr>
            <w:r>
              <w:t>p = 0.724 (No initial bias)</w:t>
            </w:r>
          </w:p>
        </w:tc>
      </w:tr>
      <w:tr>
        <w:tc>
          <w:tcPr>
            <w:tcW w:type="dxa" w:w="2340"/>
            <w:shd w:fill="F8F9FA"/>
          </w:tcPr>
          <w:p>
            <w:pPr>
              <w:spacing w:before="80" w:after="80"/>
            </w:pPr>
            <w:r>
              <w:t>Post-Test Mean (SD)</w:t>
            </w:r>
          </w:p>
        </w:tc>
        <w:tc>
          <w:tcPr>
            <w:tcW w:type="dxa" w:w="2340"/>
            <w:shd w:fill="F8F9FA"/>
          </w:tcPr>
          <w:p>
            <w:pPr>
              <w:spacing w:before="80" w:after="80"/>
            </w:pPr>
            <w:r>
              <w:t>63.40 (± 8.8)</w:t>
            </w:r>
          </w:p>
        </w:tc>
        <w:tc>
          <w:tcPr>
            <w:tcW w:type="dxa" w:w="2340"/>
            <w:shd w:fill="F8F9FA"/>
          </w:tcPr>
          <w:p>
            <w:pPr>
              <w:spacing w:before="80" w:after="80"/>
            </w:pPr>
            <w:r>
              <w:t>83.10 (± 6.8)</w:t>
            </w:r>
          </w:p>
        </w:tc>
        <w:tc>
          <w:tcPr>
            <w:tcW w:type="dxa" w:w="2340"/>
            <w:shd w:fill="F8F9FA"/>
          </w:tcPr>
          <w:p>
            <w:pPr>
              <w:spacing w:before="80" w:after="80"/>
            </w:pPr>
            <w:r>
              <w:t>p &lt; 0.0001</w:t>
            </w:r>
          </w:p>
        </w:tc>
      </w:tr>
      <w:tr>
        <w:tc>
          <w:tcPr>
            <w:tcW w:type="dxa" w:w="2340"/>
          </w:tcPr>
          <w:p>
            <w:pPr>
              <w:spacing w:before="80" w:after="80"/>
            </w:pPr>
            <w:r>
              <w:t>Absolute Gain</w:t>
            </w:r>
          </w:p>
        </w:tc>
        <w:tc>
          <w:tcPr>
            <w:tcW w:type="dxa" w:w="2340"/>
          </w:tcPr>
          <w:p>
            <w:pPr>
              <w:spacing w:before="80" w:after="80"/>
            </w:pPr>
            <w:r>
              <w:t>+8.30 points</w:t>
            </w:r>
          </w:p>
        </w:tc>
        <w:tc>
          <w:tcPr>
            <w:tcW w:type="dxa" w:w="2340"/>
          </w:tcPr>
          <w:p>
            <w:pPr>
              <w:spacing w:before="80" w:after="80"/>
            </w:pPr>
            <w:r>
              <w:t>+28.90 points</w:t>
            </w:r>
          </w:p>
        </w:tc>
        <w:tc>
          <w:tcPr>
            <w:tcW w:type="dxa" w:w="2340"/>
          </w:tcPr>
          <w:p>
            <w:pPr>
              <w:spacing w:before="80" w:after="80"/>
            </w:pPr>
            <w:r>
              <w:t>Statistically Significant</w:t>
            </w:r>
          </w:p>
        </w:tc>
      </w:tr>
    </w:tbl>
    <w:p>
      <w:pPr>
        <w:pStyle w:val="Heading1"/>
        <w:keepNext/>
        <w:spacing w:before="280" w:after="120"/>
      </w:pPr>
      <w:r>
        <w:rPr>
          <w:rFonts w:ascii="Calibri Light" w:hAnsi="Calibri Light"/>
          <w:b/>
          <w:color w:val="2C3E50"/>
          <w:sz w:val="36"/>
        </w:rPr>
        <w:t>7. CONCLUSION</w:t>
      </w:r>
    </w:p>
    <w:p>
      <w:r>
        <w:t>This research successfully designed, implemented, and empirically validated an open-source C++ backend platform for DSA visualization and evaluation. The statistical findings confirm that trace-driven visualization substantially improves student learning outcomes while maintaining excellent system usability.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