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i/>
          <w:iCs/>
          <w:color w:val="6B7280"/>
          <w:sz w:val="22"/>
          <w:szCs w:val="22"/>
        </w:rPr>
        <w:t xml:space="preserve">[ Insérer le logo Secritou ]</w:t>
      </w:r>
    </w:p>
    <w:p>
      <w:pPr>
        <w:spacing w:after="260"/>
      </w:pPr>
      <w:r>
        <w:t xml:space="preserve"/>
      </w:r>
    </w:p>
    <w:p>
      <w:pPr>
        <w:spacing w:after="60"/>
        <w:jc w:val="center"/>
      </w:pPr>
      <w:r>
        <w:rPr>
          <w:b/>
          <w:bCs/>
          <w:color w:val="0E7C86"/>
          <w:sz w:val="72"/>
          <w:szCs w:val="72"/>
        </w:rPr>
        <w:t xml:space="preserve">SECRITOU</w:t>
      </w:r>
    </w:p>
    <w:p>
      <w:pPr>
        <w:pBdr>
          <w:bottom w:val="single" w:color="0E7C86" w:sz="14" w:space="4"/>
        </w:pBdr>
        <w:spacing w:after="40"/>
        <w:jc w:val="center"/>
      </w:pPr>
      <w:r>
        <w:rPr>
          <w:i/>
          <w:iCs/>
          <w:color w:val="0A4750"/>
          <w:sz w:val="26"/>
          <w:szCs w:val="26"/>
        </w:rPr>
        <w:t xml:space="preserve">Le secret de la réussite de chaque partenaire</w:t>
      </w:r>
    </w:p>
    <w:p>
      <w:pPr>
        <w:spacing w:after="240"/>
      </w:pPr>
      <w:r>
        <w:t xml:space="preserve"/>
      </w:r>
    </w:p>
    <w:p>
      <w:pPr>
        <w:spacing w:after="20"/>
        <w:jc w:val="center"/>
      </w:pPr>
      <w:r>
        <w:rPr>
          <w:b/>
          <w:bCs/>
          <w:sz w:val="34"/>
          <w:szCs w:val="34"/>
        </w:rPr>
        <w:t xml:space="preserve">Cahier des charges &amp; document de cadrage</w:t>
      </w:r>
    </w:p>
    <w:p>
      <w:pPr>
        <w:spacing w:after="0"/>
        <w:jc w:val="center"/>
      </w:pPr>
      <w:r>
        <w:rPr>
          <w:color w:val="6B7280"/>
          <w:sz w:val="24"/>
          <w:szCs w:val="24"/>
        </w:rPr>
        <w:t xml:space="preserve">Agence digitale B2B — Tunisie</w:t>
      </w:r>
    </w:p>
    <w:p>
      <w:pPr>
        <w:spacing w:after="900"/>
      </w:pPr>
      <w:r>
        <w:t xml:space="preserve"/>
      </w:r>
    </w:p>
    <w:p>
      <w:pPr>
        <w:spacing w:after="40"/>
        <w:jc w:val="center"/>
      </w:pPr>
      <w:r>
        <w:rPr>
          <w:color w:val="6B7280"/>
          <w:sz w:val="22"/>
          <w:szCs w:val="22"/>
        </w:rPr>
        <w:t xml:space="preserve">Version 1.0</w:t>
      </w:r>
    </w:p>
    <w:p>
      <w:pPr>
        <w:spacing w:after="40"/>
        <w:jc w:val="center"/>
      </w:pPr>
      <w:r>
        <w:rPr>
          <w:color w:val="6B7280"/>
          <w:sz w:val="22"/>
          <w:szCs w:val="22"/>
        </w:rPr>
        <w:t xml:space="preserve">Préparé par : [Ton nom], CEO</w:t>
      </w:r>
    </w:p>
    <w:p>
      <w:pPr>
        <w:spacing w:after="40"/>
        <w:jc w:val="center"/>
      </w:pPr>
      <w:r>
        <w:rPr>
          <w:color w:val="6B7280"/>
          <w:sz w:val="22"/>
          <w:szCs w:val="22"/>
        </w:rPr>
        <w:t xml:space="preserve">Date : [JJ/MM/AAAA]</w:t>
      </w:r>
    </w:p>
    <w:p>
      <w:pPr>
        <w:spacing w:after="0"/>
        <w:jc w:val="center"/>
      </w:pPr>
      <w:r>
        <w:rPr>
          <w:i/>
          <w:iCs/>
          <w:color w:val="6B7280"/>
          <w:sz w:val="20"/>
          <w:szCs w:val="20"/>
        </w:rPr>
        <w:t xml:space="preserve">Document confidentiel — usage interne</w:t>
      </w:r>
    </w:p>
    <w:p>
      <w:r>
        <w:br w:type="page"/>
      </w:r>
    </w:p>
    <w:p>
      <w:pPr>
        <w:spacing w:after="160"/>
      </w:pPr>
      <w:r>
        <w:rPr>
          <w:b/>
          <w:bCs/>
          <w:color w:val="0A4750"/>
          <w:sz w:val="32"/>
          <w:szCs w:val="32"/>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Comment utiliser ce document</w:t>
      </w:r>
    </w:p>
    <w:p>
      <w:pPr>
        <w:spacing w:after="120" w:line="280"/>
        <w:jc w:val="both"/>
      </w:pPr>
      <w:r>
        <w:t xml:space="preserve">Ce document est la « bible » de Secritou : il rassemble tout ce qui définit l’agence — sa raison d’être, son offre, sa méthode, son modèle économique et son organisation. Il sert de référence commune aux associés, de support de présentation, et de base pour le site web et les supports commerciaux.</w:t>
      </w:r>
    </w:p>
    <w:p>
      <w:pPr>
        <w:spacing w:after="120" w:line="280"/>
        <w:jc w:val="both"/>
      </w:pPr>
      <w:r>
        <w:t xml:space="preserve">Les zones surlignées « À COMPLÉTER » indiquent les décisions qui te restent à prendre ou les informations à ajouter. Tu peux écraser le contenu existant : rien n’est figé, tout est conçu pour être amendé.</w:t>
      </w:r>
    </w:p>
    <w:p>
      <w:pPr>
        <w:spacing w:after="120" w:line="280"/>
        <w:jc w:val="both"/>
      </w:pPr>
      <w:r>
        <w:t xml:space="preserve">Le document est rédigé en français (langue principale) ; une version anglaise pourra en être dérivée pour les clients internationaux.</w:t>
      </w:r>
    </w:p>
    <w:p>
      <w:pPr>
        <w:pStyle w:val="Heading1"/>
      </w:pPr>
      <w:r>
        <w:t xml:space="preserve">1. Présentation &amp; raison d’être</w:t>
      </w:r>
    </w:p>
    <w:p>
      <w:pPr>
        <w:pStyle w:val="Heading2"/>
      </w:pPr>
      <w:r>
        <w:t xml:space="preserve">1.1 Le projet</w:t>
      </w:r>
    </w:p>
    <w:p>
      <w:pPr>
        <w:spacing w:after="120" w:line="280"/>
        <w:jc w:val="both"/>
      </w:pPr>
      <w:r>
        <w:t xml:space="preserve">Secritou est une agence digitale B2B tunisienne en cours de lancement. Sa mission : aider les PME, les entrepreneurs, les startups et les créateurs à s’organiser, se digitaliser et croître. L’agence intervient dès aujourd’hui, en tant que partenaire d’exécution — et non comme un produit logiciel à venir.</w:t>
      </w:r>
    </w:p>
    <w:p>
      <w:pPr>
        <w:spacing w:after="120" w:line="280"/>
        <w:jc w:val="both"/>
      </w:pPr>
      <w:r>
        <w:t xml:space="preserve">Le marché prioritaire est la Tunisie, avec une ouverture à l’international (notamment la clientèle à l’étranger). La devise de référence est le dinar tunisien (TND / DT).</w:t>
      </w:r>
    </w:p>
    <w:p>
      <w:pPr>
        <w:pStyle w:val="Heading2"/>
      </w:pPr>
      <w:r>
        <w:t xml:space="preserve">1.2 Origine du nom</w:t>
      </w:r>
    </w:p>
    <w:p>
      <w:pPr>
        <w:spacing w:after="120" w:line="280"/>
        <w:jc w:val="both"/>
      </w:pPr>
      <w:r>
        <w:t xml:space="default"/>
      </w:r>
    </w:p>
    <w:p>
      <w:pPr>
        <w:pStyle w:val="Heading2"/>
      </w:pPr>
      <w:r>
        <w:t xml:space="preserve">1.3 Vision</w:t>
      </w:r>
    </w:p>
    <w:p>
      <w:pPr>
        <w:spacing w:after="120" w:line="280"/>
        <w:jc w:val="both"/>
      </w:pPr>
      <w:r>
        <w:t xml:space="preserve">Faire de Secritou une agence reconnue et développée, portée par plusieurs partenaires de qualité, jouissant d’une bonne réputation et d’un solide portefeuille de clients — une référence vers laquelle on se tourne pour se digitaliser et piloter sa performance.</w:t>
      </w:r>
    </w:p>
    <w:p>
      <w:pPr>
        <w:pStyle w:val="Heading2"/>
      </w:pPr>
      <w:r>
        <w:t xml:space="preserve">1.4 Mission</w:t>
      </w:r>
    </w:p>
    <w:p>
      <w:pPr>
        <w:spacing w:after="120" w:line="280"/>
        <w:jc w:val="both"/>
      </w:pPr>
      <w:r>
        <w:t xml:space="preserve">Accompagner chaque client à digitaliser son activité et à gérer ses véritables capacités et ressources : clarifier où il en est, identifier les bons leviers, mettre en place les outils, puis mesurer les résultats.</w:t>
      </w:r>
    </w:p>
    <w:p>
      <w:pPr>
        <w:pStyle w:val="Heading2"/>
      </w:pPr>
      <w:r>
        <w:t xml:space="preserve">1.5 Positionnement</w:t>
      </w:r>
    </w:p>
    <w:p>
      <w:pPr>
        <w:pStyle w:val="ListParagraph"/>
        <w:numPr>
          <w:ilvl w:val="0"/>
          <w:numId w:val="2"/>
        </w:numPr>
        <w:spacing w:after="80" w:line="276"/>
      </w:pPr>
      <w:r>
        <w:rPr>
          <w:b/>
          <w:bCs/>
        </w:rPr>
        <w:t xml:space="preserve">Une agence qui aide maintenant</w:t>
      </w:r>
      <w:r>
        <w:t xml:space="preserve"> : exécution et accompagnement réels, pas une promesse de produit futur.</w:t>
      </w:r>
    </w:p>
    <w:p>
      <w:pPr>
        <w:pStyle w:val="ListParagraph"/>
        <w:numPr>
          <w:ilvl w:val="0"/>
          <w:numId w:val="2"/>
        </w:numPr>
        <w:spacing w:after="80" w:line="276"/>
      </w:pPr>
      <w:r>
        <w:rPr>
          <w:b/>
          <w:bCs/>
        </w:rPr>
        <w:t xml:space="preserve">Partenaire de bout en bout</w:t>
      </w:r>
      <w:r>
        <w:t xml:space="preserve"> : du diagnostic à l’outil, jusqu’à la mesure des résultats.</w:t>
      </w:r>
    </w:p>
    <w:p>
      <w:pPr>
        <w:pStyle w:val="ListParagraph"/>
        <w:numPr>
          <w:ilvl w:val="0"/>
          <w:numId w:val="2"/>
        </w:numPr>
        <w:spacing w:after="80" w:line="276"/>
      </w:pPr>
      <w:r>
        <w:rPr>
          <w:b/>
          <w:bCs/>
        </w:rPr>
        <w:t xml:space="preserve">Accessible et flexible</w:t>
      </w:r>
      <w:r>
        <w:t xml:space="preserve"> : des formules adaptées aux budgets, y compris les budgets serrés.</w:t>
      </w:r>
    </w:p>
    <w:p>
      <w:pPr>
        <w:pStyle w:val="Heading2"/>
      </w:pPr>
      <w:r>
        <w:t xml:space="preserve">1.6 Élément différenciant : le pilotage par la donnée</w:t>
      </w:r>
    </w:p>
    <w:p>
      <w:pPr>
        <w:spacing w:after="120" w:line="280"/>
        <w:jc w:val="both"/>
      </w:pPr>
      <w:r>
        <w:t xml:space="preserve">Le cœur de la différence Secritou est le pilotage de la performance par la donnée. Chaque mission suit le même fil rouge :</w:t>
      </w:r>
    </w:p>
    <w:p>
      <w:pPr>
        <w:pStyle w:val="ListParagraph"/>
        <w:numPr>
          <w:ilvl w:val="0"/>
          <w:numId w:val="2"/>
        </w:numPr>
        <w:spacing w:after="80" w:line="276"/>
      </w:pPr>
      <w:r>
        <w:rPr>
          <w:b/>
          <w:bCs/>
        </w:rPr>
        <w:t xml:space="preserve">Diagnostic </w:t>
      </w:r>
      <w:r>
        <w:t xml:space="preserve">— comprendre la situation réelle (chiffres, ressources, capacités).</w:t>
      </w:r>
    </w:p>
    <w:p>
      <w:pPr>
        <w:pStyle w:val="ListParagraph"/>
        <w:numPr>
          <w:ilvl w:val="0"/>
          <w:numId w:val="2"/>
        </w:numPr>
        <w:spacing w:after="80" w:line="276"/>
      </w:pPr>
      <w:r>
        <w:rPr>
          <w:b/>
          <w:bCs/>
        </w:rPr>
        <w:t xml:space="preserve">KPI / objectifs </w:t>
      </w:r>
      <w:r>
        <w:t xml:space="preserve">— définir ce qu’on cherche à améliorer et comment on le mesure.</w:t>
      </w:r>
    </w:p>
    <w:p>
      <w:pPr>
        <w:pStyle w:val="ListParagraph"/>
        <w:numPr>
          <w:ilvl w:val="0"/>
          <w:numId w:val="2"/>
        </w:numPr>
        <w:spacing w:after="80" w:line="276"/>
      </w:pPr>
      <w:r>
        <w:rPr>
          <w:b/>
          <w:bCs/>
        </w:rPr>
        <w:t xml:space="preserve">Outil / exécution </w:t>
      </w:r>
      <w:r>
        <w:t xml:space="preserve">— mettre en place la solution (site, campagne, automatisation, tableau de bord…).</w:t>
      </w:r>
    </w:p>
    <w:p>
      <w:pPr>
        <w:pStyle w:val="ListParagraph"/>
        <w:numPr>
          <w:ilvl w:val="0"/>
          <w:numId w:val="2"/>
        </w:numPr>
        <w:spacing w:after="80" w:line="276"/>
      </w:pPr>
      <w:r>
        <w:rPr>
          <w:b/>
          <w:bCs/>
        </w:rPr>
        <w:t xml:space="preserve">Mesure </w:t>
      </w:r>
      <w:r>
        <w:t xml:space="preserve">— suivre les résultats et ajuster (rapport mensuel + dashboard en direct).</w:t>
      </w:r>
    </w:p>
    <w:p>
      <w:pPr>
        <w:pStyle w:val="Heading1"/>
      </w:pPr>
      <w:r>
        <w:t xml:space="preserve">2. Objectifs</w:t>
      </w:r>
    </w:p>
    <w:p>
      <w:pPr>
        <w:pStyle w:val="Heading2"/>
      </w:pPr>
      <w:r>
        <w:t xml:space="preserve">2.1 Objectifs chiffrés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9D6D8" w:sz="1"/>
              <w:left w:val="single" w:color="C9D6D8" w:sz="1"/>
              <w:bottom w:val="single" w:color="C9D6D8" w:sz="1"/>
              <w:right w:val="single" w:color="C9D6D8" w:sz="1"/>
            </w:tcBorders>
            <w:shd w:fill="0E7C86" w:val="clear"/>
            <w:tcMar>
              <w:top w:type="dxa" w:w="70"/>
              <w:left w:type="dxa" w:w="120"/>
              <w:bottom w:type="dxa" w:w="70"/>
              <w:right w:type="dxa" w:w="120"/>
            </w:tcMar>
            <w:vAlign w:val="center"/>
          </w:tcPr>
          <w:p>
            <w:pPr>
              <w:spacing w:after="0" w:line="264"/>
              <w:jc w:val="left"/>
            </w:pPr>
            <w:r>
              <w:rPr>
                <w:b/>
                <w:bCs/>
                <w:color w:val="FFFFFF"/>
              </w:rPr>
              <w:t xml:space="preserve">Horizon</w:t>
            </w:r>
          </w:p>
        </w:tc>
        <w:tc>
          <w:tcPr>
            <w:tcW w:type="dxa" w:w="3120"/>
            <w:tcBorders>
              <w:top w:val="single" w:color="C9D6D8" w:sz="1"/>
              <w:left w:val="single" w:color="C9D6D8" w:sz="1"/>
              <w:bottom w:val="single" w:color="C9D6D8" w:sz="1"/>
              <w:right w:val="single" w:color="C9D6D8" w:sz="1"/>
            </w:tcBorders>
            <w:shd w:fill="0E7C86" w:val="clear"/>
            <w:tcMar>
              <w:top w:type="dxa" w:w="70"/>
              <w:left w:type="dxa" w:w="120"/>
              <w:bottom w:type="dxa" w:w="70"/>
              <w:right w:type="dxa" w:w="120"/>
            </w:tcMar>
            <w:vAlign w:val="center"/>
          </w:tcPr>
          <w:p>
            <w:pPr>
              <w:spacing w:after="0" w:line="264"/>
              <w:jc w:val="left"/>
            </w:pPr>
            <w:r>
              <w:rPr>
                <w:b/>
                <w:bCs/>
                <w:color w:val="FFFFFF"/>
              </w:rPr>
              <w:t xml:space="preserve">Objectif clients</w:t>
            </w:r>
          </w:p>
        </w:tc>
        <w:tc>
          <w:tcPr>
            <w:tcW w:type="dxa" w:w="3120"/>
            <w:tcBorders>
              <w:top w:val="single" w:color="C9D6D8" w:sz="1"/>
              <w:left w:val="single" w:color="C9D6D8" w:sz="1"/>
              <w:bottom w:val="single" w:color="C9D6D8" w:sz="1"/>
              <w:right w:val="single" w:color="C9D6D8" w:sz="1"/>
            </w:tcBorders>
            <w:shd w:fill="0E7C86" w:val="clear"/>
            <w:tcMar>
              <w:top w:type="dxa" w:w="70"/>
              <w:left w:type="dxa" w:w="120"/>
              <w:bottom w:type="dxa" w:w="70"/>
              <w:right w:type="dxa" w:w="120"/>
            </w:tcMar>
            <w:vAlign w:val="center"/>
          </w:tcPr>
          <w:p>
            <w:pPr>
              <w:spacing w:after="0" w:line="264"/>
              <w:jc w:val="left"/>
            </w:pPr>
            <w:r>
              <w:rPr>
                <w:b/>
                <w:bCs/>
                <w:color w:val="FFFFFF"/>
              </w:rPr>
              <w:t xml:space="preserve">Repère</w:t>
            </w:r>
          </w:p>
        </w:tc>
      </w:tr>
      <w:tr>
        <w:tc>
          <w:tcPr>
            <w:tcW w:type="dxa" w:w="3120"/>
            <w:tcBorders>
              <w:top w:val="single" w:color="C9D6D8" w:sz="1"/>
              <w:left w:val="single" w:color="C9D6D8" w:sz="1"/>
              <w:bottom w:val="single" w:color="C9D6D8" w:sz="1"/>
              <w:right w:val="single" w:color="C9D6D8" w:sz="1"/>
            </w:tcBorders>
            <w:shd w:fill="F1F8F9" w:val="clear"/>
            <w:tcMar>
              <w:top w:type="dxa" w:w="70"/>
              <w:left w:type="dxa" w:w="120"/>
              <w:bottom w:type="dxa" w:w="70"/>
              <w:right w:type="dxa" w:w="120"/>
            </w:tcMar>
            <w:vAlign w:val="center"/>
          </w:tcPr>
          <w:p>
            <w:pPr>
              <w:spacing w:after="0" w:line="264"/>
              <w:jc w:val="left"/>
            </w:pPr>
            <w:r>
              <w:rPr>
                <w:b w:val="false"/>
                <w:bCs w:val="false"/>
              </w:rPr>
              <w:t xml:space="preserve">2 mois</w:t>
            </w:r>
          </w:p>
        </w:tc>
        <w:tc>
          <w:tcPr>
            <w:tcW w:type="dxa" w:w="3120"/>
            <w:tcBorders>
              <w:top w:val="single" w:color="C9D6D8" w:sz="1"/>
              <w:left w:val="single" w:color="C9D6D8" w:sz="1"/>
              <w:bottom w:val="single" w:color="C9D6D8" w:sz="1"/>
              <w:right w:val="single" w:color="C9D6D8" w:sz="1"/>
            </w:tcBorders>
            <w:shd w:fill="FFFFFF" w:val="clear"/>
            <w:tcMar>
              <w:top w:type="dxa" w:w="70"/>
              <w:left w:type="dxa" w:w="120"/>
              <w:bottom w:type="dxa" w:w="70"/>
              <w:right w:type="dxa" w:w="120"/>
            </w:tcMar>
            <w:vAlign w:val="center"/>
          </w:tcPr>
          <w:p>
            <w:pPr>
              <w:spacing w:after="0" w:line="264"/>
              <w:jc w:val="left"/>
            </w:pPr>
            <w:r>
              <w:rPr>
                <w:b w:val="false"/>
                <w:bCs w:val="false"/>
              </w:rPr>
              <w:t xml:space="preserve">3 premiers clients payants</w:t>
            </w:r>
          </w:p>
        </w:tc>
        <w:tc>
          <w:tcPr>
            <w:tcW w:type="dxa" w:w="3120"/>
            <w:tcBorders>
              <w:top w:val="single" w:color="C9D6D8" w:sz="1"/>
              <w:left w:val="single" w:color="C9D6D8" w:sz="1"/>
              <w:bottom w:val="single" w:color="C9D6D8" w:sz="1"/>
              <w:right w:val="single" w:color="C9D6D8" w:sz="1"/>
            </w:tcBorders>
            <w:shd w:fill="F1F8F9" w:val="clear"/>
            <w:tcMar>
              <w:top w:type="dxa" w:w="70"/>
              <w:left w:type="dxa" w:w="120"/>
              <w:bottom w:type="dxa" w:w="70"/>
              <w:right w:type="dxa" w:w="120"/>
            </w:tcMar>
            <w:vAlign w:val="center"/>
          </w:tcPr>
          <w:p>
            <w:pPr>
              <w:spacing w:after="0" w:line="264"/>
              <w:jc w:val="left"/>
            </w:pPr>
            <w:r>
              <w:rPr>
                <w:b w:val="false"/>
                <w:bCs w:val="false"/>
              </w:rPr>
              <w:t xml:space="preserve">Premier jalon de lancement</w:t>
            </w:r>
          </w:p>
        </w:tc>
      </w:tr>
      <w:tr>
        <w:tc>
          <w:tcPr>
            <w:tcW w:type="dxa" w:w="3120"/>
            <w:tcBorders>
              <w:top w:val="single" w:color="C9D6D8" w:sz="1"/>
              <w:left w:val="single" w:color="C9D6D8" w:sz="1"/>
              <w:bottom w:val="single" w:color="C9D6D8" w:sz="1"/>
              <w:right w:val="single" w:color="C9D6D8" w:sz="1"/>
            </w:tcBorders>
            <w:shd w:fill="FFFFFF" w:val="clear"/>
            <w:tcMar>
              <w:top w:type="dxa" w:w="70"/>
              <w:left w:type="dxa" w:w="120"/>
              <w:bottom w:type="dxa" w:w="70"/>
              <w:right w:type="dxa" w:w="120"/>
            </w:tcMar>
            <w:vAlign w:val="center"/>
          </w:tcPr>
          <w:p>
            <w:pPr>
              <w:spacing w:after="0" w:line="264"/>
              <w:jc w:val="left"/>
            </w:pPr>
            <w:r>
              <w:rPr>
                <w:b w:val="false"/>
                <w:bCs w:val="false"/>
              </w:rPr>
              <w:t xml:space="preserve">6 mois</w:t>
            </w:r>
          </w:p>
        </w:tc>
        <w:tc>
          <w:tcPr>
            <w:tcW w:type="dxa" w:w="3120"/>
            <w:tcBorders>
              <w:top w:val="single" w:color="C9D6D8" w:sz="1"/>
              <w:left w:val="single" w:color="C9D6D8" w:sz="1"/>
              <w:bottom w:val="single" w:color="C9D6D8" w:sz="1"/>
              <w:right w:val="single" w:color="C9D6D8" w:sz="1"/>
            </w:tcBorders>
            <w:shd w:fill="F1F8F9" w:val="clear"/>
            <w:tcMar>
              <w:top w:type="dxa" w:w="70"/>
              <w:left w:type="dxa" w:w="120"/>
              <w:bottom w:type="dxa" w:w="70"/>
              <w:right w:type="dxa" w:w="120"/>
            </w:tcMar>
            <w:vAlign w:val="center"/>
          </w:tcPr>
          <w:p>
            <w:pPr>
              <w:spacing w:after="0" w:line="264"/>
              <w:jc w:val="left"/>
            </w:pPr>
            <w:r>
              <w:rPr>
                <w:b w:val="false"/>
                <w:bCs w:val="false"/>
              </w:rPr>
              <w:t xml:space="preserve">4 à 5 clients</w:t>
            </w:r>
          </w:p>
        </w:tc>
        <w:tc>
          <w:tcPr>
            <w:tcW w:type="dxa" w:w="3120"/>
            <w:tcBorders>
              <w:top w:val="single" w:color="C9D6D8" w:sz="1"/>
              <w:left w:val="single" w:color="C9D6D8" w:sz="1"/>
              <w:bottom w:val="single" w:color="C9D6D8" w:sz="1"/>
              <w:right w:val="single" w:color="C9D6D8" w:sz="1"/>
            </w:tcBorders>
            <w:shd w:fill="FFFFFF" w:val="clear"/>
            <w:tcMar>
              <w:top w:type="dxa" w:w="70"/>
              <w:left w:type="dxa" w:w="120"/>
              <w:bottom w:type="dxa" w:w="70"/>
              <w:right w:type="dxa" w:w="120"/>
            </w:tcMar>
            <w:vAlign w:val="center"/>
          </w:tcPr>
          <w:p>
            <w:pPr>
              <w:spacing w:after="0" w:line="264"/>
              <w:jc w:val="left"/>
            </w:pPr>
            <w:r>
              <w:rPr>
                <w:b w:val="false"/>
                <w:bCs w:val="false"/>
              </w:rPr>
              <w:t xml:space="preserve">Validation de l’offre</w:t>
            </w:r>
          </w:p>
        </w:tc>
      </w:tr>
      <w:tr>
        <w:tc>
          <w:tcPr>
            <w:tcW w:type="dxa" w:w="3120"/>
            <w:tcBorders>
              <w:top w:val="single" w:color="C9D6D8" w:sz="1"/>
              <w:left w:val="single" w:color="C9D6D8" w:sz="1"/>
              <w:bottom w:val="single" w:color="C9D6D8" w:sz="1"/>
              <w:right w:val="single" w:color="C9D6D8" w:sz="1"/>
            </w:tcBorders>
            <w:shd w:fill="F1F8F9" w:val="clear"/>
            <w:tcMar>
              <w:top w:type="dxa" w:w="70"/>
              <w:left w:type="dxa" w:w="120"/>
              <w:bottom w:type="dxa" w:w="70"/>
              <w:right w:type="dxa" w:w="120"/>
            </w:tcMar>
            <w:vAlign w:val="center"/>
          </w:tcPr>
          <w:p>
            <w:pPr>
              <w:spacing w:after="0" w:line="264"/>
              <w:jc w:val="left"/>
            </w:pPr>
            <w:r>
              <w:rPr>
                <w:b w:val="false"/>
                <w:bCs w:val="false"/>
              </w:rPr>
              <w:t xml:space="preserve">12 mois</w:t>
            </w:r>
          </w:p>
        </w:tc>
        <w:tc>
          <w:tcPr>
            <w:tcW w:type="dxa" w:w="3120"/>
            <w:tcBorders>
              <w:top w:val="single" w:color="C9D6D8" w:sz="1"/>
              <w:left w:val="single" w:color="C9D6D8" w:sz="1"/>
              <w:bottom w:val="single" w:color="C9D6D8" w:sz="1"/>
              <w:right w:val="single" w:color="C9D6D8" w:sz="1"/>
            </w:tcBorders>
            <w:shd w:fill="FFFFFF" w:val="clear"/>
            <w:tcMar>
              <w:top w:type="dxa" w:w="70"/>
              <w:left w:type="dxa" w:w="120"/>
              <w:bottom w:type="dxa" w:w="70"/>
              <w:right w:type="dxa" w:w="120"/>
            </w:tcMar>
            <w:vAlign w:val="center"/>
          </w:tcPr>
          <w:p>
            <w:pPr>
              <w:spacing w:after="0" w:line="264"/>
              <w:jc w:val="left"/>
            </w:pPr>
            <w:r>
              <w:rPr>
                <w:b w:val="false"/>
                <w:bCs w:val="false"/>
              </w:rPr>
              <w:t xml:space="preserve">15 clients sur l’année</w:t>
            </w:r>
          </w:p>
        </w:tc>
        <w:tc>
          <w:tcPr>
            <w:tcW w:type="dxa" w:w="3120"/>
            <w:tcBorders>
              <w:top w:val="single" w:color="C9D6D8" w:sz="1"/>
              <w:left w:val="single" w:color="C9D6D8" w:sz="1"/>
              <w:bottom w:val="single" w:color="C9D6D8" w:sz="1"/>
              <w:right w:val="single" w:color="C9D6D8" w:sz="1"/>
            </w:tcBorders>
            <w:shd w:fill="F1F8F9" w:val="clear"/>
            <w:tcMar>
              <w:top w:type="dxa" w:w="70"/>
              <w:left w:type="dxa" w:w="120"/>
              <w:bottom w:type="dxa" w:w="70"/>
              <w:right w:type="dxa" w:w="120"/>
            </w:tcMar>
            <w:vAlign w:val="center"/>
          </w:tcPr>
          <w:p>
            <w:pPr>
              <w:spacing w:after="0" w:line="264"/>
              <w:jc w:val="left"/>
            </w:pPr>
            <w:r>
              <w:rPr>
                <w:b w:val="false"/>
                <w:bCs w:val="false"/>
              </w:rPr>
              <w:t xml:space="preserve">Régime de croisière</w:t>
            </w:r>
          </w:p>
        </w:tc>
      </w:tr>
    </w:tbl>
    <w:p>
      <w:pPr>
        <w:spacing w:after="120"/>
      </w:pPr>
      <w:r>
        <w:t xml:space="preserve"/>
      </w:r>
    </w:p>
    <w:p>
      <w:pPr>
        <w:pStyle w:val="Heading2"/>
      </w:pPr>
      <w:r>
        <w:t xml:space="preserve">2.2 Objectif qualitatif prioritaire</w:t>
      </w:r>
    </w:p>
    <w:p>
      <w:pPr>
        <w:spacing w:after="120" w:line="280"/>
        <w:jc w:val="both"/>
      </w:pPr>
      <w:r>
        <w:t xml:space="preserve">Devenir une référence du secteur, construire une bonne réputation et un portefeuille clients solide. Sur la première année, l’accent est mis sur la qualité des réalisations et les études de cas plutôt que sur le seul volume.</w:t>
      </w:r>
    </w:p>
    <w:p>
      <w:pPr>
        <w:pStyle w:val="Heading2"/>
      </w:pPr>
      <w:r>
        <w:t xml:space="preserve">2.3 Objectif de chiffre d’affaires</w:t>
      </w:r>
    </w:p>
    <w:p>
      <w:pPr>
        <w:pBdr>
          <w:left w:val="single" w:color="E8A13A" w:sz="18" w:space="8"/>
        </w:pBdr>
        <w:shd w:fill="FFF4E5" w:val="clear"/>
        <w:spacing w:after="100" w:line="276"/>
        <w:ind w:left="120"/>
      </w:pPr>
      <w:r>
        <w:rPr>
          <w:b/>
          <w:bCs/>
          <w:color w:val="B9740A"/>
        </w:rPr>
        <w:t xml:space="preserve">À COMPLÉTER — </w:t>
      </w:r>
      <w:r>
        <w:rPr>
          <w:color w:val="7A5410"/>
        </w:rPr>
        <w:t xml:space="preserve">Fixer un objectif de CA pour l’année 1 (en TND). Il dépendra du panier moyen par client une fois les devis arrêtés. Piste de calcul : 15 clients × panier moyen estimé = CA cible. À affiner après le benchmark des concurrents (voir §5).</w:t>
      </w:r>
    </w:p>
    <w:p>
      <w:pPr>
        <w:pStyle w:val="Heading1"/>
      </w:pPr>
      <w:r>
        <w:t xml:space="preserve">3. Cibles &amp; personas</w:t>
      </w:r>
    </w:p>
    <w:p>
      <w:pPr>
        <w:spacing w:after="120" w:line="280"/>
        <w:jc w:val="both"/>
      </w:pPr>
      <w:r>
        <w:t xml:space="preserve">Secritou s’adresse à deux grandes familles de clients, avec deux portes d’entrée différentes.</w:t>
      </w:r>
    </w:p>
    <w:p>
      <w:pPr>
        <w:pStyle w:val="Heading2"/>
      </w:pPr>
      <w:r>
        <w:t xml:space="preserve">3.1 Entreprise &amp; Startup (B2B — entrée par le Management)</w:t>
      </w:r>
    </w:p>
    <w:p>
      <w:pPr>
        <w:pStyle w:val="ListParagraph"/>
        <w:numPr>
          <w:ilvl w:val="0"/>
          <w:numId w:val="2"/>
        </w:numPr>
        <w:spacing w:after="80" w:line="276"/>
      </w:pPr>
      <w:r>
        <w:t xml:space="preserve">Profil : startups, PME et entreprises qui veulent structurer, mesurer et piloter leur activité.</w:t>
      </w:r>
    </w:p>
    <w:p>
      <w:pPr>
        <w:pStyle w:val="ListParagraph"/>
        <w:numPr>
          <w:ilvl w:val="0"/>
          <w:numId w:val="2"/>
        </w:numPr>
        <w:spacing w:after="80" w:line="276"/>
      </w:pPr>
      <w:r>
        <w:t xml:space="preserve">Porte d’entrée : le pôle Management &amp; Performance (audit, KPI, tableaux de bord).</w:t>
      </w:r>
    </w:p>
    <w:p>
      <w:pPr>
        <w:pStyle w:val="ListParagraph"/>
        <w:numPr>
          <w:ilvl w:val="0"/>
          <w:numId w:val="2"/>
        </w:numPr>
        <w:spacing w:after="80" w:line="276"/>
      </w:pPr>
      <w:r>
        <w:t xml:space="preserve">Besoin clé : y voir clair sur leurs chiffres, organiser leurs ressources, prendre des décisions fondées sur la donnée.</w:t>
      </w:r>
    </w:p>
    <w:p>
      <w:pPr>
        <w:pBdr>
          <w:left w:val="single" w:color="E8A13A" w:sz="18" w:space="8"/>
        </w:pBdr>
        <w:shd w:fill="FFF4E5" w:val="clear"/>
        <w:spacing w:after="100" w:line="276"/>
        <w:ind w:left="120"/>
      </w:pPr>
      <w:r>
        <w:rPr>
          <w:b/>
          <w:bCs/>
          <w:color w:val="B9740A"/>
        </w:rPr>
        <w:t xml:space="preserve">À COMPLÉTER — </w:t>
      </w:r>
      <w:r>
        <w:rPr>
          <w:color w:val="7A5410"/>
        </w:rPr>
        <w:t xml:space="preserve">Préciser les secteurs prioritaires (ex. tech, services, cabinets, industrie…) au fur et à mesure des premiers clients.</w:t>
      </w:r>
    </w:p>
    <w:p>
      <w:pPr>
        <w:pStyle w:val="Heading2"/>
      </w:pPr>
      <w:r>
        <w:t xml:space="preserve">3.2 Commerce &amp; Marque (B2C — entrée par le Marketing)</w:t>
      </w:r>
    </w:p>
    <w:p>
      <w:pPr>
        <w:pStyle w:val="ListParagraph"/>
        <w:numPr>
          <w:ilvl w:val="0"/>
          <w:numId w:val="2"/>
        </w:numPr>
        <w:spacing w:after="80" w:line="276"/>
      </w:pPr>
      <w:r>
        <w:t xml:space="preserve">Profil : commerces, boutiques, marques et créateurs qui veulent gagner en visibilité et en ventes.</w:t>
      </w:r>
    </w:p>
    <w:p>
      <w:pPr>
        <w:pStyle w:val="ListParagraph"/>
        <w:numPr>
          <w:ilvl w:val="0"/>
          <w:numId w:val="2"/>
        </w:numPr>
        <w:spacing w:after="80" w:line="276"/>
      </w:pPr>
      <w:r>
        <w:t xml:space="preserve">Porte d’entrée : le pôle Croissance digitale (réseaux sociaux, contenu, publicité, e-commerce).</w:t>
      </w:r>
    </w:p>
    <w:p>
      <w:pPr>
        <w:pStyle w:val="ListParagraph"/>
        <w:numPr>
          <w:ilvl w:val="0"/>
          <w:numId w:val="2"/>
        </w:numPr>
        <w:spacing w:after="80" w:line="276"/>
      </w:pPr>
      <w:r>
        <w:t xml:space="preserve">Besoin clé : être présent en ligne, attirer des clients et vendre.</w:t>
      </w:r>
    </w:p>
    <w:p>
      <w:pPr>
        <w:pStyle w:val="Heading2"/>
      </w:pPr>
      <w:r>
        <w:t xml:space="preserve">3.3 Approche budgets serrés</w:t>
      </w:r>
    </w:p>
    <w:p>
      <w:pPr>
        <w:spacing w:after="120" w:line="280"/>
        <w:jc w:val="both"/>
      </w:pPr>
      <w:r>
        <w:t xml:space="preserve">Beaucoup de cibles ont des contraintes financières. Pour gagner leur confiance, Secritou peut proposer, lorsque le budget est très serré, une formule au pourcentage sur le chiffre d’affaires généré plutôt qu’un prix fixe. Cela aligne les intérêts et abaisse la barrière à l’entrée.</w:t>
      </w:r>
    </w:p>
    <w:p>
      <w:pPr>
        <w:pBdr>
          <w:left w:val="single" w:color="E8A13A" w:sz="18" w:space="8"/>
        </w:pBdr>
        <w:shd w:fill="FFF4E5" w:val="clear"/>
        <w:spacing w:after="100" w:line="276"/>
        <w:ind w:left="120"/>
      </w:pPr>
      <w:r>
        <w:rPr>
          <w:b/>
          <w:bCs/>
          <w:color w:val="B9740A"/>
        </w:rPr>
        <w:t xml:space="preserve">À COMPLÉTER — </w:t>
      </w:r>
      <w:r>
        <w:rPr>
          <w:color w:val="7A5410"/>
        </w:rPr>
        <w:t xml:space="preserve">Définir le cadre de la formule « % sur CA » : pourcentage type, durée, plancher éventuel, conditions et type de missions éligibles.</w:t>
      </w:r>
    </w:p>
    <w:p>
      <w:pPr>
        <w:pStyle w:val="Heading2"/>
      </w:pPr>
      <w:r>
        <w:t xml:space="preserve">3.4 Où trouver ces clients</w:t>
      </w:r>
    </w:p>
    <w:p>
      <w:pPr>
        <w:spacing w:after="120" w:line="280"/>
        <w:jc w:val="both"/>
      </w:pPr>
      <w:r>
        <w:t xml:space="preserve">Au lancement, l’acquisition passe par les réseaux sociaux (création des comptes en cours) et la recommandation. Les deux canaux retenus en priorité sont LinkedIn (pour la cible Entreprise &amp; Startup) et Instagram (pour la cible Commerce &amp; Marque).</w:t>
      </w:r>
    </w:p>
    <w:p>
      <w:pPr>
        <w:pStyle w:val="Heading1"/>
      </w:pPr>
      <w:r>
        <w:t xml:space="preserve">4. L’offre de services</w:t>
      </w:r>
    </w:p>
    <w:p>
      <w:pPr>
        <w:spacing w:after="120" w:line="280"/>
        <w:jc w:val="both"/>
      </w:pPr>
      <w:r>
        <w:t xml:space="preserve">L’offre s’organise en quatre pôles, chacun piloté par un associé responsable. Tous les pôles partagent le même fil rouge : diagnostic → KPI → outil → mesure. Les prestations sont proposées de deux manières : en services à la carte et en packs (voir §5).</w:t>
      </w:r>
    </w:p>
    <w:p>
      <w:pPr>
        <w:pStyle w:val="Heading2"/>
      </w:pPr>
      <w:r>
        <w:t xml:space="preserve">4.1 Management &amp; Performance</w:t>
      </w:r>
    </w:p>
    <w:p>
      <w:pPr>
        <w:spacing w:after="120" w:line="280"/>
        <w:jc w:val="both"/>
      </w:pPr>
      <w:r>
        <w:t xml:space="preserve">Audit, KPI, OKR, tableaux de bord, reporting, analyse financière.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9D6D8" w:sz="1"/>
              <w:left w:val="single" w:color="C9D6D8" w:sz="1"/>
              <w:bottom w:val="single" w:color="C9D6D8" w:sz="1"/>
              <w:right w:val="single" w:color="C9D6D8" w:sz="1"/>
            </w:tcBorders>
            <w:shd w:fill="DCEEF0" w:val="clear"/>
            <w:tcMar>
              <w:top w:type="dxa" w:w="70"/>
              <w:left w:type="dxa" w:w="120"/>
              <w:bottom w:type="dxa" w:w="70"/>
              <w:right w:type="dxa" w:w="120"/>
            </w:tcMar>
            <w:vAlign w:val="center"/>
          </w:tcPr>
          <w:p>
            <w:pPr>
              <w:spacing w:after="0" w:line="264"/>
              <w:jc w:val="left"/>
            </w:pPr>
            <w:r>
              <w:rPr>
                <w:b/>
                <w:bCs/>
              </w:rPr>
              <w:t xml:space="preserve">Livrables signature</w:t>
            </w:r>
          </w:p>
        </w:tc>
        <w:tc>
          <w:tcPr>
            <w:tcW w:type="dxa" w:w="6760"/>
            <w:tcBorders>
              <w:top w:val="single" w:color="C9D6D8" w:sz="1"/>
              <w:left w:val="single" w:color="C9D6D8" w:sz="1"/>
              <w:bottom w:val="single" w:color="C9D6D8" w:sz="1"/>
              <w:right w:val="single" w:color="C9D6D8" w:sz="1"/>
            </w:tcBorders>
            <w:shd w:fill="FFFFFF" w:val="clear"/>
            <w:tcMar>
              <w:top w:type="dxa" w:w="70"/>
              <w:left w:type="dxa" w:w="120"/>
              <w:bottom w:type="dxa" w:w="70"/>
              <w:right w:type="dxa" w:w="120"/>
            </w:tcMar>
            <w:vAlign w:val="center"/>
          </w:tcPr>
          <w:p>
            <w:pPr>
              <w:spacing w:after="0" w:line="264"/>
              <w:jc w:val="left"/>
            </w:pPr>
            <w:r>
              <w:rPr>
                <w:b w:val="false"/>
                <w:bCs w:val="false"/>
              </w:rPr>
              <w:t xml:space="preserve">Audit 360 · Dashboard mensuel · Plan OKR</w:t>
            </w:r>
          </w:p>
        </w:tc>
      </w:tr>
      <w:tr>
        <w:tc>
          <w:tcPr>
            <w:tcW w:type="dxa" w:w="2600"/>
            <w:tcBorders>
              <w:top w:val="single" w:color="C9D6D8" w:sz="1"/>
              <w:left w:val="single" w:color="C9D6D8" w:sz="1"/>
              <w:bottom w:val="single" w:color="C9D6D8" w:sz="1"/>
              <w:right w:val="single" w:color="C9D6D8" w:sz="1"/>
            </w:tcBorders>
            <w:shd w:fill="DCEEF0" w:val="clear"/>
            <w:tcMar>
              <w:top w:type="dxa" w:w="70"/>
              <w:left w:type="dxa" w:w="120"/>
              <w:bottom w:type="dxa" w:w="70"/>
              <w:right w:type="dxa" w:w="120"/>
            </w:tcMar>
            <w:vAlign w:val="center"/>
          </w:tcPr>
          <w:p>
            <w:pPr>
              <w:spacing w:after="0" w:line="264"/>
              <w:jc w:val="left"/>
            </w:pPr>
            <w:r>
              <w:rPr>
                <w:b/>
                <w:bCs/>
              </w:rPr>
              <w:t xml:space="preserve">Pour qui</w:t>
            </w:r>
          </w:p>
        </w:tc>
        <w:tc>
          <w:tcPr>
            <w:tcW w:type="dxa" w:w="6760"/>
            <w:tcBorders>
              <w:top w:val="single" w:color="C9D6D8" w:sz="1"/>
              <w:left w:val="single" w:color="C9D6D8" w:sz="1"/>
              <w:bottom w:val="single" w:color="C9D6D8" w:sz="1"/>
              <w:right w:val="single" w:color="C9D6D8" w:sz="1"/>
            </w:tcBorders>
            <w:shd w:fill="FFFFFF" w:val="clear"/>
            <w:tcMar>
              <w:top w:type="dxa" w:w="70"/>
              <w:left w:type="dxa" w:w="120"/>
              <w:bottom w:type="dxa" w:w="70"/>
              <w:right w:type="dxa" w:w="120"/>
            </w:tcMar>
            <w:vAlign w:val="center"/>
          </w:tcPr>
          <w:p>
            <w:pPr>
              <w:spacing w:after="0" w:line="264"/>
              <w:jc w:val="left"/>
            </w:pPr>
            <w:r>
              <w:rPr>
                <w:b w:val="false"/>
                <w:bCs w:val="false"/>
              </w:rPr>
              <w:t xml:space="preserve">Entreprise &amp; Startup, PME</w:t>
            </w:r>
          </w:p>
        </w:tc>
      </w:tr>
      <w:tr>
        <w:tc>
          <w:tcPr>
            <w:tcW w:type="dxa" w:w="2600"/>
            <w:tcBorders>
              <w:top w:val="single" w:color="C9D6D8" w:sz="1"/>
              <w:left w:val="single" w:color="C9D6D8" w:sz="1"/>
              <w:bottom w:val="single" w:color="C9D6D8" w:sz="1"/>
              <w:right w:val="single" w:color="C9D6D8" w:sz="1"/>
            </w:tcBorders>
            <w:shd w:fill="DCEEF0" w:val="clear"/>
            <w:tcMar>
              <w:top w:type="dxa" w:w="70"/>
              <w:left w:type="dxa" w:w="120"/>
              <w:bottom w:type="dxa" w:w="70"/>
              <w:right w:type="dxa" w:w="120"/>
            </w:tcMar>
            <w:vAlign w:val="center"/>
          </w:tcPr>
          <w:p>
            <w:pPr>
              <w:spacing w:after="0" w:line="264"/>
              <w:jc w:val="left"/>
            </w:pPr>
            <w:r>
              <w:rPr>
                <w:b/>
                <w:bCs/>
              </w:rPr>
              <w:t xml:space="preserve">Comment c’est mesuré</w:t>
            </w:r>
          </w:p>
        </w:tc>
        <w:tc>
          <w:tcPr>
            <w:tcW w:type="dxa" w:w="6760"/>
            <w:tcBorders>
              <w:top w:val="single" w:color="C9D6D8" w:sz="1"/>
              <w:left w:val="single" w:color="C9D6D8" w:sz="1"/>
              <w:bottom w:val="single" w:color="C9D6D8" w:sz="1"/>
              <w:right w:val="single" w:color="C9D6D8" w:sz="1"/>
            </w:tcBorders>
            <w:shd w:fill="FFFFFF" w:val="clear"/>
            <w:tcMar>
              <w:top w:type="dxa" w:w="70"/>
              <w:left w:type="dxa" w:w="120"/>
              <w:bottom w:type="dxa" w:w="70"/>
              <w:right w:type="dxa" w:w="120"/>
            </w:tcMar>
            <w:vAlign w:val="center"/>
          </w:tcPr>
          <w:p>
            <w:pPr>
              <w:spacing w:after="0" w:line="264"/>
              <w:jc w:val="left"/>
            </w:pPr>
            <w:r>
              <w:rPr>
                <w:b w:val="false"/>
                <w:bCs w:val="false"/>
              </w:rPr>
              <w:t xml:space="preserve">Indicateurs définis à l’audit, suivis dans le tableau de bord mensuel</w:t>
            </w:r>
          </w:p>
        </w:tc>
      </w:tr>
      <w:tr>
        <w:tc>
          <w:tcPr>
            <w:tcW w:type="dxa" w:w="2600"/>
            <w:tcBorders>
              <w:top w:val="single" w:color="C9D6D8" w:sz="1"/>
              <w:left w:val="single" w:color="C9D6D8" w:sz="1"/>
              <w:bottom w:val="single" w:color="C9D6D8" w:sz="1"/>
              <w:right w:val="single" w:color="C9D6D8" w:sz="1"/>
            </w:tcBorders>
            <w:shd w:fill="DCEEF0" w:val="clear"/>
            <w:tcMar>
              <w:top w:type="dxa" w:w="70"/>
              <w:left w:type="dxa" w:w="120"/>
              <w:bottom w:type="dxa" w:w="70"/>
              <w:right w:type="dxa" w:w="120"/>
            </w:tcMar>
            <w:vAlign w:val="center"/>
          </w:tcPr>
          <w:p>
            <w:pPr>
              <w:spacing w:after="0" w:line="264"/>
              <w:jc w:val="left"/>
            </w:pPr>
            <w:r>
              <w:rPr>
                <w:b/>
                <w:bCs/>
              </w:rPr>
              <w:t xml:space="preserve">Responsable</w:t>
            </w:r>
          </w:p>
        </w:tc>
        <w:tc>
          <w:tcPr>
            <w:tcW w:type="dxa" w:w="6760"/>
            <w:tcBorders>
              <w:top w:val="single" w:color="C9D6D8" w:sz="1"/>
              <w:left w:val="single" w:color="C9D6D8" w:sz="1"/>
              <w:bottom w:val="single" w:color="C9D6D8" w:sz="1"/>
              <w:right w:val="single" w:color="C9D6D8" w:sz="1"/>
            </w:tcBorders>
            <w:shd w:fill="FFFFFF" w:val="clear"/>
            <w:tcMar>
              <w:top w:type="dxa" w:w="70"/>
              <w:left w:type="dxa" w:w="120"/>
              <w:bottom w:type="dxa" w:w="70"/>
              <w:right w:type="dxa" w:w="120"/>
            </w:tcMar>
            <w:vAlign w:val="center"/>
          </w:tcPr>
          <w:p>
            <w:pPr>
              <w:spacing w:after="0" w:line="264"/>
              <w:jc w:val="left"/>
            </w:pPr>
            <w:r>
              <w:rPr>
                <w:b w:val="false"/>
                <w:bCs w:val="false"/>
              </w:rPr>
              <w:t xml:space="preserve">Responsable Management &amp; Chiffres</w:t>
            </w:r>
          </w:p>
        </w:tc>
      </w:tr>
    </w:tbl>
    <w:p>
      <w:pPr>
        <w:spacing w:after="120"/>
      </w:pPr>
      <w:r>
        <w:t xml:space="preserve"/>
      </w:r>
    </w:p>
    <w:p>
      <w:pPr>
        <w:pStyle w:val="Heading2"/>
      </w:pPr>
      <w:r>
        <w:t xml:space="preserve">4.2 Croissance digitale</w:t>
      </w:r>
    </w:p>
    <w:p>
      <w:pPr>
        <w:spacing w:after="120" w:line="280"/>
        <w:jc w:val="both"/>
      </w:pPr>
      <w:r>
        <w:t xml:space="preserve">Community management, contenu, SEO, publicité Meta/Google,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9D6D8" w:sz="1"/>
              <w:left w:val="single" w:color="C9D6D8" w:sz="1"/>
              <w:bottom w:val="single" w:color="C9D6D8" w:sz="1"/>
              <w:right w:val="single" w:color="C9D6D8" w:sz="1"/>
            </w:tcBorders>
            <w:shd w:fill="DCEEF0" w:val="clear"/>
            <w:tcMar>
              <w:top w:type="dxa" w:w="70"/>
              <w:left w:type="dxa" w:w="120"/>
              <w:bottom w:type="dxa" w:w="70"/>
              <w:right w:type="dxa" w:w="120"/>
            </w:tcMar>
            <w:vAlign w:val="center"/>
          </w:tcPr>
          <w:p>
            <w:pPr>
              <w:spacing w:after="0" w:line="264"/>
              <w:jc w:val="left"/>
            </w:pPr>
            <w:r>
              <w:rPr>
                <w:b/>
                <w:bCs/>
              </w:rPr>
              <w:t xml:space="preserve">Livrables signature</w:t>
            </w:r>
          </w:p>
        </w:tc>
        <w:tc>
          <w:tcPr>
            <w:tcW w:type="dxa" w:w="6760"/>
            <w:tcBorders>
              <w:top w:val="single" w:color="C9D6D8" w:sz="1"/>
              <w:left w:val="single" w:color="C9D6D8" w:sz="1"/>
              <w:bottom w:val="single" w:color="C9D6D8" w:sz="1"/>
              <w:right w:val="single" w:color="C9D6D8" w:sz="1"/>
            </w:tcBorders>
            <w:shd w:fill="FFFFFF" w:val="clear"/>
            <w:tcMar>
              <w:top w:type="dxa" w:w="70"/>
              <w:left w:type="dxa" w:w="120"/>
              <w:bottom w:type="dxa" w:w="70"/>
              <w:right w:type="dxa" w:w="120"/>
            </w:tcMar>
            <w:vAlign w:val="center"/>
          </w:tcPr>
          <w:p>
            <w:pPr>
              <w:spacing w:after="0" w:line="264"/>
              <w:jc w:val="left"/>
            </w:pPr>
            <w:r>
              <w:rPr>
                <w:b w:val="false"/>
                <w:bCs w:val="false"/>
              </w:rPr>
              <w:t xml:space="preserve">Création &amp; animation des réseaux sociaux · Contenu (dont vidéo) · SEO local · Campagnes Meta/Google Ads · Email</w:t>
            </w:r>
          </w:p>
        </w:tc>
      </w:tr>
      <w:tr>
        <w:tc>
          <w:tcPr>
            <w:tcW w:type="dxa" w:w="2600"/>
            <w:tcBorders>
              <w:top w:val="single" w:color="C9D6D8" w:sz="1"/>
              <w:left w:val="single" w:color="C9D6D8" w:sz="1"/>
              <w:bottom w:val="single" w:color="C9D6D8" w:sz="1"/>
              <w:right w:val="single" w:color="C9D6D8" w:sz="1"/>
            </w:tcBorders>
            <w:shd w:fill="DCEEF0" w:val="clear"/>
            <w:tcMar>
              <w:top w:type="dxa" w:w="70"/>
              <w:left w:type="dxa" w:w="120"/>
              <w:bottom w:type="dxa" w:w="70"/>
              <w:right w:type="dxa" w:w="120"/>
            </w:tcMar>
            <w:vAlign w:val="center"/>
          </w:tcPr>
          <w:p>
            <w:pPr>
              <w:spacing w:after="0" w:line="264"/>
              <w:jc w:val="left"/>
            </w:pPr>
            <w:r>
              <w:rPr>
                <w:b/>
                <w:bCs/>
              </w:rPr>
              <w:t xml:space="preserve">Pour qui</w:t>
            </w:r>
          </w:p>
        </w:tc>
        <w:tc>
          <w:tcPr>
            <w:tcW w:type="dxa" w:w="6760"/>
            <w:tcBorders>
              <w:top w:val="single" w:color="C9D6D8" w:sz="1"/>
              <w:left w:val="single" w:color="C9D6D8" w:sz="1"/>
              <w:bottom w:val="single" w:color="C9D6D8" w:sz="1"/>
              <w:right w:val="single" w:color="C9D6D8" w:sz="1"/>
            </w:tcBorders>
            <w:shd w:fill="FFFFFF" w:val="clear"/>
            <w:tcMar>
              <w:top w:type="dxa" w:w="70"/>
              <w:left w:type="dxa" w:w="120"/>
              <w:bottom w:type="dxa" w:w="70"/>
              <w:right w:type="dxa" w:w="120"/>
            </w:tcMar>
            <w:vAlign w:val="center"/>
          </w:tcPr>
          <w:p>
            <w:pPr>
              <w:spacing w:after="0" w:line="264"/>
              <w:jc w:val="left"/>
            </w:pPr>
            <w:r>
              <w:rPr>
                <w:b w:val="false"/>
                <w:bCs w:val="false"/>
              </w:rPr>
              <w:t xml:space="preserve">Commerce &amp; Marque, et toute cible voulant gagner en visibilité</w:t>
            </w:r>
          </w:p>
        </w:tc>
      </w:tr>
      <w:tr>
        <w:tc>
          <w:tcPr>
            <w:tcW w:type="dxa" w:w="2600"/>
            <w:tcBorders>
              <w:top w:val="single" w:color="C9D6D8" w:sz="1"/>
              <w:left w:val="single" w:color="C9D6D8" w:sz="1"/>
              <w:bottom w:val="single" w:color="C9D6D8" w:sz="1"/>
              <w:right w:val="single" w:color="C9D6D8" w:sz="1"/>
            </w:tcBorders>
            <w:shd w:fill="DCEEF0" w:val="clear"/>
            <w:tcMar>
              <w:top w:type="dxa" w:w="70"/>
              <w:left w:type="dxa" w:w="120"/>
              <w:bottom w:type="dxa" w:w="70"/>
              <w:right w:type="dxa" w:w="120"/>
            </w:tcMar>
            <w:vAlign w:val="center"/>
          </w:tcPr>
          <w:p>
            <w:pPr>
              <w:spacing w:after="0" w:line="264"/>
              <w:jc w:val="left"/>
            </w:pPr>
            <w:r>
              <w:rPr>
                <w:b/>
                <w:bCs/>
              </w:rPr>
              <w:t xml:space="preserve">Comment c’est mesuré</w:t>
            </w:r>
          </w:p>
        </w:tc>
        <w:tc>
          <w:tcPr>
            <w:tcW w:type="dxa" w:w="6760"/>
            <w:tcBorders>
              <w:top w:val="single" w:color="C9D6D8" w:sz="1"/>
              <w:left w:val="single" w:color="C9D6D8" w:sz="1"/>
              <w:bottom w:val="single" w:color="C9D6D8" w:sz="1"/>
              <w:right w:val="single" w:color="C9D6D8" w:sz="1"/>
            </w:tcBorders>
            <w:shd w:fill="FFFFFF" w:val="clear"/>
            <w:tcMar>
              <w:top w:type="dxa" w:w="70"/>
              <w:left w:type="dxa" w:w="120"/>
              <w:bottom w:type="dxa" w:w="70"/>
              <w:right w:type="dxa" w:w="120"/>
            </w:tcMar>
            <w:vAlign w:val="center"/>
          </w:tcPr>
          <w:p>
            <w:pPr>
              <w:spacing w:after="0" w:line="264"/>
              <w:jc w:val="left"/>
            </w:pPr>
            <w:r>
              <w:rPr>
                <w:b w:val="false"/>
                <w:bCs w:val="false"/>
              </w:rPr>
              <w:t xml:space="preserve">Portée, engagement, leads, coût par lead, conversions</w:t>
            </w:r>
          </w:p>
        </w:tc>
      </w:tr>
      <w:tr>
        <w:tc>
          <w:tcPr>
            <w:tcW w:type="dxa" w:w="2600"/>
            <w:tcBorders>
              <w:top w:val="single" w:color="C9D6D8" w:sz="1"/>
              <w:left w:val="single" w:color="C9D6D8" w:sz="1"/>
              <w:bottom w:val="single" w:color="C9D6D8" w:sz="1"/>
              <w:right w:val="single" w:color="C9D6D8" w:sz="1"/>
            </w:tcBorders>
            <w:shd w:fill="DCEEF0" w:val="clear"/>
            <w:tcMar>
              <w:top w:type="dxa" w:w="70"/>
              <w:left w:type="dxa" w:w="120"/>
              <w:bottom w:type="dxa" w:w="70"/>
              <w:right w:type="dxa" w:w="120"/>
            </w:tcMar>
            <w:vAlign w:val="center"/>
          </w:tcPr>
          <w:p>
            <w:pPr>
              <w:spacing w:after="0" w:line="264"/>
              <w:jc w:val="left"/>
            </w:pPr>
            <w:r>
              <w:rPr>
                <w:b/>
                <w:bCs/>
              </w:rPr>
              <w:t xml:space="preserve">Responsable</w:t>
            </w:r>
          </w:p>
        </w:tc>
        <w:tc>
          <w:tcPr>
            <w:tcW w:type="dxa" w:w="6760"/>
            <w:tcBorders>
              <w:top w:val="single" w:color="C9D6D8" w:sz="1"/>
              <w:left w:val="single" w:color="C9D6D8" w:sz="1"/>
              <w:bottom w:val="single" w:color="C9D6D8" w:sz="1"/>
              <w:right w:val="single" w:color="C9D6D8" w:sz="1"/>
            </w:tcBorders>
            <w:shd w:fill="FFFFFF" w:val="clear"/>
            <w:tcMar>
              <w:top w:type="dxa" w:w="70"/>
              <w:left w:type="dxa" w:w="120"/>
              <w:bottom w:type="dxa" w:w="70"/>
              <w:right w:type="dxa" w:w="120"/>
            </w:tcMar>
            <w:vAlign w:val="center"/>
          </w:tcPr>
          <w:p>
            <w:pPr>
              <w:spacing w:after="0" w:line="264"/>
              <w:jc w:val="left"/>
            </w:pPr>
            <w:r>
              <w:rPr>
                <w:b w:val="false"/>
                <w:bCs w:val="false"/>
              </w:rPr>
              <w:t xml:space="preserve">Responsable Marketing</w:t>
            </w:r>
          </w:p>
        </w:tc>
      </w:tr>
    </w:tbl>
    <w:p>
      <w:pPr>
        <w:spacing w:after="120"/>
      </w:pPr>
      <w:r>
        <w:t xml:space="preserve"/>
      </w:r>
    </w:p>
    <w:p>
      <w:pPr>
        <w:pStyle w:val="Heading2"/>
      </w:pPr>
      <w:r>
        <w:t xml:space="preserve">4.3 Technologie</w:t>
      </w:r>
    </w:p>
    <w:p>
      <w:pPr>
        <w:spacing w:after="120" w:line="280"/>
        <w:jc w:val="both"/>
      </w:pPr>
      <w:r>
        <w:t xml:space="preserve">Sites, e-commerce, applications, CRM, gestion de stock, solutions métiers sur mesure.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9D6D8" w:sz="1"/>
              <w:left w:val="single" w:color="C9D6D8" w:sz="1"/>
              <w:bottom w:val="single" w:color="C9D6D8" w:sz="1"/>
              <w:right w:val="single" w:color="C9D6D8" w:sz="1"/>
            </w:tcBorders>
            <w:shd w:fill="DCEEF0" w:val="clear"/>
            <w:tcMar>
              <w:top w:type="dxa" w:w="70"/>
              <w:left w:type="dxa" w:w="120"/>
              <w:bottom w:type="dxa" w:w="70"/>
              <w:right w:type="dxa" w:w="120"/>
            </w:tcMar>
            <w:vAlign w:val="center"/>
          </w:tcPr>
          <w:p>
            <w:pPr>
              <w:spacing w:after="0" w:line="264"/>
              <w:jc w:val="left"/>
            </w:pPr>
            <w:r>
              <w:rPr>
                <w:b/>
                <w:bCs/>
              </w:rPr>
              <w:t xml:space="preserve">Livrables signature</w:t>
            </w:r>
          </w:p>
        </w:tc>
        <w:tc>
          <w:tcPr>
            <w:tcW w:type="dxa" w:w="6760"/>
            <w:tcBorders>
              <w:top w:val="single" w:color="C9D6D8" w:sz="1"/>
              <w:left w:val="single" w:color="C9D6D8" w:sz="1"/>
              <w:bottom w:val="single" w:color="C9D6D8" w:sz="1"/>
              <w:right w:val="single" w:color="C9D6D8" w:sz="1"/>
            </w:tcBorders>
            <w:shd w:fill="FFFFFF" w:val="clear"/>
            <w:tcMar>
              <w:top w:type="dxa" w:w="70"/>
              <w:left w:type="dxa" w:w="120"/>
              <w:bottom w:type="dxa" w:w="70"/>
              <w:right w:type="dxa" w:w="120"/>
            </w:tcMar>
            <w:vAlign w:val="center"/>
          </w:tcPr>
          <w:p>
            <w:pPr>
              <w:spacing w:after="0" w:line="264"/>
              <w:jc w:val="left"/>
            </w:pPr>
            <w:r>
              <w:rPr>
                <w:b w:val="false"/>
                <w:bCs w:val="false"/>
              </w:rPr>
              <w:t xml:space="preserve">Sites WordPress · Boutiques Shopify · Sites &amp; applications sur mesure · Intégration des moyens de paiement · Tableaux de bord RH / commercial · Gestion de stock · Bureau d’ordre — le tout personnalisé selon la demande</w:t>
            </w:r>
          </w:p>
        </w:tc>
      </w:tr>
      <w:tr>
        <w:tc>
          <w:tcPr>
            <w:tcW w:type="dxa" w:w="2600"/>
            <w:tcBorders>
              <w:top w:val="single" w:color="C9D6D8" w:sz="1"/>
              <w:left w:val="single" w:color="C9D6D8" w:sz="1"/>
              <w:bottom w:val="single" w:color="C9D6D8" w:sz="1"/>
              <w:right w:val="single" w:color="C9D6D8" w:sz="1"/>
            </w:tcBorders>
            <w:shd w:fill="DCEEF0" w:val="clear"/>
            <w:tcMar>
              <w:top w:type="dxa" w:w="70"/>
              <w:left w:type="dxa" w:w="120"/>
              <w:bottom w:type="dxa" w:w="70"/>
              <w:right w:type="dxa" w:w="120"/>
            </w:tcMar>
            <w:vAlign w:val="center"/>
          </w:tcPr>
          <w:p>
            <w:pPr>
              <w:spacing w:after="0" w:line="264"/>
              <w:jc w:val="left"/>
            </w:pPr>
            <w:r>
              <w:rPr>
                <w:b/>
                <w:bCs/>
              </w:rPr>
              <w:t xml:space="preserve">Pour qui</w:t>
            </w:r>
          </w:p>
        </w:tc>
        <w:tc>
          <w:tcPr>
            <w:tcW w:type="dxa" w:w="6760"/>
            <w:tcBorders>
              <w:top w:val="single" w:color="C9D6D8" w:sz="1"/>
              <w:left w:val="single" w:color="C9D6D8" w:sz="1"/>
              <w:bottom w:val="single" w:color="C9D6D8" w:sz="1"/>
              <w:right w:val="single" w:color="C9D6D8" w:sz="1"/>
            </w:tcBorders>
            <w:shd w:fill="FFFFFF" w:val="clear"/>
            <w:tcMar>
              <w:top w:type="dxa" w:w="70"/>
              <w:left w:type="dxa" w:w="120"/>
              <w:bottom w:type="dxa" w:w="70"/>
              <w:right w:type="dxa" w:w="120"/>
            </w:tcMar>
            <w:vAlign w:val="center"/>
          </w:tcPr>
          <w:p>
            <w:pPr>
              <w:spacing w:after="0" w:line="264"/>
              <w:jc w:val="left"/>
            </w:pPr>
            <w:r>
              <w:rPr>
                <w:b w:val="false"/>
                <w:bCs w:val="false"/>
              </w:rPr>
              <w:t xml:space="preserve">Toutes les cibles selon le besoin</w:t>
            </w:r>
          </w:p>
        </w:tc>
      </w:tr>
      <w:tr>
        <w:tc>
          <w:tcPr>
            <w:tcW w:type="dxa" w:w="2600"/>
            <w:tcBorders>
              <w:top w:val="single" w:color="C9D6D8" w:sz="1"/>
              <w:left w:val="single" w:color="C9D6D8" w:sz="1"/>
              <w:bottom w:val="single" w:color="C9D6D8" w:sz="1"/>
              <w:right w:val="single" w:color="C9D6D8" w:sz="1"/>
            </w:tcBorders>
            <w:shd w:fill="DCEEF0" w:val="clear"/>
            <w:tcMar>
              <w:top w:type="dxa" w:w="70"/>
              <w:left w:type="dxa" w:w="120"/>
              <w:bottom w:type="dxa" w:w="70"/>
              <w:right w:type="dxa" w:w="120"/>
            </w:tcMar>
            <w:vAlign w:val="center"/>
          </w:tcPr>
          <w:p>
            <w:pPr>
              <w:spacing w:after="0" w:line="264"/>
              <w:jc w:val="left"/>
            </w:pPr>
            <w:r>
              <w:rPr>
                <w:b/>
                <w:bCs/>
              </w:rPr>
              <w:t xml:space="preserve">Comment c’est mesuré</w:t>
            </w:r>
          </w:p>
        </w:tc>
        <w:tc>
          <w:tcPr>
            <w:tcW w:type="dxa" w:w="6760"/>
            <w:tcBorders>
              <w:top w:val="single" w:color="C9D6D8" w:sz="1"/>
              <w:left w:val="single" w:color="C9D6D8" w:sz="1"/>
              <w:bottom w:val="single" w:color="C9D6D8" w:sz="1"/>
              <w:right w:val="single" w:color="C9D6D8" w:sz="1"/>
            </w:tcBorders>
            <w:shd w:fill="FFFFFF" w:val="clear"/>
            <w:tcMar>
              <w:top w:type="dxa" w:w="70"/>
              <w:left w:type="dxa" w:w="120"/>
              <w:bottom w:type="dxa" w:w="70"/>
              <w:right w:type="dxa" w:w="120"/>
            </w:tcMar>
            <w:vAlign w:val="center"/>
          </w:tcPr>
          <w:p>
            <w:pPr>
              <w:spacing w:after="0" w:line="264"/>
              <w:jc w:val="left"/>
            </w:pPr>
            <w:r>
              <w:rPr>
                <w:b w:val="false"/>
                <w:bCs w:val="false"/>
              </w:rPr>
              <w:t xml:space="preserve">Mise en ligne, performance/vitesse, adoption de l’outil, gain de temps</w:t>
            </w:r>
          </w:p>
        </w:tc>
      </w:tr>
      <w:tr>
        <w:tc>
          <w:tcPr>
            <w:tcW w:type="dxa" w:w="2600"/>
            <w:tcBorders>
              <w:top w:val="single" w:color="C9D6D8" w:sz="1"/>
              <w:left w:val="single" w:color="C9D6D8" w:sz="1"/>
              <w:bottom w:val="single" w:color="C9D6D8" w:sz="1"/>
              <w:right w:val="single" w:color="C9D6D8" w:sz="1"/>
            </w:tcBorders>
            <w:shd w:fill="DCEEF0" w:val="clear"/>
            <w:tcMar>
              <w:top w:type="dxa" w:w="70"/>
              <w:left w:type="dxa" w:w="120"/>
              <w:bottom w:type="dxa" w:w="70"/>
              <w:right w:type="dxa" w:w="120"/>
            </w:tcMar>
            <w:vAlign w:val="center"/>
          </w:tcPr>
          <w:p>
            <w:pPr>
              <w:spacing w:after="0" w:line="264"/>
              <w:jc w:val="left"/>
            </w:pPr>
            <w:r>
              <w:rPr>
                <w:b/>
                <w:bCs/>
              </w:rPr>
              <w:t xml:space="preserve">Responsable</w:t>
            </w:r>
          </w:p>
        </w:tc>
        <w:tc>
          <w:tcPr>
            <w:tcW w:type="dxa" w:w="6760"/>
            <w:tcBorders>
              <w:top w:val="single" w:color="C9D6D8" w:sz="1"/>
              <w:left w:val="single" w:color="C9D6D8" w:sz="1"/>
              <w:bottom w:val="single" w:color="C9D6D8" w:sz="1"/>
              <w:right w:val="single" w:color="C9D6D8" w:sz="1"/>
            </w:tcBorders>
            <w:shd w:fill="FFFFFF" w:val="clear"/>
            <w:tcMar>
              <w:top w:type="dxa" w:w="70"/>
              <w:left w:type="dxa" w:w="120"/>
              <w:bottom w:type="dxa" w:w="70"/>
              <w:right w:type="dxa" w:w="120"/>
            </w:tcMar>
            <w:vAlign w:val="center"/>
          </w:tcPr>
          <w:p>
            <w:pPr>
              <w:spacing w:after="0" w:line="264"/>
              <w:jc w:val="left"/>
            </w:pPr>
            <w:r>
              <w:rPr>
                <w:b w:val="false"/>
                <w:bCs w:val="false"/>
              </w:rPr>
              <w:t xml:space="preserve">Responsable Technologie</w:t>
            </w:r>
          </w:p>
        </w:tc>
      </w:tr>
    </w:tbl>
    <w:p>
      <w:pPr>
        <w:spacing w:after="120"/>
      </w:pPr>
      <w:r>
        <w:t xml:space="preserve"/>
      </w:r>
    </w:p>
    <w:p>
      <w:pPr>
        <w:pStyle w:val="Heading2"/>
      </w:pPr>
      <w:r>
        <w:t xml:space="preserve">4.4 IA &amp; Automatisation</w:t>
      </w:r>
    </w:p>
    <w:p>
      <w:pPr>
        <w:spacing w:after="120" w:line="280"/>
        <w:jc w:val="both"/>
      </w:pPr>
      <w:r>
        <w:t xml:space="preserve">Chatbots, automatisation des flux, intégrations.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9D6D8" w:sz="1"/>
              <w:left w:val="single" w:color="C9D6D8" w:sz="1"/>
              <w:bottom w:val="single" w:color="C9D6D8" w:sz="1"/>
              <w:right w:val="single" w:color="C9D6D8" w:sz="1"/>
            </w:tcBorders>
            <w:shd w:fill="DCEEF0" w:val="clear"/>
            <w:tcMar>
              <w:top w:type="dxa" w:w="70"/>
              <w:left w:type="dxa" w:w="120"/>
              <w:bottom w:type="dxa" w:w="70"/>
              <w:right w:type="dxa" w:w="120"/>
            </w:tcMar>
            <w:vAlign w:val="center"/>
          </w:tcPr>
          <w:p>
            <w:pPr>
              <w:spacing w:after="0" w:line="264"/>
              <w:jc w:val="left"/>
            </w:pPr>
            <w:r>
              <w:rPr>
                <w:b/>
                <w:bCs/>
              </w:rPr>
              <w:t xml:space="preserve">Livrables signature</w:t>
            </w:r>
          </w:p>
        </w:tc>
        <w:tc>
          <w:tcPr>
            <w:tcW w:type="dxa" w:w="6760"/>
            <w:tcBorders>
              <w:top w:val="single" w:color="C9D6D8" w:sz="1"/>
              <w:left w:val="single" w:color="C9D6D8" w:sz="1"/>
              <w:bottom w:val="single" w:color="C9D6D8" w:sz="1"/>
              <w:right w:val="single" w:color="C9D6D8" w:sz="1"/>
            </w:tcBorders>
            <w:shd w:fill="FFFFFF" w:val="clear"/>
            <w:tcMar>
              <w:top w:type="dxa" w:w="70"/>
              <w:left w:type="dxa" w:w="120"/>
              <w:bottom w:type="dxa" w:w="70"/>
              <w:right w:type="dxa" w:w="120"/>
            </w:tcMar>
            <w:vAlign w:val="center"/>
          </w:tcPr>
          <w:p>
            <w:pPr>
              <w:spacing w:after="0" w:line="264"/>
              <w:jc w:val="left"/>
            </w:pPr>
            <w:r>
              <w:rPr>
                <w:b w:val="false"/>
                <w:bCs w:val="false"/>
              </w:rPr>
              <w:t xml:space="preserve">Automatisation liée aux sites et aux réseaux sociaux · Chatbots · Intégrations entre outils</w:t>
            </w:r>
          </w:p>
        </w:tc>
      </w:tr>
      <w:tr>
        <w:tc>
          <w:tcPr>
            <w:tcW w:type="dxa" w:w="2600"/>
            <w:tcBorders>
              <w:top w:val="single" w:color="C9D6D8" w:sz="1"/>
              <w:left w:val="single" w:color="C9D6D8" w:sz="1"/>
              <w:bottom w:val="single" w:color="C9D6D8" w:sz="1"/>
              <w:right w:val="single" w:color="C9D6D8" w:sz="1"/>
            </w:tcBorders>
            <w:shd w:fill="DCEEF0" w:val="clear"/>
            <w:tcMar>
              <w:top w:type="dxa" w:w="70"/>
              <w:left w:type="dxa" w:w="120"/>
              <w:bottom w:type="dxa" w:w="70"/>
              <w:right w:type="dxa" w:w="120"/>
            </w:tcMar>
            <w:vAlign w:val="center"/>
          </w:tcPr>
          <w:p>
            <w:pPr>
              <w:spacing w:after="0" w:line="264"/>
              <w:jc w:val="left"/>
            </w:pPr>
            <w:r>
              <w:rPr>
                <w:b/>
                <w:bCs/>
              </w:rPr>
              <w:t xml:space="preserve">Pour qui</w:t>
            </w:r>
          </w:p>
        </w:tc>
        <w:tc>
          <w:tcPr>
            <w:tcW w:type="dxa" w:w="6760"/>
            <w:tcBorders>
              <w:top w:val="single" w:color="C9D6D8" w:sz="1"/>
              <w:left w:val="single" w:color="C9D6D8" w:sz="1"/>
              <w:bottom w:val="single" w:color="C9D6D8" w:sz="1"/>
              <w:right w:val="single" w:color="C9D6D8" w:sz="1"/>
            </w:tcBorders>
            <w:shd w:fill="FFFFFF" w:val="clear"/>
            <w:tcMar>
              <w:top w:type="dxa" w:w="70"/>
              <w:left w:type="dxa" w:w="120"/>
              <w:bottom w:type="dxa" w:w="70"/>
              <w:right w:type="dxa" w:w="120"/>
            </w:tcMar>
            <w:vAlign w:val="center"/>
          </w:tcPr>
          <w:p>
            <w:pPr>
              <w:spacing w:after="0" w:line="264"/>
              <w:jc w:val="left"/>
            </w:pPr>
            <w:r>
              <w:rPr>
                <w:b w:val="false"/>
                <w:bCs w:val="false"/>
              </w:rPr>
              <w:t xml:space="preserve">Clients voulant gagner du temps et fluidifier leurs opérations</w:t>
            </w:r>
          </w:p>
        </w:tc>
      </w:tr>
      <w:tr>
        <w:tc>
          <w:tcPr>
            <w:tcW w:type="dxa" w:w="2600"/>
            <w:tcBorders>
              <w:top w:val="single" w:color="C9D6D8" w:sz="1"/>
              <w:left w:val="single" w:color="C9D6D8" w:sz="1"/>
              <w:bottom w:val="single" w:color="C9D6D8" w:sz="1"/>
              <w:right w:val="single" w:color="C9D6D8" w:sz="1"/>
            </w:tcBorders>
            <w:shd w:fill="DCEEF0" w:val="clear"/>
            <w:tcMar>
              <w:top w:type="dxa" w:w="70"/>
              <w:left w:type="dxa" w:w="120"/>
              <w:bottom w:type="dxa" w:w="70"/>
              <w:right w:type="dxa" w:w="120"/>
            </w:tcMar>
            <w:vAlign w:val="center"/>
          </w:tcPr>
          <w:p>
            <w:pPr>
              <w:spacing w:after="0" w:line="264"/>
              <w:jc w:val="left"/>
            </w:pPr>
            <w:r>
              <w:rPr>
                <w:b/>
                <w:bCs/>
              </w:rPr>
              <w:t xml:space="preserve">Comment c’est mesuré</w:t>
            </w:r>
          </w:p>
        </w:tc>
        <w:tc>
          <w:tcPr>
            <w:tcW w:type="dxa" w:w="6760"/>
            <w:tcBorders>
              <w:top w:val="single" w:color="C9D6D8" w:sz="1"/>
              <w:left w:val="single" w:color="C9D6D8" w:sz="1"/>
              <w:bottom w:val="single" w:color="C9D6D8" w:sz="1"/>
              <w:right w:val="single" w:color="C9D6D8" w:sz="1"/>
            </w:tcBorders>
            <w:shd w:fill="FFFFFF" w:val="clear"/>
            <w:tcMar>
              <w:top w:type="dxa" w:w="70"/>
              <w:left w:type="dxa" w:w="120"/>
              <w:bottom w:type="dxa" w:w="70"/>
              <w:right w:type="dxa" w:w="120"/>
            </w:tcMar>
            <w:vAlign w:val="center"/>
          </w:tcPr>
          <w:p>
            <w:pPr>
              <w:spacing w:after="0" w:line="264"/>
              <w:jc w:val="left"/>
            </w:pPr>
            <w:r>
              <w:rPr>
                <w:b w:val="false"/>
                <w:bCs w:val="false"/>
              </w:rPr>
              <w:t xml:space="preserve">Temps gagné, tâches automatisées, taux de réponse</w:t>
            </w:r>
          </w:p>
        </w:tc>
      </w:tr>
      <w:tr>
        <w:tc>
          <w:tcPr>
            <w:tcW w:type="dxa" w:w="2600"/>
            <w:tcBorders>
              <w:top w:val="single" w:color="C9D6D8" w:sz="1"/>
              <w:left w:val="single" w:color="C9D6D8" w:sz="1"/>
              <w:bottom w:val="single" w:color="C9D6D8" w:sz="1"/>
              <w:right w:val="single" w:color="C9D6D8" w:sz="1"/>
            </w:tcBorders>
            <w:shd w:fill="DCEEF0" w:val="clear"/>
            <w:tcMar>
              <w:top w:type="dxa" w:w="70"/>
              <w:left w:type="dxa" w:w="120"/>
              <w:bottom w:type="dxa" w:w="70"/>
              <w:right w:type="dxa" w:w="120"/>
            </w:tcMar>
            <w:vAlign w:val="center"/>
          </w:tcPr>
          <w:p>
            <w:pPr>
              <w:spacing w:after="0" w:line="264"/>
              <w:jc w:val="left"/>
            </w:pPr>
            <w:r>
              <w:rPr>
                <w:b/>
                <w:bCs/>
              </w:rPr>
              <w:t xml:space="preserve">Responsable</w:t>
            </w:r>
          </w:p>
        </w:tc>
        <w:tc>
          <w:tcPr>
            <w:tcW w:type="dxa" w:w="6760"/>
            <w:tcBorders>
              <w:top w:val="single" w:color="C9D6D8" w:sz="1"/>
              <w:left w:val="single" w:color="C9D6D8" w:sz="1"/>
              <w:bottom w:val="single" w:color="C9D6D8" w:sz="1"/>
              <w:right w:val="single" w:color="C9D6D8" w:sz="1"/>
            </w:tcBorders>
            <w:shd w:fill="FFFFFF" w:val="clear"/>
            <w:tcMar>
              <w:top w:type="dxa" w:w="70"/>
              <w:left w:type="dxa" w:w="120"/>
              <w:bottom w:type="dxa" w:w="70"/>
              <w:right w:type="dxa" w:w="120"/>
            </w:tcMar>
            <w:vAlign w:val="center"/>
          </w:tcPr>
          <w:p>
            <w:pPr>
              <w:spacing w:after="0" w:line="264"/>
              <w:jc w:val="left"/>
            </w:pPr>
            <w:r>
              <w:rPr>
                <w:b w:val="false"/>
                <w:bCs w:val="false"/>
              </w:rPr>
              <w:t xml:space="preserve">Responsable Technologie (ou associé dédié)</w:t>
            </w:r>
          </w:p>
        </w:tc>
      </w:tr>
    </w:tbl>
    <w:p>
      <w:pPr>
        <w:spacing w:after="120"/>
      </w:pPr>
      <w:r>
        <w:t xml:space="preserve"/>
      </w:r>
    </w:p>
    <w:p>
      <w:pPr>
        <w:pStyle w:val="Heading2"/>
      </w:pPr>
      <w:r>
        <w:t xml:space="preserve">4.5 Le fil rouge « data » à travers les pôles</w:t>
      </w:r>
    </w:p>
    <w:p>
      <w:pPr>
        <w:spacing w:after="120" w:line="280"/>
        <w:jc w:val="both"/>
      </w:pPr>
      <w:r>
        <w:t xml:space="preserve">Quel que soit le pôle sollicité, la donnée relie les prestations entre elles : un commerce qui démarre par le marketing peut ensuite avoir besoin d’un tableau de bord (Management) ; une PME qui commence par l’audit peut enchaîner sur un site ou une automatisation. C’est cette continuité qui distingue Secritou d’un simple prestataire ponctuel.</w:t>
      </w:r>
    </w:p>
    <w:p>
      <w:pPr>
        <w:pStyle w:val="Heading1"/>
      </w:pPr>
      <w:r>
        <w:t xml:space="preserve">5. Packs, services à la carte &amp; tarification</w:t>
      </w:r>
    </w:p>
    <w:p>
      <w:pPr>
        <w:spacing w:after="120" w:line="280"/>
        <w:jc w:val="both"/>
      </w:pPr>
      <w:r>
        <w:t xml:space="preserve">Secritou propose à la fois des services à la carte et des packs prêts à vendre. Les packs facilitent la décision du client et donnent un point d’entrée clair ; le sur-mesure répond aux besoins spécifiques.</w:t>
      </w:r>
    </w:p>
    <w:p>
      <w:pPr>
        <w:pBdr>
          <w:left w:val="single" w:color="E8A13A" w:sz="18" w:space="8"/>
        </w:pBdr>
        <w:shd w:fill="FFF4E5" w:val="clear"/>
        <w:spacing w:after="120" w:before="120"/>
        <w:ind w:left="120"/>
      </w:pPr>
      <w:r>
        <w:rPr>
          <w:b/>
          <w:bCs/>
          <w:color w:val="B9740A"/>
        </w:rPr>
        <w:t xml:space="preserve">Avertissement prix : </w:t>
      </w:r>
      <w:r>
        <w:rPr>
          <w:color w:val="7A5410"/>
        </w:rPr>
        <w:t xml:space="preserve">tous les montants ci-dessous sont des exemples indicatifs destinés à illustrer la structure. Ils doivent être validés par un benchmark des concurrents tunisiens avant d’être publiés. Aucun de ces chiffres n’est une recommandation ferme.</w:t>
      </w:r>
    </w:p>
    <w:p>
      <w:pPr>
        <w:pStyle w:val="Heading2"/>
      </w:pPr>
      <w:r>
        <w:t xml:space="preserve">5.1 Exemples de packs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360"/>
        <w:gridCol w:w="2700"/>
      </w:tblGrid>
      <w:tr>
        <w:tc>
          <w:tcPr>
            <w:tcW w:type="dxa" w:w="2300"/>
            <w:tcBorders>
              <w:top w:val="single" w:color="C9D6D8" w:sz="1"/>
              <w:left w:val="single" w:color="C9D6D8" w:sz="1"/>
              <w:bottom w:val="single" w:color="C9D6D8" w:sz="1"/>
              <w:right w:val="single" w:color="C9D6D8" w:sz="1"/>
            </w:tcBorders>
            <w:shd w:fill="0E7C86" w:val="clear"/>
            <w:tcMar>
              <w:top w:type="dxa" w:w="70"/>
              <w:left w:type="dxa" w:w="120"/>
              <w:bottom w:type="dxa" w:w="70"/>
              <w:right w:type="dxa" w:w="120"/>
            </w:tcMar>
            <w:vAlign w:val="center"/>
          </w:tcPr>
          <w:p>
            <w:pPr>
              <w:spacing w:after="0" w:line="264"/>
              <w:jc w:val="left"/>
            </w:pPr>
            <w:r>
              <w:rPr>
                <w:b/>
                <w:bCs/>
                <w:color w:val="FFFFFF"/>
              </w:rPr>
              <w:t xml:space="preserve">Pack</w:t>
            </w:r>
          </w:p>
        </w:tc>
        <w:tc>
          <w:tcPr>
            <w:tcW w:type="dxa" w:w="4360"/>
            <w:tcBorders>
              <w:top w:val="single" w:color="C9D6D8" w:sz="1"/>
              <w:left w:val="single" w:color="C9D6D8" w:sz="1"/>
              <w:bottom w:val="single" w:color="C9D6D8" w:sz="1"/>
              <w:right w:val="single" w:color="C9D6D8" w:sz="1"/>
            </w:tcBorders>
            <w:shd w:fill="0E7C86" w:val="clear"/>
            <w:tcMar>
              <w:top w:type="dxa" w:w="70"/>
              <w:left w:type="dxa" w:w="120"/>
              <w:bottom w:type="dxa" w:w="70"/>
              <w:right w:type="dxa" w:w="120"/>
            </w:tcMar>
            <w:vAlign w:val="center"/>
          </w:tcPr>
          <w:p>
            <w:pPr>
              <w:spacing w:after="0" w:line="264"/>
              <w:jc w:val="left"/>
            </w:pPr>
            <w:r>
              <w:rPr>
                <w:b/>
                <w:bCs/>
                <w:color w:val="FFFFFF"/>
              </w:rPr>
              <w:t xml:space="preserve">Contenu</w:t>
            </w:r>
          </w:p>
        </w:tc>
        <w:tc>
          <w:tcPr>
            <w:tcW w:type="dxa" w:w="2700"/>
            <w:tcBorders>
              <w:top w:val="single" w:color="C9D6D8" w:sz="1"/>
              <w:left w:val="single" w:color="C9D6D8" w:sz="1"/>
              <w:bottom w:val="single" w:color="C9D6D8" w:sz="1"/>
              <w:right w:val="single" w:color="C9D6D8" w:sz="1"/>
            </w:tcBorders>
            <w:shd w:fill="0E7C86" w:val="clear"/>
            <w:tcMar>
              <w:top w:type="dxa" w:w="70"/>
              <w:left w:type="dxa" w:w="120"/>
              <w:bottom w:type="dxa" w:w="70"/>
              <w:right w:type="dxa" w:w="120"/>
            </w:tcMar>
            <w:vAlign w:val="center"/>
          </w:tcPr>
          <w:p>
            <w:pPr>
              <w:spacing w:after="0" w:line="264"/>
              <w:jc w:val="left"/>
            </w:pPr>
            <w:r>
              <w:rPr>
                <w:b/>
                <w:bCs/>
                <w:color w:val="FFFFFF"/>
              </w:rPr>
              <w:t xml:space="preserve">Exemple indicatif (TND)</w:t>
            </w:r>
          </w:p>
        </w:tc>
      </w:tr>
      <w:tr>
        <w:tc>
          <w:tcPr>
            <w:tcW w:type="dxa" w:w="2300"/>
            <w:tcBorders>
              <w:top w:val="single" w:color="C9D6D8" w:sz="1"/>
              <w:left w:val="single" w:color="C9D6D8" w:sz="1"/>
              <w:bottom w:val="single" w:color="C9D6D8" w:sz="1"/>
              <w:right w:val="single" w:color="C9D6D8" w:sz="1"/>
            </w:tcBorders>
            <w:shd w:fill="F1F8F9" w:val="clear"/>
            <w:tcMar>
              <w:top w:type="dxa" w:w="70"/>
              <w:left w:type="dxa" w:w="120"/>
              <w:bottom w:type="dxa" w:w="70"/>
              <w:right w:type="dxa" w:w="120"/>
            </w:tcMar>
            <w:vAlign w:val="center"/>
          </w:tcPr>
          <w:p>
            <w:pPr>
              <w:spacing w:after="0" w:line="264"/>
              <w:jc w:val="left"/>
            </w:pPr>
            <w:r>
              <w:rPr>
                <w:b/>
                <w:bCs/>
              </w:rPr>
              <w:t xml:space="preserve">Présence</w:t>
            </w:r>
          </w:p>
        </w:tc>
        <w:tc>
          <w:tcPr>
            <w:tcW w:type="dxa" w:w="4360"/>
            <w:tcBorders>
              <w:top w:val="single" w:color="C9D6D8" w:sz="1"/>
              <w:left w:val="single" w:color="C9D6D8" w:sz="1"/>
              <w:bottom w:val="single" w:color="C9D6D8" w:sz="1"/>
              <w:right w:val="single" w:color="C9D6D8" w:sz="1"/>
            </w:tcBorders>
            <w:shd w:fill="FFFFFF" w:val="clear"/>
            <w:tcMar>
              <w:top w:type="dxa" w:w="70"/>
              <w:left w:type="dxa" w:w="120"/>
              <w:bottom w:type="dxa" w:w="70"/>
              <w:right w:type="dxa" w:w="120"/>
            </w:tcMar>
            <w:vAlign w:val="center"/>
          </w:tcPr>
          <w:p>
            <w:pPr>
              <w:spacing w:after="0" w:line="264"/>
              <w:jc w:val="left"/>
            </w:pPr>
            <w:r>
              <w:rPr>
                <w:b w:val="false"/>
                <w:bCs w:val="false"/>
              </w:rPr>
              <w:t xml:space="preserve">Création des réseaux sociaux + site vitrine + 1 mois de contenu</w:t>
            </w:r>
          </w:p>
        </w:tc>
        <w:tc>
          <w:tcPr>
            <w:tcW w:type="dxa" w:w="2700"/>
            <w:tcBorders>
              <w:top w:val="single" w:color="C9D6D8" w:sz="1"/>
              <w:left w:val="single" w:color="C9D6D8" w:sz="1"/>
              <w:bottom w:val="single" w:color="C9D6D8" w:sz="1"/>
              <w:right w:val="single" w:color="C9D6D8" w:sz="1"/>
            </w:tcBorders>
            <w:shd w:fill="F1F8F9" w:val="clear"/>
            <w:tcMar>
              <w:top w:type="dxa" w:w="70"/>
              <w:left w:type="dxa" w:w="120"/>
              <w:bottom w:type="dxa" w:w="70"/>
              <w:right w:type="dxa" w:w="120"/>
            </w:tcMar>
            <w:vAlign w:val="center"/>
          </w:tcPr>
          <w:p>
            <w:pPr>
              <w:spacing w:after="0" w:line="264"/>
              <w:jc w:val="left"/>
            </w:pPr>
            <w:r>
              <w:rPr>
                <w:b w:val="false"/>
                <w:bCs w:val="false"/>
              </w:rPr>
              <w:t xml:space="preserve">2 000 – 4 000 *</w:t>
            </w:r>
          </w:p>
        </w:tc>
      </w:tr>
      <w:tr>
        <w:tc>
          <w:tcPr>
            <w:tcW w:type="dxa" w:w="2300"/>
            <w:tcBorders>
              <w:top w:val="single" w:color="C9D6D8" w:sz="1"/>
              <w:left w:val="single" w:color="C9D6D8" w:sz="1"/>
              <w:bottom w:val="single" w:color="C9D6D8" w:sz="1"/>
              <w:right w:val="single" w:color="C9D6D8" w:sz="1"/>
            </w:tcBorders>
            <w:shd w:fill="FFFFFF" w:val="clear"/>
            <w:tcMar>
              <w:top w:type="dxa" w:w="70"/>
              <w:left w:type="dxa" w:w="120"/>
              <w:bottom w:type="dxa" w:w="70"/>
              <w:right w:type="dxa" w:w="120"/>
            </w:tcMar>
            <w:vAlign w:val="center"/>
          </w:tcPr>
          <w:p>
            <w:pPr>
              <w:spacing w:after="0" w:line="264"/>
              <w:jc w:val="left"/>
            </w:pPr>
            <w:r>
              <w:rPr>
                <w:b/>
                <w:bCs/>
              </w:rPr>
              <w:t xml:space="preserve">Croissance</w:t>
            </w:r>
          </w:p>
        </w:tc>
        <w:tc>
          <w:tcPr>
            <w:tcW w:type="dxa" w:w="4360"/>
            <w:tcBorders>
              <w:top w:val="single" w:color="C9D6D8" w:sz="1"/>
              <w:left w:val="single" w:color="C9D6D8" w:sz="1"/>
              <w:bottom w:val="single" w:color="C9D6D8" w:sz="1"/>
              <w:right w:val="single" w:color="C9D6D8" w:sz="1"/>
            </w:tcBorders>
            <w:shd w:fill="FFFFFF" w:val="clear"/>
            <w:tcMar>
              <w:top w:type="dxa" w:w="70"/>
              <w:left w:type="dxa" w:w="120"/>
              <w:bottom w:type="dxa" w:w="70"/>
              <w:right w:type="dxa" w:w="120"/>
            </w:tcMar>
            <w:vAlign w:val="center"/>
          </w:tcPr>
          <w:p>
            <w:pPr>
              <w:spacing w:after="0" w:line="264"/>
              <w:jc w:val="left"/>
            </w:pPr>
            <w:r>
              <w:rPr>
                <w:b w:val="false"/>
                <w:bCs w:val="false"/>
              </w:rPr>
              <w:t xml:space="preserve">Community management + contenu + Ads + SEO local (accompagnement 3 mois)</w:t>
            </w:r>
          </w:p>
        </w:tc>
        <w:tc>
          <w:tcPr>
            <w:tcW w:type="dxa" w:w="2700"/>
            <w:tcBorders>
              <w:top w:val="single" w:color="C9D6D8" w:sz="1"/>
              <w:left w:val="single" w:color="C9D6D8" w:sz="1"/>
              <w:bottom w:val="single" w:color="C9D6D8" w:sz="1"/>
              <w:right w:val="single" w:color="C9D6D8" w:sz="1"/>
            </w:tcBorders>
            <w:shd w:fill="FFFFFF" w:val="clear"/>
            <w:tcMar>
              <w:top w:type="dxa" w:w="70"/>
              <w:left w:type="dxa" w:w="120"/>
              <w:bottom w:type="dxa" w:w="70"/>
              <w:right w:type="dxa" w:w="120"/>
            </w:tcMar>
            <w:vAlign w:val="center"/>
          </w:tcPr>
          <w:p>
            <w:pPr>
              <w:spacing w:after="0" w:line="264"/>
              <w:jc w:val="left"/>
            </w:pPr>
            <w:r>
              <w:rPr>
                <w:b w:val="false"/>
                <w:bCs w:val="false"/>
              </w:rPr>
              <w:t xml:space="preserve">1 500 – 3 000 / mois *</w:t>
            </w:r>
          </w:p>
        </w:tc>
      </w:tr>
      <w:tr>
        <w:tc>
          <w:tcPr>
            <w:tcW w:type="dxa" w:w="2300"/>
            <w:tcBorders>
              <w:top w:val="single" w:color="C9D6D8" w:sz="1"/>
              <w:left w:val="single" w:color="C9D6D8" w:sz="1"/>
              <w:bottom w:val="single" w:color="C9D6D8" w:sz="1"/>
              <w:right w:val="single" w:color="C9D6D8" w:sz="1"/>
            </w:tcBorders>
            <w:shd w:fill="F1F8F9" w:val="clear"/>
            <w:tcMar>
              <w:top w:type="dxa" w:w="70"/>
              <w:left w:type="dxa" w:w="120"/>
              <w:bottom w:type="dxa" w:w="70"/>
              <w:right w:type="dxa" w:w="120"/>
            </w:tcMar>
            <w:vAlign w:val="center"/>
          </w:tcPr>
          <w:p>
            <w:pPr>
              <w:spacing w:after="0" w:line="264"/>
              <w:jc w:val="left"/>
            </w:pPr>
            <w:r>
              <w:rPr>
                <w:b/>
                <w:bCs/>
              </w:rPr>
              <w:t xml:space="preserve">Performance</w:t>
            </w:r>
          </w:p>
        </w:tc>
        <w:tc>
          <w:tcPr>
            <w:tcW w:type="dxa" w:w="4360"/>
            <w:tcBorders>
              <w:top w:val="single" w:color="C9D6D8" w:sz="1"/>
              <w:left w:val="single" w:color="C9D6D8" w:sz="1"/>
              <w:bottom w:val="single" w:color="C9D6D8" w:sz="1"/>
              <w:right w:val="single" w:color="C9D6D8" w:sz="1"/>
            </w:tcBorders>
            <w:shd w:fill="FFFFFF" w:val="clear"/>
            <w:tcMar>
              <w:top w:type="dxa" w:w="70"/>
              <w:left w:type="dxa" w:w="120"/>
              <w:bottom w:type="dxa" w:w="70"/>
              <w:right w:type="dxa" w:w="120"/>
            </w:tcMar>
            <w:vAlign w:val="center"/>
          </w:tcPr>
          <w:p>
            <w:pPr>
              <w:spacing w:after="0" w:line="264"/>
              <w:jc w:val="left"/>
            </w:pPr>
            <w:r>
              <w:rPr>
                <w:b w:val="false"/>
                <w:bCs w:val="false"/>
              </w:rPr>
              <w:t xml:space="preserve">Audit 360 + dashboard mensuel + plan OKR + reporting</w:t>
            </w:r>
          </w:p>
        </w:tc>
        <w:tc>
          <w:tcPr>
            <w:tcW w:type="dxa" w:w="2700"/>
            <w:tcBorders>
              <w:top w:val="single" w:color="C9D6D8" w:sz="1"/>
              <w:left w:val="single" w:color="C9D6D8" w:sz="1"/>
              <w:bottom w:val="single" w:color="C9D6D8" w:sz="1"/>
              <w:right w:val="single" w:color="C9D6D8" w:sz="1"/>
            </w:tcBorders>
            <w:shd w:fill="F1F8F9" w:val="clear"/>
            <w:tcMar>
              <w:top w:type="dxa" w:w="70"/>
              <w:left w:type="dxa" w:w="120"/>
              <w:bottom w:type="dxa" w:w="70"/>
              <w:right w:type="dxa" w:w="120"/>
            </w:tcMar>
            <w:vAlign w:val="center"/>
          </w:tcPr>
          <w:p>
            <w:pPr>
              <w:spacing w:after="0" w:line="264"/>
              <w:jc w:val="left"/>
            </w:pPr>
            <w:r>
              <w:rPr>
                <w:b w:val="false"/>
                <w:bCs w:val="false"/>
              </w:rPr>
              <w:t xml:space="preserve">2 500 – 5 000 *</w:t>
            </w:r>
          </w:p>
        </w:tc>
      </w:tr>
      <w:tr>
        <w:tc>
          <w:tcPr>
            <w:tcW w:type="dxa" w:w="2300"/>
            <w:tcBorders>
              <w:top w:val="single" w:color="C9D6D8" w:sz="1"/>
              <w:left w:val="single" w:color="C9D6D8" w:sz="1"/>
              <w:bottom w:val="single" w:color="C9D6D8" w:sz="1"/>
              <w:right w:val="single" w:color="C9D6D8" w:sz="1"/>
            </w:tcBorders>
            <w:shd w:fill="FFFFFF" w:val="clear"/>
            <w:tcMar>
              <w:top w:type="dxa" w:w="70"/>
              <w:left w:type="dxa" w:w="120"/>
              <w:bottom w:type="dxa" w:w="70"/>
              <w:right w:type="dxa" w:w="120"/>
            </w:tcMar>
            <w:vAlign w:val="center"/>
          </w:tcPr>
          <w:p>
            <w:pPr>
              <w:spacing w:after="0" w:line="264"/>
              <w:jc w:val="left"/>
            </w:pPr>
            <w:r>
              <w:rPr>
                <w:b/>
                <w:bCs/>
              </w:rPr>
              <w:t xml:space="preserve">Digitalisation</w:t>
            </w:r>
          </w:p>
        </w:tc>
        <w:tc>
          <w:tcPr>
            <w:tcW w:type="dxa" w:w="4360"/>
            <w:tcBorders>
              <w:top w:val="single" w:color="C9D6D8" w:sz="1"/>
              <w:left w:val="single" w:color="C9D6D8" w:sz="1"/>
              <w:bottom w:val="single" w:color="C9D6D8" w:sz="1"/>
              <w:right w:val="single" w:color="C9D6D8" w:sz="1"/>
            </w:tcBorders>
            <w:shd w:fill="FFFFFF" w:val="clear"/>
            <w:tcMar>
              <w:top w:type="dxa" w:w="70"/>
              <w:left w:type="dxa" w:w="120"/>
              <w:bottom w:type="dxa" w:w="70"/>
              <w:right w:type="dxa" w:w="120"/>
            </w:tcMar>
            <w:vAlign w:val="center"/>
          </w:tcPr>
          <w:p>
            <w:pPr>
              <w:spacing w:after="0" w:line="264"/>
              <w:jc w:val="left"/>
            </w:pPr>
            <w:r>
              <w:rPr>
                <w:b w:val="false"/>
                <w:bCs w:val="false"/>
              </w:rPr>
              <w:t xml:space="preserve">Site / e-commerce + paiement + gestion de stock + formation</w:t>
            </w:r>
          </w:p>
        </w:tc>
        <w:tc>
          <w:tcPr>
            <w:tcW w:type="dxa" w:w="2700"/>
            <w:tcBorders>
              <w:top w:val="single" w:color="C9D6D8" w:sz="1"/>
              <w:left w:val="single" w:color="C9D6D8" w:sz="1"/>
              <w:bottom w:val="single" w:color="C9D6D8" w:sz="1"/>
              <w:right w:val="single" w:color="C9D6D8" w:sz="1"/>
            </w:tcBorders>
            <w:shd w:fill="FFFFFF" w:val="clear"/>
            <w:tcMar>
              <w:top w:type="dxa" w:w="70"/>
              <w:left w:type="dxa" w:w="120"/>
              <w:bottom w:type="dxa" w:w="70"/>
              <w:right w:type="dxa" w:w="120"/>
            </w:tcMar>
            <w:vAlign w:val="center"/>
          </w:tcPr>
          <w:p>
            <w:pPr>
              <w:spacing w:after="0" w:line="264"/>
              <w:jc w:val="left"/>
            </w:pPr>
            <w:r>
              <w:rPr>
                <w:b w:val="false"/>
                <w:bCs w:val="false"/>
              </w:rPr>
              <w:t xml:space="preserve">4 000 – 9 000 *</w:t>
            </w:r>
          </w:p>
        </w:tc>
      </w:tr>
      <w:tr>
        <w:tc>
          <w:tcPr>
            <w:tcW w:type="dxa" w:w="2300"/>
            <w:tcBorders>
              <w:top w:val="single" w:color="C9D6D8" w:sz="1"/>
              <w:left w:val="single" w:color="C9D6D8" w:sz="1"/>
              <w:bottom w:val="single" w:color="C9D6D8" w:sz="1"/>
              <w:right w:val="single" w:color="C9D6D8" w:sz="1"/>
            </w:tcBorders>
            <w:shd w:fill="F1F8F9" w:val="clear"/>
            <w:tcMar>
              <w:top w:type="dxa" w:w="70"/>
              <w:left w:type="dxa" w:w="120"/>
              <w:bottom w:type="dxa" w:w="70"/>
              <w:right w:type="dxa" w:w="120"/>
            </w:tcMar>
            <w:vAlign w:val="center"/>
          </w:tcPr>
          <w:p>
            <w:pPr>
              <w:spacing w:after="0" w:line="264"/>
              <w:jc w:val="left"/>
            </w:pPr>
            <w:r>
              <w:rPr>
                <w:b/>
                <w:bCs/>
              </w:rPr>
              <w:t xml:space="preserve">Automatisation &amp; IA</w:t>
            </w:r>
          </w:p>
        </w:tc>
        <w:tc>
          <w:tcPr>
            <w:tcW w:type="dxa" w:w="4360"/>
            <w:tcBorders>
              <w:top w:val="single" w:color="C9D6D8" w:sz="1"/>
              <w:left w:val="single" w:color="C9D6D8" w:sz="1"/>
              <w:bottom w:val="single" w:color="C9D6D8" w:sz="1"/>
              <w:right w:val="single" w:color="C9D6D8" w:sz="1"/>
            </w:tcBorders>
            <w:shd w:fill="FFFFFF" w:val="clear"/>
            <w:tcMar>
              <w:top w:type="dxa" w:w="70"/>
              <w:left w:type="dxa" w:w="120"/>
              <w:bottom w:type="dxa" w:w="70"/>
              <w:right w:type="dxa" w:w="120"/>
            </w:tcMar>
            <w:vAlign w:val="center"/>
          </w:tcPr>
          <w:p>
            <w:pPr>
              <w:spacing w:after="0" w:line="264"/>
              <w:jc w:val="left"/>
            </w:pPr>
            <w:r>
              <w:rPr>
                <w:b w:val="false"/>
                <w:bCs w:val="false"/>
              </w:rPr>
              <w:t xml:space="preserve">Chatbot + automatisation réseaux/site + intégrations</w:t>
            </w:r>
          </w:p>
        </w:tc>
        <w:tc>
          <w:tcPr>
            <w:tcW w:type="dxa" w:w="2700"/>
            <w:tcBorders>
              <w:top w:val="single" w:color="C9D6D8" w:sz="1"/>
              <w:left w:val="single" w:color="C9D6D8" w:sz="1"/>
              <w:bottom w:val="single" w:color="C9D6D8" w:sz="1"/>
              <w:right w:val="single" w:color="C9D6D8" w:sz="1"/>
            </w:tcBorders>
            <w:shd w:fill="F1F8F9" w:val="clear"/>
            <w:tcMar>
              <w:top w:type="dxa" w:w="70"/>
              <w:left w:type="dxa" w:w="120"/>
              <w:bottom w:type="dxa" w:w="70"/>
              <w:right w:type="dxa" w:w="120"/>
            </w:tcMar>
            <w:vAlign w:val="center"/>
          </w:tcPr>
          <w:p>
            <w:pPr>
              <w:spacing w:after="0" w:line="264"/>
              <w:jc w:val="left"/>
            </w:pPr>
            <w:r>
              <w:rPr>
                <w:b w:val="false"/>
                <w:bCs w:val="false"/>
              </w:rPr>
              <w:t xml:space="preserve">1 500 – 4 000 *</w:t>
            </w:r>
          </w:p>
        </w:tc>
      </w:tr>
    </w:tbl>
    <w:p>
      <w:pPr>
        <w:spacing w:after="160"/>
      </w:pPr>
      <w:r>
        <w:rPr>
          <w:i/>
          <w:iCs/>
          <w:color w:val="6B7280"/>
          <w:sz w:val="18"/>
          <w:szCs w:val="18"/>
        </w:rPr>
        <w:t xml:space="preserve">* Montants indicatifs à valider — voir avertissement ci-dessus.</w:t>
      </w:r>
    </w:p>
    <w:p>
      <w:pPr>
        <w:pStyle w:val="Heading2"/>
      </w:pPr>
      <w:r>
        <w:t xml:space="preserve">5.2 Exemples de services à la carte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C9D6D8" w:sz="1"/>
              <w:left w:val="single" w:color="C9D6D8" w:sz="1"/>
              <w:bottom w:val="single" w:color="C9D6D8" w:sz="1"/>
              <w:right w:val="single" w:color="C9D6D8" w:sz="1"/>
            </w:tcBorders>
            <w:shd w:fill="0E7C86" w:val="clear"/>
            <w:tcMar>
              <w:top w:type="dxa" w:w="70"/>
              <w:left w:type="dxa" w:w="120"/>
              <w:bottom w:type="dxa" w:w="70"/>
              <w:right w:type="dxa" w:w="120"/>
            </w:tcMar>
            <w:vAlign w:val="center"/>
          </w:tcPr>
          <w:p>
            <w:pPr>
              <w:spacing w:after="0" w:line="264"/>
              <w:jc w:val="left"/>
            </w:pPr>
            <w:r>
              <w:rPr>
                <w:b/>
                <w:bCs/>
                <w:color w:val="FFFFFF"/>
              </w:rPr>
              <w:t xml:space="preserve">Service</w:t>
            </w:r>
          </w:p>
        </w:tc>
        <w:tc>
          <w:tcPr>
            <w:tcW w:type="dxa" w:w="4160"/>
            <w:tcBorders>
              <w:top w:val="single" w:color="C9D6D8" w:sz="1"/>
              <w:left w:val="single" w:color="C9D6D8" w:sz="1"/>
              <w:bottom w:val="single" w:color="C9D6D8" w:sz="1"/>
              <w:right w:val="single" w:color="C9D6D8" w:sz="1"/>
            </w:tcBorders>
            <w:shd w:fill="0E7C86" w:val="clear"/>
            <w:tcMar>
              <w:top w:type="dxa" w:w="70"/>
              <w:left w:type="dxa" w:w="120"/>
              <w:bottom w:type="dxa" w:w="70"/>
              <w:right w:type="dxa" w:w="120"/>
            </w:tcMar>
            <w:vAlign w:val="center"/>
          </w:tcPr>
          <w:p>
            <w:pPr>
              <w:spacing w:after="0" w:line="264"/>
              <w:jc w:val="left"/>
            </w:pPr>
            <w:r>
              <w:rPr>
                <w:b/>
                <w:bCs/>
                <w:color w:val="FFFFFF"/>
              </w:rPr>
              <w:t xml:space="preserve">Exemple indicatif (TND)</w:t>
            </w:r>
          </w:p>
        </w:tc>
      </w:tr>
      <w:tr>
        <w:tc>
          <w:tcPr>
            <w:tcW w:type="dxa" w:w="5200"/>
            <w:tcBorders>
              <w:top w:val="single" w:color="C9D6D8" w:sz="1"/>
              <w:left w:val="single" w:color="C9D6D8" w:sz="1"/>
              <w:bottom w:val="single" w:color="C9D6D8" w:sz="1"/>
              <w:right w:val="single" w:color="C9D6D8" w:sz="1"/>
            </w:tcBorders>
            <w:shd w:fill="F1F8F9" w:val="clear"/>
            <w:tcMar>
              <w:top w:type="dxa" w:w="70"/>
              <w:left w:type="dxa" w:w="120"/>
              <w:bottom w:type="dxa" w:w="70"/>
              <w:right w:type="dxa" w:w="120"/>
            </w:tcMar>
            <w:vAlign w:val="center"/>
          </w:tcPr>
          <w:p>
            <w:pPr>
              <w:spacing w:after="0" w:line="264"/>
              <w:jc w:val="left"/>
            </w:pPr>
            <w:r>
              <w:rPr>
                <w:b w:val="false"/>
                <w:bCs w:val="false"/>
              </w:rPr>
              <w:t xml:space="preserve">Audit 360 / diagnostic</w:t>
            </w:r>
          </w:p>
        </w:tc>
        <w:tc>
          <w:tcPr>
            <w:tcW w:type="dxa" w:w="4160"/>
            <w:tcBorders>
              <w:top w:val="single" w:color="C9D6D8" w:sz="1"/>
              <w:left w:val="single" w:color="C9D6D8" w:sz="1"/>
              <w:bottom w:val="single" w:color="C9D6D8" w:sz="1"/>
              <w:right w:val="single" w:color="C9D6D8" w:sz="1"/>
            </w:tcBorders>
            <w:shd w:fill="F1F8F9" w:val="clear"/>
            <w:tcMar>
              <w:top w:type="dxa" w:w="70"/>
              <w:left w:type="dxa" w:w="120"/>
              <w:bottom w:type="dxa" w:w="70"/>
              <w:right w:type="dxa" w:w="120"/>
            </w:tcMar>
            <w:vAlign w:val="center"/>
          </w:tcPr>
          <w:p>
            <w:pPr>
              <w:spacing w:after="0" w:line="264"/>
              <w:jc w:val="left"/>
            </w:pPr>
            <w:r>
              <w:rPr>
                <w:b w:val="false"/>
                <w:bCs w:val="false"/>
              </w:rPr>
              <w:t xml:space="preserve">600 – 1 500 *</w:t>
            </w:r>
          </w:p>
        </w:tc>
      </w:tr>
      <w:tr>
        <w:tc>
          <w:tcPr>
            <w:tcW w:type="dxa" w:w="5200"/>
            <w:tcBorders>
              <w:top w:val="single" w:color="C9D6D8" w:sz="1"/>
              <w:left w:val="single" w:color="C9D6D8" w:sz="1"/>
              <w:bottom w:val="single" w:color="C9D6D8" w:sz="1"/>
              <w:right w:val="single" w:color="C9D6D8" w:sz="1"/>
            </w:tcBorders>
            <w:shd w:fill="FFFFFF" w:val="clear"/>
            <w:tcMar>
              <w:top w:type="dxa" w:w="70"/>
              <w:left w:type="dxa" w:w="120"/>
              <w:bottom w:type="dxa" w:w="70"/>
              <w:right w:type="dxa" w:w="120"/>
            </w:tcMar>
            <w:vAlign w:val="center"/>
          </w:tcPr>
          <w:p>
            <w:pPr>
              <w:spacing w:after="0" w:line="264"/>
              <w:jc w:val="left"/>
            </w:pPr>
            <w:r>
              <w:rPr>
                <w:b w:val="false"/>
                <w:bCs w:val="false"/>
              </w:rPr>
              <w:t xml:space="preserve">Mise en place tableau de bord + suivi mensuel</w:t>
            </w:r>
          </w:p>
        </w:tc>
        <w:tc>
          <w:tcPr>
            <w:tcW w:type="dxa" w:w="4160"/>
            <w:tcBorders>
              <w:top w:val="single" w:color="C9D6D8" w:sz="1"/>
              <w:left w:val="single" w:color="C9D6D8" w:sz="1"/>
              <w:bottom w:val="single" w:color="C9D6D8" w:sz="1"/>
              <w:right w:val="single" w:color="C9D6D8" w:sz="1"/>
            </w:tcBorders>
            <w:shd w:fill="FFFFFF" w:val="clear"/>
            <w:tcMar>
              <w:top w:type="dxa" w:w="70"/>
              <w:left w:type="dxa" w:w="120"/>
              <w:bottom w:type="dxa" w:w="70"/>
              <w:right w:type="dxa" w:w="120"/>
            </w:tcMar>
            <w:vAlign w:val="center"/>
          </w:tcPr>
          <w:p>
            <w:pPr>
              <w:spacing w:after="0" w:line="264"/>
              <w:jc w:val="left"/>
            </w:pPr>
            <w:r>
              <w:rPr>
                <w:b w:val="false"/>
                <w:bCs w:val="false"/>
              </w:rPr>
              <w:t xml:space="preserve">800 – 2 000 + suivi *</w:t>
            </w:r>
          </w:p>
        </w:tc>
      </w:tr>
      <w:tr>
        <w:tc>
          <w:tcPr>
            <w:tcW w:type="dxa" w:w="5200"/>
            <w:tcBorders>
              <w:top w:val="single" w:color="C9D6D8" w:sz="1"/>
              <w:left w:val="single" w:color="C9D6D8" w:sz="1"/>
              <w:bottom w:val="single" w:color="C9D6D8" w:sz="1"/>
              <w:right w:val="single" w:color="C9D6D8" w:sz="1"/>
            </w:tcBorders>
            <w:shd w:fill="F1F8F9" w:val="clear"/>
            <w:tcMar>
              <w:top w:type="dxa" w:w="70"/>
              <w:left w:type="dxa" w:w="120"/>
              <w:bottom w:type="dxa" w:w="70"/>
              <w:right w:type="dxa" w:w="120"/>
            </w:tcMar>
            <w:vAlign w:val="center"/>
          </w:tcPr>
          <w:p>
            <w:pPr>
              <w:spacing w:after="0" w:line="264"/>
              <w:jc w:val="left"/>
            </w:pPr>
            <w:r>
              <w:rPr>
                <w:b w:val="false"/>
                <w:bCs w:val="false"/>
              </w:rPr>
              <w:t xml:space="preserve">Site vitrine WordPress</w:t>
            </w:r>
          </w:p>
        </w:tc>
        <w:tc>
          <w:tcPr>
            <w:tcW w:type="dxa" w:w="4160"/>
            <w:tcBorders>
              <w:top w:val="single" w:color="C9D6D8" w:sz="1"/>
              <w:left w:val="single" w:color="C9D6D8" w:sz="1"/>
              <w:bottom w:val="single" w:color="C9D6D8" w:sz="1"/>
              <w:right w:val="single" w:color="C9D6D8" w:sz="1"/>
            </w:tcBorders>
            <w:shd w:fill="F1F8F9" w:val="clear"/>
            <w:tcMar>
              <w:top w:type="dxa" w:w="70"/>
              <w:left w:type="dxa" w:w="120"/>
              <w:bottom w:type="dxa" w:w="70"/>
              <w:right w:type="dxa" w:w="120"/>
            </w:tcMar>
            <w:vAlign w:val="center"/>
          </w:tcPr>
          <w:p>
            <w:pPr>
              <w:spacing w:after="0" w:line="264"/>
              <w:jc w:val="left"/>
            </w:pPr>
            <w:r>
              <w:rPr>
                <w:b w:val="false"/>
                <w:bCs w:val="false"/>
              </w:rPr>
              <w:t xml:space="preserve">1 200 – 3 000 *</w:t>
            </w:r>
          </w:p>
        </w:tc>
      </w:tr>
      <w:tr>
        <w:tc>
          <w:tcPr>
            <w:tcW w:type="dxa" w:w="5200"/>
            <w:tcBorders>
              <w:top w:val="single" w:color="C9D6D8" w:sz="1"/>
              <w:left w:val="single" w:color="C9D6D8" w:sz="1"/>
              <w:bottom w:val="single" w:color="C9D6D8" w:sz="1"/>
              <w:right w:val="single" w:color="C9D6D8" w:sz="1"/>
            </w:tcBorders>
            <w:shd w:fill="FFFFFF" w:val="clear"/>
            <w:tcMar>
              <w:top w:type="dxa" w:w="70"/>
              <w:left w:type="dxa" w:w="120"/>
              <w:bottom w:type="dxa" w:w="70"/>
              <w:right w:type="dxa" w:w="120"/>
            </w:tcMar>
            <w:vAlign w:val="center"/>
          </w:tcPr>
          <w:p>
            <w:pPr>
              <w:spacing w:after="0" w:line="264"/>
              <w:jc w:val="left"/>
            </w:pPr>
            <w:r>
              <w:rPr>
                <w:b w:val="false"/>
                <w:bCs w:val="false"/>
              </w:rPr>
              <w:t xml:space="preserve">Boutique e-commerce (Shopify / WooCommerce)</w:t>
            </w:r>
          </w:p>
        </w:tc>
        <w:tc>
          <w:tcPr>
            <w:tcW w:type="dxa" w:w="4160"/>
            <w:tcBorders>
              <w:top w:val="single" w:color="C9D6D8" w:sz="1"/>
              <w:left w:val="single" w:color="C9D6D8" w:sz="1"/>
              <w:bottom w:val="single" w:color="C9D6D8" w:sz="1"/>
              <w:right w:val="single" w:color="C9D6D8" w:sz="1"/>
            </w:tcBorders>
            <w:shd w:fill="FFFFFF" w:val="clear"/>
            <w:tcMar>
              <w:top w:type="dxa" w:w="70"/>
              <w:left w:type="dxa" w:w="120"/>
              <w:bottom w:type="dxa" w:w="70"/>
              <w:right w:type="dxa" w:w="120"/>
            </w:tcMar>
            <w:vAlign w:val="center"/>
          </w:tcPr>
          <w:p>
            <w:pPr>
              <w:spacing w:after="0" w:line="264"/>
              <w:jc w:val="left"/>
            </w:pPr>
            <w:r>
              <w:rPr>
                <w:b w:val="false"/>
                <w:bCs w:val="false"/>
              </w:rPr>
              <w:t xml:space="preserve">2 500 – 7 000 *</w:t>
            </w:r>
          </w:p>
        </w:tc>
      </w:tr>
      <w:tr>
        <w:tc>
          <w:tcPr>
            <w:tcW w:type="dxa" w:w="5200"/>
            <w:tcBorders>
              <w:top w:val="single" w:color="C9D6D8" w:sz="1"/>
              <w:left w:val="single" w:color="C9D6D8" w:sz="1"/>
              <w:bottom w:val="single" w:color="C9D6D8" w:sz="1"/>
              <w:right w:val="single" w:color="C9D6D8" w:sz="1"/>
            </w:tcBorders>
            <w:shd w:fill="F1F8F9" w:val="clear"/>
            <w:tcMar>
              <w:top w:type="dxa" w:w="70"/>
              <w:left w:type="dxa" w:w="120"/>
              <w:bottom w:type="dxa" w:w="70"/>
              <w:right w:type="dxa" w:w="120"/>
            </w:tcMar>
            <w:vAlign w:val="center"/>
          </w:tcPr>
          <w:p>
            <w:pPr>
              <w:spacing w:after="0" w:line="264"/>
              <w:jc w:val="left"/>
            </w:pPr>
            <w:r>
              <w:rPr>
                <w:b w:val="false"/>
                <w:bCs w:val="false"/>
              </w:rPr>
              <w:t xml:space="preserve">Intégration moyen de paiement</w:t>
            </w:r>
          </w:p>
        </w:tc>
        <w:tc>
          <w:tcPr>
            <w:tcW w:type="dxa" w:w="4160"/>
            <w:tcBorders>
              <w:top w:val="single" w:color="C9D6D8" w:sz="1"/>
              <w:left w:val="single" w:color="C9D6D8" w:sz="1"/>
              <w:bottom w:val="single" w:color="C9D6D8" w:sz="1"/>
              <w:right w:val="single" w:color="C9D6D8" w:sz="1"/>
            </w:tcBorders>
            <w:shd w:fill="F1F8F9" w:val="clear"/>
            <w:tcMar>
              <w:top w:type="dxa" w:w="70"/>
              <w:left w:type="dxa" w:w="120"/>
              <w:bottom w:type="dxa" w:w="70"/>
              <w:right w:type="dxa" w:w="120"/>
            </w:tcMar>
            <w:vAlign w:val="center"/>
          </w:tcPr>
          <w:p>
            <w:pPr>
              <w:spacing w:after="0" w:line="264"/>
              <w:jc w:val="left"/>
            </w:pPr>
            <w:r>
              <w:rPr>
                <w:b w:val="false"/>
                <w:bCs w:val="false"/>
              </w:rPr>
              <w:t xml:space="preserve">300 – 800 *</w:t>
            </w:r>
          </w:p>
        </w:tc>
      </w:tr>
      <w:tr>
        <w:tc>
          <w:tcPr>
            <w:tcW w:type="dxa" w:w="5200"/>
            <w:tcBorders>
              <w:top w:val="single" w:color="C9D6D8" w:sz="1"/>
              <w:left w:val="single" w:color="C9D6D8" w:sz="1"/>
              <w:bottom w:val="single" w:color="C9D6D8" w:sz="1"/>
              <w:right w:val="single" w:color="C9D6D8" w:sz="1"/>
            </w:tcBorders>
            <w:shd w:fill="FFFFFF" w:val="clear"/>
            <w:tcMar>
              <w:top w:type="dxa" w:w="70"/>
              <w:left w:type="dxa" w:w="120"/>
              <w:bottom w:type="dxa" w:w="70"/>
              <w:right w:type="dxa" w:w="120"/>
            </w:tcMar>
            <w:vAlign w:val="center"/>
          </w:tcPr>
          <w:p>
            <w:pPr>
              <w:spacing w:after="0" w:line="264"/>
              <w:jc w:val="left"/>
            </w:pPr>
            <w:r>
              <w:rPr>
                <w:b w:val="false"/>
                <w:bCs w:val="false"/>
              </w:rPr>
              <w:t xml:space="preserve">Application sur mesure / dashboard RH-commercial / gestion stock</w:t>
            </w:r>
          </w:p>
        </w:tc>
        <w:tc>
          <w:tcPr>
            <w:tcW w:type="dxa" w:w="4160"/>
            <w:tcBorders>
              <w:top w:val="single" w:color="C9D6D8" w:sz="1"/>
              <w:left w:val="single" w:color="C9D6D8" w:sz="1"/>
              <w:bottom w:val="single" w:color="C9D6D8" w:sz="1"/>
              <w:right w:val="single" w:color="C9D6D8" w:sz="1"/>
            </w:tcBorders>
            <w:shd w:fill="FFFFFF" w:val="clear"/>
            <w:tcMar>
              <w:top w:type="dxa" w:w="70"/>
              <w:left w:type="dxa" w:w="120"/>
              <w:bottom w:type="dxa" w:w="70"/>
              <w:right w:type="dxa" w:w="120"/>
            </w:tcMar>
            <w:vAlign w:val="center"/>
          </w:tcPr>
          <w:p>
            <w:pPr>
              <w:spacing w:after="0" w:line="264"/>
              <w:jc w:val="left"/>
            </w:pPr>
            <w:r>
              <w:rPr>
                <w:b w:val="false"/>
                <w:bCs w:val="false"/>
              </w:rPr>
              <w:t xml:space="preserve">Sur devis</w:t>
            </w:r>
          </w:p>
        </w:tc>
      </w:tr>
      <w:tr>
        <w:tc>
          <w:tcPr>
            <w:tcW w:type="dxa" w:w="5200"/>
            <w:tcBorders>
              <w:top w:val="single" w:color="C9D6D8" w:sz="1"/>
              <w:left w:val="single" w:color="C9D6D8" w:sz="1"/>
              <w:bottom w:val="single" w:color="C9D6D8" w:sz="1"/>
              <w:right w:val="single" w:color="C9D6D8" w:sz="1"/>
            </w:tcBorders>
            <w:shd w:fill="F1F8F9" w:val="clear"/>
            <w:tcMar>
              <w:top w:type="dxa" w:w="70"/>
              <w:left w:type="dxa" w:w="120"/>
              <w:bottom w:type="dxa" w:w="70"/>
              <w:right w:type="dxa" w:w="120"/>
            </w:tcMar>
            <w:vAlign w:val="center"/>
          </w:tcPr>
          <w:p>
            <w:pPr>
              <w:spacing w:after="0" w:line="264"/>
              <w:jc w:val="left"/>
            </w:pPr>
            <w:r>
              <w:rPr>
                <w:b w:val="false"/>
                <w:bCs w:val="false"/>
              </w:rPr>
              <w:t xml:space="preserve">Community management (par mois)</w:t>
            </w:r>
          </w:p>
        </w:tc>
        <w:tc>
          <w:tcPr>
            <w:tcW w:type="dxa" w:w="4160"/>
            <w:tcBorders>
              <w:top w:val="single" w:color="C9D6D8" w:sz="1"/>
              <w:left w:val="single" w:color="C9D6D8" w:sz="1"/>
              <w:bottom w:val="single" w:color="C9D6D8" w:sz="1"/>
              <w:right w:val="single" w:color="C9D6D8" w:sz="1"/>
            </w:tcBorders>
            <w:shd w:fill="F1F8F9" w:val="clear"/>
            <w:tcMar>
              <w:top w:type="dxa" w:w="70"/>
              <w:left w:type="dxa" w:w="120"/>
              <w:bottom w:type="dxa" w:w="70"/>
              <w:right w:type="dxa" w:w="120"/>
            </w:tcMar>
            <w:vAlign w:val="center"/>
          </w:tcPr>
          <w:p>
            <w:pPr>
              <w:spacing w:after="0" w:line="264"/>
              <w:jc w:val="left"/>
            </w:pPr>
            <w:r>
              <w:rPr>
                <w:b w:val="false"/>
                <w:bCs w:val="false"/>
              </w:rPr>
              <w:t xml:space="preserve">500 – 1 500 *</w:t>
            </w:r>
          </w:p>
        </w:tc>
      </w:tr>
      <w:tr>
        <w:tc>
          <w:tcPr>
            <w:tcW w:type="dxa" w:w="5200"/>
            <w:tcBorders>
              <w:top w:val="single" w:color="C9D6D8" w:sz="1"/>
              <w:left w:val="single" w:color="C9D6D8" w:sz="1"/>
              <w:bottom w:val="single" w:color="C9D6D8" w:sz="1"/>
              <w:right w:val="single" w:color="C9D6D8" w:sz="1"/>
            </w:tcBorders>
            <w:shd w:fill="FFFFFF" w:val="clear"/>
            <w:tcMar>
              <w:top w:type="dxa" w:w="70"/>
              <w:left w:type="dxa" w:w="120"/>
              <w:bottom w:type="dxa" w:w="70"/>
              <w:right w:type="dxa" w:w="120"/>
            </w:tcMar>
            <w:vAlign w:val="center"/>
          </w:tcPr>
          <w:p>
            <w:pPr>
              <w:spacing w:after="0" w:line="264"/>
              <w:jc w:val="left"/>
            </w:pPr>
            <w:r>
              <w:rPr>
                <w:b w:val="false"/>
                <w:bCs w:val="false"/>
              </w:rPr>
              <w:t xml:space="preserve">Gestion campagnes Ads (par mois, hors budget média)</w:t>
            </w:r>
          </w:p>
        </w:tc>
        <w:tc>
          <w:tcPr>
            <w:tcW w:type="dxa" w:w="4160"/>
            <w:tcBorders>
              <w:top w:val="single" w:color="C9D6D8" w:sz="1"/>
              <w:left w:val="single" w:color="C9D6D8" w:sz="1"/>
              <w:bottom w:val="single" w:color="C9D6D8" w:sz="1"/>
              <w:right w:val="single" w:color="C9D6D8" w:sz="1"/>
            </w:tcBorders>
            <w:shd w:fill="FFFFFF" w:val="clear"/>
            <w:tcMar>
              <w:top w:type="dxa" w:w="70"/>
              <w:left w:type="dxa" w:w="120"/>
              <w:bottom w:type="dxa" w:w="70"/>
              <w:right w:type="dxa" w:w="120"/>
            </w:tcMar>
            <w:vAlign w:val="center"/>
          </w:tcPr>
          <w:p>
            <w:pPr>
              <w:spacing w:after="0" w:line="264"/>
              <w:jc w:val="left"/>
            </w:pPr>
            <w:r>
              <w:rPr>
                <w:b w:val="false"/>
                <w:bCs w:val="false"/>
              </w:rPr>
              <w:t xml:space="preserve">400 – 1 200 *</w:t>
            </w:r>
          </w:p>
        </w:tc>
      </w:tr>
      <w:tr>
        <w:tc>
          <w:tcPr>
            <w:tcW w:type="dxa" w:w="5200"/>
            <w:tcBorders>
              <w:top w:val="single" w:color="C9D6D8" w:sz="1"/>
              <w:left w:val="single" w:color="C9D6D8" w:sz="1"/>
              <w:bottom w:val="single" w:color="C9D6D8" w:sz="1"/>
              <w:right w:val="single" w:color="C9D6D8" w:sz="1"/>
            </w:tcBorders>
            <w:shd w:fill="F1F8F9" w:val="clear"/>
            <w:tcMar>
              <w:top w:type="dxa" w:w="70"/>
              <w:left w:type="dxa" w:w="120"/>
              <w:bottom w:type="dxa" w:w="70"/>
              <w:right w:type="dxa" w:w="120"/>
            </w:tcMar>
            <w:vAlign w:val="center"/>
          </w:tcPr>
          <w:p>
            <w:pPr>
              <w:spacing w:after="0" w:line="264"/>
              <w:jc w:val="left"/>
            </w:pPr>
            <w:r>
              <w:rPr>
                <w:b w:val="false"/>
                <w:bCs w:val="false"/>
              </w:rPr>
              <w:t xml:space="preserve">Chatbot / automatisation</w:t>
            </w:r>
          </w:p>
        </w:tc>
        <w:tc>
          <w:tcPr>
            <w:tcW w:type="dxa" w:w="4160"/>
            <w:tcBorders>
              <w:top w:val="single" w:color="C9D6D8" w:sz="1"/>
              <w:left w:val="single" w:color="C9D6D8" w:sz="1"/>
              <w:bottom w:val="single" w:color="C9D6D8" w:sz="1"/>
              <w:right w:val="single" w:color="C9D6D8" w:sz="1"/>
            </w:tcBorders>
            <w:shd w:fill="F1F8F9" w:val="clear"/>
            <w:tcMar>
              <w:top w:type="dxa" w:w="70"/>
              <w:left w:type="dxa" w:w="120"/>
              <w:bottom w:type="dxa" w:w="70"/>
              <w:right w:type="dxa" w:w="120"/>
            </w:tcMar>
            <w:vAlign w:val="center"/>
          </w:tcPr>
          <w:p>
            <w:pPr>
              <w:spacing w:after="0" w:line="264"/>
              <w:jc w:val="left"/>
            </w:pPr>
            <w:r>
              <w:rPr>
                <w:b w:val="false"/>
                <w:bCs w:val="false"/>
              </w:rPr>
              <w:t xml:space="preserve">800 – 2 500 *</w:t>
            </w:r>
          </w:p>
        </w:tc>
      </w:tr>
    </w:tbl>
    <w:p>
      <w:pPr>
        <w:spacing w:after="160"/>
      </w:pPr>
      <w:r>
        <w:rPr>
          <w:i/>
          <w:iCs/>
          <w:color w:val="6B7280"/>
          <w:sz w:val="18"/>
          <w:szCs w:val="18"/>
        </w:rPr>
        <w:t xml:space="preserve">* Montants indicatifs à valider par benchmark.</w:t>
      </w:r>
    </w:p>
    <w:p>
      <w:pPr>
        <w:pStyle w:val="Heading2"/>
      </w:pPr>
      <w:r>
        <w:t xml:space="preserve">5.3 Exemple de calcul de marge et de répartition</w:t>
      </w:r>
    </w:p>
    <w:p>
      <w:pPr>
        <w:spacing w:after="120" w:line="280"/>
        <w:jc w:val="both"/>
      </w:pPr>
      <w:r>
        <w:t xml:space="preserve">Pour t’aider à raisonner tant que la marge n’est pas fixée, voici un exemple chiffré (illustratif) sur le Pack Performance vendu 3 000 TND :</w:t>
      </w:r>
    </w:p>
    <w:p>
      <w:pPr>
        <w:pStyle w:val="ListParagraph"/>
        <w:numPr>
          <w:ilvl w:val="0"/>
          <w:numId w:val="2"/>
        </w:numPr>
        <w:spacing w:after="80" w:line="276"/>
      </w:pPr>
      <w:r>
        <w:rPr>
          <w:b/>
          <w:bCs/>
        </w:rPr>
        <w:t xml:space="preserve">Prix de vente : </w:t>
      </w:r>
      <w:r>
        <w:t xml:space="preserve">3 000 TND</w:t>
      </w:r>
    </w:p>
    <w:p>
      <w:pPr>
        <w:pStyle w:val="ListParagraph"/>
        <w:numPr>
          <w:ilvl w:val="0"/>
          <w:numId w:val="2"/>
        </w:numPr>
        <w:spacing w:after="80" w:line="276"/>
      </w:pPr>
      <w:r>
        <w:rPr>
          <w:b/>
          <w:bCs/>
        </w:rPr>
        <w:t xml:space="preserve">Coûts directs estimés (outils, sous-traitance) : </w:t>
      </w:r>
      <w:r>
        <w:t xml:space="preserve">≈ 300 TND</w:t>
      </w:r>
    </w:p>
    <w:p>
      <w:pPr>
        <w:pStyle w:val="ListParagraph"/>
        <w:numPr>
          <w:ilvl w:val="0"/>
          <w:numId w:val="2"/>
        </w:numPr>
        <w:spacing w:after="80" w:line="276"/>
      </w:pPr>
      <w:r>
        <w:rPr>
          <w:b/>
          <w:bCs/>
        </w:rPr>
        <w:t xml:space="preserve">Marge nette : </w:t>
      </w:r>
      <w:r>
        <w:t xml:space="preserve">≈ 2 700 TND</w:t>
      </w:r>
    </w:p>
    <w:p>
      <w:pPr>
        <w:pStyle w:val="ListParagraph"/>
        <w:numPr>
          <w:ilvl w:val="0"/>
          <w:numId w:val="2"/>
        </w:numPr>
        <w:spacing w:after="80" w:line="276"/>
      </w:pPr>
      <w:r>
        <w:rPr>
          <w:b/>
          <w:bCs/>
        </w:rPr>
        <w:t xml:space="preserve">Répartition 60/40 : </w:t>
      </w:r>
      <w:r>
        <w:t xml:space="preserve">CEO 1 620 TND · associé responsable 1 080 TND</w:t>
      </w:r>
    </w:p>
    <w:p>
      <w:pPr>
        <w:pStyle w:val="ListParagraph"/>
        <w:numPr>
          <w:ilvl w:val="0"/>
          <w:numId w:val="2"/>
        </w:numPr>
        <w:spacing w:after="80" w:line="276"/>
      </w:pPr>
      <w:r>
        <w:rPr>
          <w:b/>
          <w:bCs/>
        </w:rPr>
        <w:t xml:space="preserve">Répartition 50/50 (associé de haut niveau) : </w:t>
      </w:r>
      <w:r>
        <w:t xml:space="preserve">1 350 TND chacun</w:t>
      </w:r>
    </w:p>
    <w:p>
      <w:pPr>
        <w:pBdr>
          <w:left w:val="single" w:color="E8A13A" w:sz="18" w:space="8"/>
        </w:pBdr>
        <w:shd w:fill="FFF4E5" w:val="clear"/>
        <w:spacing w:after="100" w:line="276"/>
        <w:ind w:left="120"/>
      </w:pPr>
      <w:r>
        <w:rPr>
          <w:b/>
          <w:bCs/>
          <w:color w:val="B9740A"/>
        </w:rPr>
        <w:t xml:space="preserve">À COMPLÉTER — </w:t>
      </w:r>
      <w:r>
        <w:rPr>
          <w:color w:val="7A5410"/>
        </w:rPr>
        <w:t xml:space="preserve">Décider si la répartition 60/40 s’applique sur le chiffre d’affaires ou sur la marge nette (après coûts directs). Recommandation : sur la marge nette, c’est plus juste pour les deux parties.</w:t>
      </w:r>
    </w:p>
    <w:p>
      <w:pPr>
        <w:pStyle w:val="Heading1"/>
      </w:pPr>
      <w:r>
        <w:t xml:space="preserve">6. Méthodologie &amp; parcours client</w:t>
      </w:r>
    </w:p>
    <w:p>
      <w:pPr>
        <w:spacing w:after="120" w:line="280"/>
        <w:jc w:val="both"/>
      </w:pPr>
      <w:r>
        <w:t xml:space="preserve">Chaque mission suit un parcours clair, pensé pour rassurer le client et cadrer l’exécution.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9D6D8" w:sz="1"/>
              <w:left w:val="single" w:color="C9D6D8" w:sz="1"/>
              <w:bottom w:val="single" w:color="C9D6D8" w:sz="1"/>
              <w:right w:val="single" w:color="C9D6D8" w:sz="1"/>
            </w:tcBorders>
            <w:shd w:fill="0E7C86" w:val="clear"/>
            <w:tcMar>
              <w:top w:type="dxa" w:w="70"/>
              <w:left w:type="dxa" w:w="120"/>
              <w:bottom w:type="dxa" w:w="70"/>
              <w:right w:type="dxa" w:w="120"/>
            </w:tcMar>
            <w:vAlign w:val="center"/>
          </w:tcPr>
          <w:p>
            <w:pPr>
              <w:spacing w:after="0" w:line="264"/>
              <w:jc w:val="center"/>
            </w:pPr>
            <w:r>
              <w:rPr>
                <w:b/>
                <w:bCs/>
                <w:color w:val="FFFFFF"/>
              </w:rPr>
              <w:t xml:space="preserve">1</w:t>
            </w:r>
          </w:p>
        </w:tc>
        <w:tc>
          <w:tcPr>
            <w:tcW w:type="dxa" w:w="8460"/>
            <w:tcBorders>
              <w:top w:val="single" w:color="C9D6D8" w:sz="1"/>
              <w:left w:val="single" w:color="C9D6D8" w:sz="1"/>
              <w:bottom w:val="single" w:color="C9D6D8" w:sz="1"/>
              <w:right w:val="single" w:color="C9D6D8" w:sz="1"/>
            </w:tcBorders>
            <w:shd w:fill="FFFFFF" w:val="clear"/>
            <w:tcMar>
              <w:top w:type="dxa" w:w="70"/>
              <w:left w:type="dxa" w:w="120"/>
              <w:bottom w:type="dxa" w:w="70"/>
              <w:right w:type="dxa" w:w="120"/>
            </w:tcMar>
            <w:vAlign w:val="center"/>
          </w:tcPr>
          <w:p>
            <w:pPr>
              <w:spacing w:after="0"/>
            </w:pPr>
            <w:r>
              <w:rPr>
                <w:b/>
                <w:bCs/>
              </w:rPr>
              <w:t xml:space="preserve">RDV découverte (≈ 30 min) — </w:t>
            </w:r>
            <w:r>
              <w:t xml:space="preserve">le client expose ses problèmes et ses objectifs.</w:t>
            </w:r>
          </w:p>
        </w:tc>
      </w:tr>
      <w:tr>
        <w:tc>
          <w:tcPr>
            <w:tcW w:type="dxa" w:w="900"/>
            <w:tcBorders>
              <w:top w:val="single" w:color="C9D6D8" w:sz="1"/>
              <w:left w:val="single" w:color="C9D6D8" w:sz="1"/>
              <w:bottom w:val="single" w:color="C9D6D8" w:sz="1"/>
              <w:right w:val="single" w:color="C9D6D8" w:sz="1"/>
            </w:tcBorders>
            <w:shd w:fill="0E7C86" w:val="clear"/>
            <w:tcMar>
              <w:top w:type="dxa" w:w="70"/>
              <w:left w:type="dxa" w:w="120"/>
              <w:bottom w:type="dxa" w:w="70"/>
              <w:right w:type="dxa" w:w="120"/>
            </w:tcMar>
            <w:vAlign w:val="center"/>
          </w:tcPr>
          <w:p>
            <w:pPr>
              <w:spacing w:after="0" w:line="264"/>
              <w:jc w:val="center"/>
            </w:pPr>
            <w:r>
              <w:rPr>
                <w:b/>
                <w:bCs/>
                <w:color w:val="FFFFFF"/>
              </w:rPr>
              <w:t xml:space="preserve">2</w:t>
            </w:r>
          </w:p>
        </w:tc>
        <w:tc>
          <w:tcPr>
            <w:tcW w:type="dxa" w:w="8460"/>
            <w:tcBorders>
              <w:top w:val="single" w:color="C9D6D8" w:sz="1"/>
              <w:left w:val="single" w:color="C9D6D8" w:sz="1"/>
              <w:bottom w:val="single" w:color="C9D6D8" w:sz="1"/>
              <w:right w:val="single" w:color="C9D6D8" w:sz="1"/>
            </w:tcBorders>
            <w:shd w:fill="F1F8F9" w:val="clear"/>
            <w:tcMar>
              <w:top w:type="dxa" w:w="70"/>
              <w:left w:type="dxa" w:w="120"/>
              <w:bottom w:type="dxa" w:w="70"/>
              <w:right w:type="dxa" w:w="120"/>
            </w:tcMar>
            <w:vAlign w:val="center"/>
          </w:tcPr>
          <w:p>
            <w:pPr>
              <w:spacing w:after="0"/>
            </w:pPr>
            <w:r>
              <w:rPr>
                <w:b/>
                <w:bCs/>
              </w:rPr>
              <w:t xml:space="preserve">Proposition — </w:t>
            </w:r>
            <w:r>
              <w:t xml:space="preserve">présentation des solutions, des modalités de paiement et de la façon dont le client suivra l’avancement de son projet.</w:t>
            </w:r>
          </w:p>
        </w:tc>
      </w:tr>
      <w:tr>
        <w:tc>
          <w:tcPr>
            <w:tcW w:type="dxa" w:w="900"/>
            <w:tcBorders>
              <w:top w:val="single" w:color="C9D6D8" w:sz="1"/>
              <w:left w:val="single" w:color="C9D6D8" w:sz="1"/>
              <w:bottom w:val="single" w:color="C9D6D8" w:sz="1"/>
              <w:right w:val="single" w:color="C9D6D8" w:sz="1"/>
            </w:tcBorders>
            <w:shd w:fill="0E7C86" w:val="clear"/>
            <w:tcMar>
              <w:top w:type="dxa" w:w="70"/>
              <w:left w:type="dxa" w:w="120"/>
              <w:bottom w:type="dxa" w:w="70"/>
              <w:right w:type="dxa" w:w="120"/>
            </w:tcMar>
            <w:vAlign w:val="center"/>
          </w:tcPr>
          <w:p>
            <w:pPr>
              <w:spacing w:after="0" w:line="264"/>
              <w:jc w:val="center"/>
            </w:pPr>
            <w:r>
              <w:rPr>
                <w:b/>
                <w:bCs/>
                <w:color w:val="FFFFFF"/>
              </w:rPr>
              <w:t xml:space="preserve">3</w:t>
            </w:r>
          </w:p>
        </w:tc>
        <w:tc>
          <w:tcPr>
            <w:tcW w:type="dxa" w:w="8460"/>
            <w:tcBorders>
              <w:top w:val="single" w:color="C9D6D8" w:sz="1"/>
              <w:left w:val="single" w:color="C9D6D8" w:sz="1"/>
              <w:bottom w:val="single" w:color="C9D6D8" w:sz="1"/>
              <w:right w:val="single" w:color="C9D6D8" w:sz="1"/>
            </w:tcBorders>
            <w:shd w:fill="FFFFFF" w:val="clear"/>
            <w:tcMar>
              <w:top w:type="dxa" w:w="70"/>
              <w:left w:type="dxa" w:w="120"/>
              <w:bottom w:type="dxa" w:w="70"/>
              <w:right w:type="dxa" w:w="120"/>
            </w:tcMar>
            <w:vAlign w:val="center"/>
          </w:tcPr>
          <w:p>
            <w:pPr>
              <w:spacing w:after="0"/>
            </w:pPr>
            <w:r>
              <w:rPr>
                <w:b/>
                <w:bCs/>
              </w:rPr>
              <w:t xml:space="preserve">Paiement de la 1re tranche — </w:t>
            </w:r>
            <w:r>
              <w:t xml:space="preserve">ouverture de l’espace client : une fenêtre où il voit l’avancement et peut ajouter ses remarques.</w:t>
            </w:r>
          </w:p>
        </w:tc>
      </w:tr>
      <w:tr>
        <w:tc>
          <w:tcPr>
            <w:tcW w:type="dxa" w:w="900"/>
            <w:tcBorders>
              <w:top w:val="single" w:color="C9D6D8" w:sz="1"/>
              <w:left w:val="single" w:color="C9D6D8" w:sz="1"/>
              <w:bottom w:val="single" w:color="C9D6D8" w:sz="1"/>
              <w:right w:val="single" w:color="C9D6D8" w:sz="1"/>
            </w:tcBorders>
            <w:shd w:fill="0E7C86" w:val="clear"/>
            <w:tcMar>
              <w:top w:type="dxa" w:w="70"/>
              <w:left w:type="dxa" w:w="120"/>
              <w:bottom w:type="dxa" w:w="70"/>
              <w:right w:type="dxa" w:w="120"/>
            </w:tcMar>
            <w:vAlign w:val="center"/>
          </w:tcPr>
          <w:p>
            <w:pPr>
              <w:spacing w:after="0" w:line="264"/>
              <w:jc w:val="center"/>
            </w:pPr>
            <w:r>
              <w:rPr>
                <w:b/>
                <w:bCs/>
                <w:color w:val="FFFFFF"/>
              </w:rPr>
              <w:t xml:space="preserve">4</w:t>
            </w:r>
          </w:p>
        </w:tc>
        <w:tc>
          <w:tcPr>
            <w:tcW w:type="dxa" w:w="8460"/>
            <w:tcBorders>
              <w:top w:val="single" w:color="C9D6D8" w:sz="1"/>
              <w:left w:val="single" w:color="C9D6D8" w:sz="1"/>
              <w:bottom w:val="single" w:color="C9D6D8" w:sz="1"/>
              <w:right w:val="single" w:color="C9D6D8" w:sz="1"/>
            </w:tcBorders>
            <w:shd w:fill="F1F8F9" w:val="clear"/>
            <w:tcMar>
              <w:top w:type="dxa" w:w="70"/>
              <w:left w:type="dxa" w:w="120"/>
              <w:bottom w:type="dxa" w:w="70"/>
              <w:right w:type="dxa" w:w="120"/>
            </w:tcMar>
            <w:vAlign w:val="center"/>
          </w:tcPr>
          <w:p>
            <w:pPr>
              <w:spacing w:after="0"/>
            </w:pPr>
            <w:r>
              <w:rPr>
                <w:b/>
                <w:bCs/>
              </w:rPr>
              <w:t xml:space="preserve">2e réunion de cadrage — </w:t>
            </w:r>
            <w:r>
              <w:t xml:space="preserve">explication de la procédure : durée, étapes, et ce qui sera réalisé.</w:t>
            </w:r>
          </w:p>
        </w:tc>
      </w:tr>
      <w:tr>
        <w:tc>
          <w:tcPr>
            <w:tcW w:type="dxa" w:w="900"/>
            <w:tcBorders>
              <w:top w:val="single" w:color="C9D6D8" w:sz="1"/>
              <w:left w:val="single" w:color="C9D6D8" w:sz="1"/>
              <w:bottom w:val="single" w:color="C9D6D8" w:sz="1"/>
              <w:right w:val="single" w:color="C9D6D8" w:sz="1"/>
            </w:tcBorders>
            <w:shd w:fill="0E7C86" w:val="clear"/>
            <w:tcMar>
              <w:top w:type="dxa" w:w="70"/>
              <w:left w:type="dxa" w:w="120"/>
              <w:bottom w:type="dxa" w:w="70"/>
              <w:right w:type="dxa" w:w="120"/>
            </w:tcMar>
            <w:vAlign w:val="center"/>
          </w:tcPr>
          <w:p>
            <w:pPr>
              <w:spacing w:after="0" w:line="264"/>
              <w:jc w:val="center"/>
            </w:pPr>
            <w:r>
              <w:rPr>
                <w:b/>
                <w:bCs/>
                <w:color w:val="FFFFFF"/>
              </w:rPr>
              <w:t xml:space="preserve">5</w:t>
            </w:r>
          </w:p>
        </w:tc>
        <w:tc>
          <w:tcPr>
            <w:tcW w:type="dxa" w:w="8460"/>
            <w:tcBorders>
              <w:top w:val="single" w:color="C9D6D8" w:sz="1"/>
              <w:left w:val="single" w:color="C9D6D8" w:sz="1"/>
              <w:bottom w:val="single" w:color="C9D6D8" w:sz="1"/>
              <w:right w:val="single" w:color="C9D6D8" w:sz="1"/>
            </w:tcBorders>
            <w:shd w:fill="FFFFFF" w:val="clear"/>
            <w:tcMar>
              <w:top w:type="dxa" w:w="70"/>
              <w:left w:type="dxa" w:w="120"/>
              <w:bottom w:type="dxa" w:w="70"/>
              <w:right w:type="dxa" w:w="120"/>
            </w:tcMar>
            <w:vAlign w:val="center"/>
          </w:tcPr>
          <w:p>
            <w:pPr>
              <w:spacing w:after="0"/>
            </w:pPr>
            <w:r>
              <w:rPr>
                <w:b/>
                <w:bCs/>
              </w:rPr>
              <w:t xml:space="preserve">Exécution &amp; suivi — </w:t>
            </w:r>
            <w:r>
              <w:t xml:space="preserve">réalisation par le pôle concerné, avec suivi continu dans l’espace client.</w:t>
            </w:r>
          </w:p>
        </w:tc>
      </w:tr>
      <w:tr>
        <w:tc>
          <w:tcPr>
            <w:tcW w:type="dxa" w:w="900"/>
            <w:tcBorders>
              <w:top w:val="single" w:color="C9D6D8" w:sz="1"/>
              <w:left w:val="single" w:color="C9D6D8" w:sz="1"/>
              <w:bottom w:val="single" w:color="C9D6D8" w:sz="1"/>
              <w:right w:val="single" w:color="C9D6D8" w:sz="1"/>
            </w:tcBorders>
            <w:shd w:fill="0E7C86" w:val="clear"/>
            <w:tcMar>
              <w:top w:type="dxa" w:w="70"/>
              <w:left w:type="dxa" w:w="120"/>
              <w:bottom w:type="dxa" w:w="70"/>
              <w:right w:type="dxa" w:w="120"/>
            </w:tcMar>
            <w:vAlign w:val="center"/>
          </w:tcPr>
          <w:p>
            <w:pPr>
              <w:spacing w:after="0" w:line="264"/>
              <w:jc w:val="center"/>
            </w:pPr>
            <w:r>
              <w:rPr>
                <w:b/>
                <w:bCs/>
                <w:color w:val="FFFFFF"/>
              </w:rPr>
              <w:t xml:space="preserve">6</w:t>
            </w:r>
          </w:p>
        </w:tc>
        <w:tc>
          <w:tcPr>
            <w:tcW w:type="dxa" w:w="8460"/>
            <w:tcBorders>
              <w:top w:val="single" w:color="C9D6D8" w:sz="1"/>
              <w:left w:val="single" w:color="C9D6D8" w:sz="1"/>
              <w:bottom w:val="single" w:color="C9D6D8" w:sz="1"/>
              <w:right w:val="single" w:color="C9D6D8" w:sz="1"/>
            </w:tcBorders>
            <w:shd w:fill="F1F8F9" w:val="clear"/>
            <w:tcMar>
              <w:top w:type="dxa" w:w="70"/>
              <w:left w:type="dxa" w:w="120"/>
              <w:bottom w:type="dxa" w:w="70"/>
              <w:right w:type="dxa" w:w="120"/>
            </w:tcMar>
            <w:vAlign w:val="center"/>
          </w:tcPr>
          <w:p>
            <w:pPr>
              <w:spacing w:after="0"/>
            </w:pPr>
            <w:r>
              <w:rPr>
                <w:b/>
                <w:bCs/>
              </w:rPr>
              <w:t xml:space="preserve">Mesure des résultats — </w:t>
            </w:r>
            <w:r>
              <w:t xml:space="preserve">rapport mensuel + dashboard en direct pour prouver l’impact et ajuster.</w:t>
            </w:r>
          </w:p>
        </w:tc>
      </w:tr>
    </w:tbl>
    <w:p>
      <w:pPr>
        <w:spacing w:after="120"/>
      </w:pPr>
      <w:r>
        <w:t xml:space="preserve"/>
      </w:r>
    </w:p>
    <w:p>
      <w:pPr>
        <w:spacing w:after="120" w:line="280"/>
        <w:jc w:val="both"/>
      </w:pPr>
      <w:r>
        <w:t xml:space="preserve">Durée : au lancement, les missions sont des projets (one-shot ou par tranches) plutôt que des abonnements. Le format abonnement sera introduit en phase 2 (voir §7).</w:t>
      </w:r>
    </w:p>
    <w:p>
      <w:pPr>
        <w:pStyle w:val="Heading1"/>
      </w:pPr>
      <w:r>
        <w:t xml:space="preserve">7. Modèle économique</w:t>
      </w:r>
    </w:p>
    <w:p>
      <w:pPr>
        <w:pStyle w:val="Heading2"/>
      </w:pPr>
      <w:r>
        <w:t xml:space="preserve">7.1 Logique de facturation</w:t>
      </w:r>
    </w:p>
    <w:p>
      <w:pPr>
        <w:pStyle w:val="ListParagraph"/>
        <w:numPr>
          <w:ilvl w:val="0"/>
          <w:numId w:val="2"/>
        </w:numPr>
        <w:spacing w:after="80" w:line="276"/>
      </w:pPr>
      <w:r>
        <w:rPr>
          <w:b/>
          <w:bCs/>
        </w:rPr>
        <w:t xml:space="preserve">Phase 1 (lancement) : </w:t>
      </w:r>
      <w:r>
        <w:t xml:space="preserve">facturation par packs et services à la carte, réglés par tranches.</w:t>
      </w:r>
    </w:p>
    <w:p>
      <w:pPr>
        <w:pStyle w:val="ListParagraph"/>
        <w:numPr>
          <w:ilvl w:val="0"/>
          <w:numId w:val="2"/>
        </w:numPr>
        <w:spacing w:after="80" w:line="276"/>
      </w:pPr>
      <w:r>
        <w:rPr>
          <w:b/>
          <w:bCs/>
        </w:rPr>
        <w:t xml:space="preserve">Phase 2 : </w:t>
      </w:r>
      <w:r>
        <w:t xml:space="preserve">introduction d’un mix incluant des abonnements mensuels (retainer) pour les clients récurrents.</w:t>
      </w:r>
    </w:p>
    <w:p>
      <w:pPr>
        <w:pStyle w:val="ListParagraph"/>
        <w:numPr>
          <w:ilvl w:val="0"/>
          <w:numId w:val="2"/>
        </w:numPr>
        <w:spacing w:after="80" w:line="276"/>
      </w:pPr>
      <w:r>
        <w:rPr>
          <w:b/>
          <w:bCs/>
        </w:rPr>
        <w:t xml:space="preserve">Cas budgets serrés : </w:t>
      </w:r>
      <w:r>
        <w:t xml:space="preserve">formule au pourcentage sur le CA généré, en alternative au prix fixe.</w:t>
      </w:r>
    </w:p>
    <w:p>
      <w:pPr>
        <w:pStyle w:val="Heading2"/>
      </w:pPr>
      <w:r>
        <w:t xml:space="preserve">7.2 Répartition des revenus</w:t>
      </w:r>
    </w:p>
    <w:p>
      <w:pPr>
        <w:spacing w:after="120" w:line="280"/>
        <w:jc w:val="both"/>
      </w:pPr>
      <w:r>
        <w:t xml:space="preserve">Les associés sont rémunérés à la mission (part variable), pas en salaire fixe. La répartition de base est de 60 % pour le CEO et 40 % pour l’associé qui réalise la mission.</w:t>
      </w:r>
    </w:p>
    <w:p>
      <w:pPr>
        <w:spacing w:after="120" w:line="280"/>
        <w:jc w:val="both"/>
      </w:pPr>
      <w:r>
        <w:t xml:space="preserve">Cette clé peut évoluer vers 50/50 lorsque l’associé est de haut niveau et apporte une réelle valeur. Le CEO, en tant qu’apporteur d’affaires et décideur, conserve la part de 60 % par défaut.</w:t>
      </w:r>
    </w:p>
    <w:p>
      <w:pPr>
        <w:pBdr>
          <w:left w:val="single" w:color="E8A13A" w:sz="18" w:space="8"/>
        </w:pBdr>
        <w:shd w:fill="FFF4E5" w:val="clear"/>
        <w:spacing w:after="100" w:line="276"/>
        <w:ind w:left="120"/>
      </w:pPr>
      <w:r>
        <w:rPr>
          <w:b/>
          <w:bCs/>
          <w:color w:val="B9740A"/>
        </w:rPr>
        <w:t xml:space="preserve">À COMPLÉTER — </w:t>
      </w:r>
      <w:r>
        <w:rPr>
          <w:color w:val="7A5410"/>
        </w:rPr>
        <w:t xml:space="preserve">Formaliser la règle d’ajustement 60/40 → 50/50 : critères objectifs (ancienneté, qualité, apport de clients) qui déclenchent le passage.</w:t>
      </w:r>
    </w:p>
    <w:p>
      <w:pPr>
        <w:pStyle w:val="Heading2"/>
      </w:pPr>
      <w:r>
        <w:t xml:space="preserve">7.3 Structure de coûts</w:t>
      </w:r>
    </w:p>
    <w:p>
      <w:pPr>
        <w:spacing w:after="120" w:line="280"/>
        <w:jc w:val="both"/>
      </w:pPr>
      <w:r>
        <w:t xml:space="preserve">Le projet est lancé en parallèle des études du CEO, sans charges fixes : pas de salaires, pas de loyer. Les coûts sont essentiellement variables (outils, sous-traitance ponctuelle, budgets média refacturés).</w:t>
      </w:r>
    </w:p>
    <w:p>
      <w:pPr>
        <w:pStyle w:val="Heading1"/>
      </w:pPr>
      <w:r>
        <w:t xml:space="preserve">8. Organisation &amp; gouvernance</w:t>
      </w:r>
    </w:p>
    <w:p>
      <w:pPr>
        <w:pStyle w:val="Heading2"/>
      </w:pPr>
      <w:r>
        <w:t xml:space="preserve">8.1 Structure</w:t>
      </w:r>
    </w:p>
    <w:p>
      <w:pPr>
        <w:spacing w:after="120" w:line="280"/>
        <w:jc w:val="both"/>
      </w:pPr>
      <w:r>
        <w:t xml:space="preserve">Secritou réunit un CEO et trois associés, chacun responsable d’un pôle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9D6D8" w:sz="1"/>
              <w:left w:val="single" w:color="C9D6D8" w:sz="1"/>
              <w:bottom w:val="single" w:color="C9D6D8" w:sz="1"/>
              <w:right w:val="single" w:color="C9D6D8" w:sz="1"/>
            </w:tcBorders>
            <w:shd w:fill="0E7C86" w:val="clear"/>
            <w:tcMar>
              <w:top w:type="dxa" w:w="70"/>
              <w:left w:type="dxa" w:w="120"/>
              <w:bottom w:type="dxa" w:w="70"/>
              <w:right w:type="dxa" w:w="120"/>
            </w:tcMar>
            <w:vAlign w:val="center"/>
          </w:tcPr>
          <w:p>
            <w:pPr>
              <w:spacing w:after="0" w:line="264"/>
              <w:jc w:val="left"/>
            </w:pPr>
            <w:r>
              <w:rPr>
                <w:b/>
                <w:bCs/>
                <w:color w:val="FFFFFF"/>
              </w:rPr>
              <w:t xml:space="preserve">Rôle</w:t>
            </w:r>
          </w:p>
        </w:tc>
        <w:tc>
          <w:tcPr>
            <w:tcW w:type="dxa" w:w="5360"/>
            <w:tcBorders>
              <w:top w:val="single" w:color="C9D6D8" w:sz="1"/>
              <w:left w:val="single" w:color="C9D6D8" w:sz="1"/>
              <w:bottom w:val="single" w:color="C9D6D8" w:sz="1"/>
              <w:right w:val="single" w:color="C9D6D8" w:sz="1"/>
            </w:tcBorders>
            <w:shd w:fill="0E7C86" w:val="clear"/>
            <w:tcMar>
              <w:top w:type="dxa" w:w="70"/>
              <w:left w:type="dxa" w:w="120"/>
              <w:bottom w:type="dxa" w:w="70"/>
              <w:right w:type="dxa" w:w="120"/>
            </w:tcMar>
            <w:vAlign w:val="center"/>
          </w:tcPr>
          <w:p>
            <w:pPr>
              <w:spacing w:after="0" w:line="264"/>
              <w:jc w:val="left"/>
            </w:pPr>
            <w:r>
              <w:rPr>
                <w:b/>
                <w:bCs/>
                <w:color w:val="FFFFFF"/>
              </w:rPr>
              <w:t xml:space="preserve">Responsabilité</w:t>
            </w:r>
          </w:p>
        </w:tc>
      </w:tr>
      <w:tr>
        <w:tc>
          <w:tcPr>
            <w:tcW w:type="dxa" w:w="4000"/>
            <w:tcBorders>
              <w:top w:val="single" w:color="C9D6D8" w:sz="1"/>
              <w:left w:val="single" w:color="C9D6D8" w:sz="1"/>
              <w:bottom w:val="single" w:color="C9D6D8" w:sz="1"/>
              <w:right w:val="single" w:color="C9D6D8" w:sz="1"/>
            </w:tcBorders>
            <w:shd w:fill="F1F8F9" w:val="clear"/>
            <w:tcMar>
              <w:top w:type="dxa" w:w="70"/>
              <w:left w:type="dxa" w:w="120"/>
              <w:bottom w:type="dxa" w:w="70"/>
              <w:right w:type="dxa" w:w="120"/>
            </w:tcMar>
            <w:vAlign w:val="center"/>
          </w:tcPr>
          <w:p>
            <w:pPr>
              <w:spacing w:after="0" w:line="264"/>
              <w:jc w:val="left"/>
            </w:pPr>
            <w:r>
              <w:rPr>
                <w:b/>
                <w:bCs/>
              </w:rPr>
              <w:t xml:space="preserve">CEO (toi)</w:t>
            </w:r>
          </w:p>
        </w:tc>
        <w:tc>
          <w:tcPr>
            <w:tcW w:type="dxa" w:w="5360"/>
            <w:tcBorders>
              <w:top w:val="single" w:color="C9D6D8" w:sz="1"/>
              <w:left w:val="single" w:color="C9D6D8" w:sz="1"/>
              <w:bottom w:val="single" w:color="C9D6D8" w:sz="1"/>
              <w:right w:val="single" w:color="C9D6D8" w:sz="1"/>
            </w:tcBorders>
            <w:shd w:fill="F1F8F9" w:val="clear"/>
            <w:tcMar>
              <w:top w:type="dxa" w:w="70"/>
              <w:left w:type="dxa" w:w="120"/>
              <w:bottom w:type="dxa" w:w="70"/>
              <w:right w:type="dxa" w:w="120"/>
            </w:tcMar>
            <w:vAlign w:val="center"/>
          </w:tcPr>
          <w:p>
            <w:pPr>
              <w:spacing w:after="0" w:line="264"/>
              <w:jc w:val="left"/>
            </w:pPr>
            <w:r>
              <w:rPr>
                <w:b w:val="false"/>
                <w:bCs w:val="false"/>
              </w:rPr>
              <w:t xml:space="preserve">Apporte et oriente les clients, décide, coordonne les missions</w:t>
            </w:r>
          </w:p>
        </w:tc>
      </w:tr>
      <w:tr>
        <w:tc>
          <w:tcPr>
            <w:tcW w:type="dxa" w:w="4000"/>
            <w:tcBorders>
              <w:top w:val="single" w:color="C9D6D8" w:sz="1"/>
              <w:left w:val="single" w:color="C9D6D8" w:sz="1"/>
              <w:bottom w:val="single" w:color="C9D6D8" w:sz="1"/>
              <w:right w:val="single" w:color="C9D6D8" w:sz="1"/>
            </w:tcBorders>
            <w:shd w:fill="FFFFFF" w:val="clear"/>
            <w:tcMar>
              <w:top w:type="dxa" w:w="70"/>
              <w:left w:type="dxa" w:w="120"/>
              <w:bottom w:type="dxa" w:w="70"/>
              <w:right w:type="dxa" w:w="120"/>
            </w:tcMar>
            <w:vAlign w:val="center"/>
          </w:tcPr>
          <w:p>
            <w:pPr>
              <w:spacing w:after="0" w:line="264"/>
              <w:jc w:val="left"/>
            </w:pPr>
            <w:r>
              <w:rPr>
                <w:b/>
                <w:bCs/>
              </w:rPr>
              <w:t xml:space="preserve">Responsable Technologie</w:t>
            </w:r>
          </w:p>
        </w:tc>
        <w:tc>
          <w:tcPr>
            <w:tcW w:type="dxa" w:w="5360"/>
            <w:tcBorders>
              <w:top w:val="single" w:color="C9D6D8" w:sz="1"/>
              <w:left w:val="single" w:color="C9D6D8" w:sz="1"/>
              <w:bottom w:val="single" w:color="C9D6D8" w:sz="1"/>
              <w:right w:val="single" w:color="C9D6D8" w:sz="1"/>
            </w:tcBorders>
            <w:shd w:fill="FFFFFF" w:val="clear"/>
            <w:tcMar>
              <w:top w:type="dxa" w:w="70"/>
              <w:left w:type="dxa" w:w="120"/>
              <w:bottom w:type="dxa" w:w="70"/>
              <w:right w:type="dxa" w:w="120"/>
            </w:tcMar>
            <w:vAlign w:val="center"/>
          </w:tcPr>
          <w:p>
            <w:pPr>
              <w:spacing w:after="0" w:line="264"/>
              <w:jc w:val="left"/>
            </w:pPr>
            <w:r>
              <w:rPr>
                <w:b w:val="false"/>
                <w:bCs w:val="false"/>
              </w:rPr>
              <w:t xml:space="preserve">Pôle Technologie (et IA &amp; Automatisation)</w:t>
            </w:r>
          </w:p>
        </w:tc>
      </w:tr>
      <w:tr>
        <w:tc>
          <w:tcPr>
            <w:tcW w:type="dxa" w:w="4000"/>
            <w:tcBorders>
              <w:top w:val="single" w:color="C9D6D8" w:sz="1"/>
              <w:left w:val="single" w:color="C9D6D8" w:sz="1"/>
              <w:bottom w:val="single" w:color="C9D6D8" w:sz="1"/>
              <w:right w:val="single" w:color="C9D6D8" w:sz="1"/>
            </w:tcBorders>
            <w:shd w:fill="F1F8F9" w:val="clear"/>
            <w:tcMar>
              <w:top w:type="dxa" w:w="70"/>
              <w:left w:type="dxa" w:w="120"/>
              <w:bottom w:type="dxa" w:w="70"/>
              <w:right w:type="dxa" w:w="120"/>
            </w:tcMar>
            <w:vAlign w:val="center"/>
          </w:tcPr>
          <w:p>
            <w:pPr>
              <w:spacing w:after="0" w:line="264"/>
              <w:jc w:val="left"/>
            </w:pPr>
            <w:r>
              <w:rPr>
                <w:b/>
                <w:bCs/>
              </w:rPr>
              <w:t xml:space="preserve">Responsable Management &amp; Chiffres</w:t>
            </w:r>
          </w:p>
        </w:tc>
        <w:tc>
          <w:tcPr>
            <w:tcW w:type="dxa" w:w="5360"/>
            <w:tcBorders>
              <w:top w:val="single" w:color="C9D6D8" w:sz="1"/>
              <w:left w:val="single" w:color="C9D6D8" w:sz="1"/>
              <w:bottom w:val="single" w:color="C9D6D8" w:sz="1"/>
              <w:right w:val="single" w:color="C9D6D8" w:sz="1"/>
            </w:tcBorders>
            <w:shd w:fill="F1F8F9" w:val="clear"/>
            <w:tcMar>
              <w:top w:type="dxa" w:w="70"/>
              <w:left w:type="dxa" w:w="120"/>
              <w:bottom w:type="dxa" w:w="70"/>
              <w:right w:type="dxa" w:w="120"/>
            </w:tcMar>
            <w:vAlign w:val="center"/>
          </w:tcPr>
          <w:p>
            <w:pPr>
              <w:spacing w:after="0" w:line="264"/>
              <w:jc w:val="left"/>
            </w:pPr>
            <w:r>
              <w:rPr>
                <w:b w:val="false"/>
                <w:bCs w:val="false"/>
              </w:rPr>
              <w:t xml:space="preserve">Pôle Management &amp; Performance</w:t>
            </w:r>
          </w:p>
        </w:tc>
      </w:tr>
      <w:tr>
        <w:tc>
          <w:tcPr>
            <w:tcW w:type="dxa" w:w="4000"/>
            <w:tcBorders>
              <w:top w:val="single" w:color="C9D6D8" w:sz="1"/>
              <w:left w:val="single" w:color="C9D6D8" w:sz="1"/>
              <w:bottom w:val="single" w:color="C9D6D8" w:sz="1"/>
              <w:right w:val="single" w:color="C9D6D8" w:sz="1"/>
            </w:tcBorders>
            <w:shd w:fill="FFFFFF" w:val="clear"/>
            <w:tcMar>
              <w:top w:type="dxa" w:w="70"/>
              <w:left w:type="dxa" w:w="120"/>
              <w:bottom w:type="dxa" w:w="70"/>
              <w:right w:type="dxa" w:w="120"/>
            </w:tcMar>
            <w:vAlign w:val="center"/>
          </w:tcPr>
          <w:p>
            <w:pPr>
              <w:spacing w:after="0" w:line="264"/>
              <w:jc w:val="left"/>
            </w:pPr>
            <w:r>
              <w:rPr>
                <w:b/>
                <w:bCs/>
              </w:rPr>
              <w:t xml:space="preserve">Responsable Marketing</w:t>
            </w:r>
          </w:p>
        </w:tc>
        <w:tc>
          <w:tcPr>
            <w:tcW w:type="dxa" w:w="5360"/>
            <w:tcBorders>
              <w:top w:val="single" w:color="C9D6D8" w:sz="1"/>
              <w:left w:val="single" w:color="C9D6D8" w:sz="1"/>
              <w:bottom w:val="single" w:color="C9D6D8" w:sz="1"/>
              <w:right w:val="single" w:color="C9D6D8" w:sz="1"/>
            </w:tcBorders>
            <w:shd w:fill="FFFFFF" w:val="clear"/>
            <w:tcMar>
              <w:top w:type="dxa" w:w="70"/>
              <w:left w:type="dxa" w:w="120"/>
              <w:bottom w:type="dxa" w:w="70"/>
              <w:right w:type="dxa" w:w="120"/>
            </w:tcMar>
            <w:vAlign w:val="center"/>
          </w:tcPr>
          <w:p>
            <w:pPr>
              <w:spacing w:after="0" w:line="264"/>
              <w:jc w:val="left"/>
            </w:pPr>
            <w:r>
              <w:rPr>
                <w:b w:val="false"/>
                <w:bCs w:val="false"/>
              </w:rPr>
              <w:t xml:space="preserve">Pôle Croissance digitale</w:t>
            </w:r>
          </w:p>
        </w:tc>
      </w:tr>
    </w:tbl>
    <w:p>
      <w:pPr>
        <w:spacing w:after="120"/>
      </w:pPr>
      <w:r>
        <w:t xml:space="preserve"/>
      </w:r>
    </w:p>
    <w:p>
      <w:pPr>
        <w:spacing w:after="120" w:line="280"/>
        <w:jc w:val="both"/>
      </w:pPr>
      <w:r>
        <w:t xml:space="preserve">Chaque associé est responsable des projets de son pôle, de bout en bout.</w:t>
      </w:r>
    </w:p>
    <w:p>
      <w:pPr>
        <w:pStyle w:val="Heading2"/>
      </w:pPr>
      <w:r>
        <w:t xml:space="preserve">8.2 Clients multi-pôles</w:t>
      </w:r>
    </w:p>
    <w:p>
      <w:pPr>
        <w:spacing w:after="120" w:line="280"/>
        <w:jc w:val="both"/>
      </w:pPr>
      <w:r>
        <w:t xml:space="preserve">Lorsqu’un client mobilise plusieurs pôles, la coordination est assurée par le CEO, avec le chef de service de chaque pôle concerné.</w:t>
      </w:r>
    </w:p>
    <w:p>
      <w:pPr>
        <w:pStyle w:val="Heading2"/>
      </w:pPr>
      <w:r>
        <w:t xml:space="preserve">8.3 Prise de décision</w:t>
      </w:r>
    </w:p>
    <w:p>
      <w:pPr>
        <w:spacing w:after="120" w:line="280"/>
        <w:jc w:val="both"/>
      </w:pPr>
      <w:r>
        <w:t xml:space="preserve">Les grandes orientations sont discutées en réunion avec les trois associés ; la décision finale revient au CEO.</w:t>
      </w:r>
    </w:p>
    <w:p>
      <w:pPr>
        <w:pStyle w:val="Heading2"/>
      </w:pPr>
      <w:r>
        <w:t xml:space="preserve">8.4 Statut juridique</w:t>
      </w:r>
    </w:p>
    <w:p>
      <w:pPr>
        <w:pBdr>
          <w:left w:val="single" w:color="E8A13A" w:sz="18" w:space="8"/>
        </w:pBdr>
        <w:shd w:fill="FFF4E5" w:val="clear"/>
        <w:spacing w:after="100" w:line="276"/>
        <w:ind w:left="120"/>
      </w:pPr>
      <w:r>
        <w:rPr>
          <w:b/>
          <w:bCs/>
          <w:color w:val="B9740A"/>
        </w:rPr>
        <w:t xml:space="preserve">À COMPLÉTER — </w:t>
      </w:r>
      <w:r>
        <w:rPr>
          <w:color w:val="7A5410"/>
        </w:rPr>
        <w:t xml:space="preserve">Statut juridique laissé ouvert à ce stade (informel au démarrage, puis auto-entrepreneur / SUARL / SARL selon l’évolution). À trancher avant la facturation formelle.</w:t>
      </w:r>
    </w:p>
    <w:p>
      <w:pPr>
        <w:pStyle w:val="Heading1"/>
      </w:pPr>
      <w:r>
        <w:t xml:space="preserve">9. Identité de marque &amp; communication</w:t>
      </w:r>
    </w:p>
    <w:p>
      <w:pPr>
        <w:pStyle w:val="ListParagraph"/>
        <w:numPr>
          <w:ilvl w:val="0"/>
          <w:numId w:val="2"/>
        </w:numPr>
        <w:spacing w:after="80" w:line="276"/>
      </w:pPr>
      <w:r>
        <w:rPr>
          <w:b/>
          <w:bCs/>
        </w:rPr>
        <w:t xml:space="preserve">Nom : </w:t>
      </w:r>
      <w:r>
        <w:t xml:space="preserve">Secritou (dérivé de « secret »).</w:t>
      </w:r>
    </w:p>
    <w:p>
      <w:pPr>
        <w:pStyle w:val="ListParagraph"/>
        <w:numPr>
          <w:ilvl w:val="0"/>
          <w:numId w:val="2"/>
        </w:numPr>
        <w:spacing w:after="80" w:line="276"/>
      </w:pPr>
      <w:r>
        <w:rPr>
          <w:b/>
          <w:bCs/>
        </w:rPr>
        <w:t xml:space="preserve">Logo : </w:t>
      </w:r>
      <w:r>
        <w:t xml:space="preserve">déjà créé.</w:t>
      </w:r>
    </w:p>
    <w:p>
      <w:pPr>
        <w:pStyle w:val="ListParagraph"/>
        <w:numPr>
          <w:ilvl w:val="0"/>
          <w:numId w:val="2"/>
        </w:numPr>
        <w:spacing w:after="80" w:line="276"/>
      </w:pPr>
      <w:r>
        <w:rPr>
          <w:b/>
          <w:bCs/>
        </w:rPr>
        <w:t xml:space="preserve">Ton de marque : </w:t>
      </w:r>
      <w:r>
        <w:t xml:space="preserve">jeune, dynamique, professionnel et accessible.</w:t>
      </w:r>
    </w:p>
    <w:p>
      <w:pPr>
        <w:pStyle w:val="ListParagraph"/>
        <w:numPr>
          <w:ilvl w:val="0"/>
          <w:numId w:val="2"/>
        </w:numPr>
        <w:spacing w:after="80" w:line="276"/>
      </w:pPr>
      <w:r>
        <w:rPr>
          <w:b/>
          <w:bCs/>
        </w:rPr>
        <w:t xml:space="preserve">Langues : </w:t>
      </w:r>
      <w:r>
        <w:t xml:space="preserve">français en principal, anglais disponible.</w:t>
      </w:r>
    </w:p>
    <w:p>
      <w:pPr>
        <w:pStyle w:val="ListParagraph"/>
        <w:numPr>
          <w:ilvl w:val="0"/>
          <w:numId w:val="2"/>
        </w:numPr>
        <w:spacing w:after="80" w:line="276"/>
      </w:pPr>
      <w:r>
        <w:rPr>
          <w:b/>
          <w:bCs/>
        </w:rPr>
        <w:t xml:space="preserve">E-mail / domaine : </w:t>
      </w:r>
      <w:r>
        <w:t xml:space="preserve">@secritou.tn.</w:t>
      </w:r>
    </w:p>
    <w:p>
      <w:pPr>
        <w:pStyle w:val="ListParagraph"/>
        <w:numPr>
          <w:ilvl w:val="0"/>
          <w:numId w:val="2"/>
        </w:numPr>
        <w:spacing w:after="80" w:line="276"/>
      </w:pPr>
      <w:r>
        <w:rPr>
          <w:b/>
          <w:bCs/>
        </w:rPr>
        <w:t xml:space="preserve">Canaux prioritaires : </w:t>
      </w:r>
      <w:r>
        <w:t xml:space="preserve">LinkedIn et Instagram (comptes à créer et à animer).</w:t>
      </w:r>
    </w:p>
    <w:p>
      <w:pPr>
        <w:pBdr>
          <w:left w:val="single" w:color="E8A13A" w:sz="18" w:space="8"/>
        </w:pBdr>
        <w:shd w:fill="FFF4E5" w:val="clear"/>
        <w:spacing w:after="100" w:line="276"/>
        <w:ind w:left="120"/>
      </w:pPr>
      <w:r>
        <w:rPr>
          <w:b/>
          <w:bCs/>
          <w:color w:val="B9740A"/>
        </w:rPr>
        <w:t xml:space="preserve">À COMPLÉTER — </w:t>
      </w:r>
      <w:r>
        <w:rPr>
          <w:color w:val="7A5410"/>
        </w:rPr>
        <w:t xml:space="preserve">Créer le contenu des pages présentant les offres et les prix. Préalable : réaliser un benchmark des devis des concurrents pour positionner les tarifs.</w:t>
      </w:r>
    </w:p>
    <w:p>
      <w:pPr>
        <w:pBdr>
          <w:left w:val="single" w:color="E8A13A" w:sz="18" w:space="8"/>
        </w:pBdr>
        <w:shd w:fill="FFF4E5" w:val="clear"/>
        <w:spacing w:after="100" w:line="276"/>
        <w:ind w:left="120"/>
      </w:pPr>
      <w:r>
        <w:rPr>
          <w:b/>
          <w:bCs/>
          <w:color w:val="B9740A"/>
        </w:rPr>
        <w:t xml:space="preserve">À COMPLÉTER — </w:t>
      </w:r>
      <w:r>
        <w:rPr>
          <w:color w:val="7A5410"/>
        </w:rPr>
        <w:t xml:space="preserve">Décider de la charte (couleurs, typographies) cohérente avec le logo et le ton « jeune, dynamique, professionnel, accessible ».</w:t>
      </w:r>
    </w:p>
    <w:p>
      <w:pPr>
        <w:pStyle w:val="Heading1"/>
      </w:pPr>
      <w:r>
        <w:t xml:space="preserve">10. Outils &amp; infrastructure</w:t>
      </w:r>
    </w:p>
    <w:p>
      <w:pPr>
        <w:spacing w:after="120" w:line="280"/>
        <w:jc w:val="both"/>
      </w:pPr>
      <w:r>
        <w:t xml:space="preserve">Au démarrage, le suivi se fait sur Google Sheets, le temps de structurer des outils dédiés.</w:t>
      </w:r>
    </w:p>
    <w:p>
      <w:pPr>
        <w:pStyle w:val="ListParagraph"/>
        <w:numPr>
          <w:ilvl w:val="0"/>
          <w:numId w:val="2"/>
        </w:numPr>
        <w:spacing w:after="80" w:line="276"/>
      </w:pPr>
      <w:r>
        <w:rPr>
          <w:b/>
          <w:bCs/>
        </w:rPr>
        <w:t xml:space="preserve">Aujourd’hui : </w:t>
      </w:r>
      <w:r>
        <w:t xml:space="preserve">Google Sheets (suivi clients, projets, finances).</w:t>
      </w:r>
    </w:p>
    <w:p>
      <w:pPr>
        <w:pStyle w:val="ListParagraph"/>
        <w:numPr>
          <w:ilvl w:val="0"/>
          <w:numId w:val="2"/>
        </w:numPr>
        <w:spacing w:after="80" w:line="276"/>
      </w:pPr>
      <w:r>
        <w:rPr>
          <w:b/>
          <w:bCs/>
        </w:rPr>
        <w:t xml:space="preserve">Site de l’agence : </w:t>
      </w:r>
      <w:r>
        <w:t xml:space="preserve">voir le cahier des charges dédié (document séparé).</w:t>
      </w:r>
    </w:p>
    <w:p>
      <w:pPr>
        <w:pBdr>
          <w:left w:val="single" w:color="E8A13A" w:sz="18" w:space="8"/>
        </w:pBdr>
        <w:shd w:fill="FFF4E5" w:val="clear"/>
        <w:spacing w:after="100" w:line="276"/>
        <w:ind w:left="120"/>
      </w:pPr>
      <w:r>
        <w:rPr>
          <w:b/>
          <w:bCs/>
          <w:color w:val="B9740A"/>
        </w:rPr>
        <w:t xml:space="preserve">À COMPLÉTER — </w:t>
      </w:r>
      <w:r>
        <w:rPr>
          <w:color w:val="7A5410"/>
        </w:rPr>
        <w:t xml:space="preserve">Choisir, en phase 2, les outils de CRM, de gestion de projet, de facturation et de reporting (selon le volume de clients).</w:t>
      </w:r>
    </w:p>
    <w:p>
      <w:pPr>
        <w:pStyle w:val="Heading1"/>
      </w:pPr>
      <w:r>
        <w:t xml:space="preserve">11. Roadmap de lancement</w:t>
      </w:r>
    </w:p>
    <w:p>
      <w:pPr>
        <w:spacing w:after="120" w:line="280"/>
        <w:jc w:val="both"/>
      </w:pPr>
      <w:r>
        <w:t xml:space="preserve">Lancement visé : dès que possible. Premier jalon : 3 clients payants dans les 2 prochains mois.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C9D6D8" w:sz="1"/>
              <w:left w:val="single" w:color="C9D6D8" w:sz="1"/>
              <w:bottom w:val="single" w:color="C9D6D8" w:sz="1"/>
              <w:right w:val="single" w:color="C9D6D8" w:sz="1"/>
            </w:tcBorders>
            <w:shd w:fill="0E7C86" w:val="clear"/>
            <w:tcMar>
              <w:top w:type="dxa" w:w="70"/>
              <w:left w:type="dxa" w:w="120"/>
              <w:bottom w:type="dxa" w:w="70"/>
              <w:right w:type="dxa" w:w="120"/>
            </w:tcMar>
            <w:vAlign w:val="center"/>
          </w:tcPr>
          <w:p>
            <w:pPr>
              <w:spacing w:after="0" w:line="264"/>
              <w:jc w:val="left"/>
            </w:pPr>
            <w:r>
              <w:rPr>
                <w:b/>
                <w:bCs/>
                <w:color w:val="FFFFFF"/>
              </w:rPr>
              <w:t xml:space="preserve">Phase</w:t>
            </w:r>
          </w:p>
        </w:tc>
        <w:tc>
          <w:tcPr>
            <w:tcW w:type="dxa" w:w="4560"/>
            <w:tcBorders>
              <w:top w:val="single" w:color="C9D6D8" w:sz="1"/>
              <w:left w:val="single" w:color="C9D6D8" w:sz="1"/>
              <w:bottom w:val="single" w:color="C9D6D8" w:sz="1"/>
              <w:right w:val="single" w:color="C9D6D8" w:sz="1"/>
            </w:tcBorders>
            <w:shd w:fill="0E7C86" w:val="clear"/>
            <w:tcMar>
              <w:top w:type="dxa" w:w="70"/>
              <w:left w:type="dxa" w:w="120"/>
              <w:bottom w:type="dxa" w:w="70"/>
              <w:right w:type="dxa" w:w="120"/>
            </w:tcMar>
            <w:vAlign w:val="center"/>
          </w:tcPr>
          <w:p>
            <w:pPr>
              <w:spacing w:after="0" w:line="264"/>
              <w:jc w:val="left"/>
            </w:pPr>
            <w:r>
              <w:rPr>
                <w:b/>
                <w:bCs/>
                <w:color w:val="FFFFFF"/>
              </w:rPr>
              <w:t xml:space="preserve">Actions</w:t>
            </w:r>
          </w:p>
        </w:tc>
        <w:tc>
          <w:tcPr>
            <w:tcW w:type="dxa" w:w="2600"/>
            <w:tcBorders>
              <w:top w:val="single" w:color="C9D6D8" w:sz="1"/>
              <w:left w:val="single" w:color="C9D6D8" w:sz="1"/>
              <w:bottom w:val="single" w:color="C9D6D8" w:sz="1"/>
              <w:right w:val="single" w:color="C9D6D8" w:sz="1"/>
            </w:tcBorders>
            <w:shd w:fill="0E7C86" w:val="clear"/>
            <w:tcMar>
              <w:top w:type="dxa" w:w="70"/>
              <w:left w:type="dxa" w:w="120"/>
              <w:bottom w:type="dxa" w:w="70"/>
              <w:right w:type="dxa" w:w="120"/>
            </w:tcMar>
            <w:vAlign w:val="center"/>
          </w:tcPr>
          <w:p>
            <w:pPr>
              <w:spacing w:after="0" w:line="264"/>
              <w:jc w:val="left"/>
            </w:pPr>
            <w:r>
              <w:rPr>
                <w:b/>
                <w:bCs/>
                <w:color w:val="FFFFFF"/>
              </w:rPr>
              <w:t xml:space="preserve">Objectif</w:t>
            </w:r>
          </w:p>
        </w:tc>
      </w:tr>
      <w:tr>
        <w:tc>
          <w:tcPr>
            <w:tcW w:type="dxa" w:w="2200"/>
            <w:tcBorders>
              <w:top w:val="single" w:color="C9D6D8" w:sz="1"/>
              <w:left w:val="single" w:color="C9D6D8" w:sz="1"/>
              <w:bottom w:val="single" w:color="C9D6D8" w:sz="1"/>
              <w:right w:val="single" w:color="C9D6D8" w:sz="1"/>
            </w:tcBorders>
            <w:shd w:fill="F1F8F9" w:val="clear"/>
            <w:tcMar>
              <w:top w:type="dxa" w:w="70"/>
              <w:left w:type="dxa" w:w="120"/>
              <w:bottom w:type="dxa" w:w="70"/>
              <w:right w:type="dxa" w:w="120"/>
            </w:tcMar>
            <w:vAlign w:val="center"/>
          </w:tcPr>
          <w:p>
            <w:pPr>
              <w:spacing w:after="0" w:line="264"/>
              <w:jc w:val="left"/>
            </w:pPr>
            <w:r>
              <w:rPr>
                <w:b/>
                <w:bCs/>
              </w:rPr>
              <w:t xml:space="preserve">Préparation</w:t>
            </w:r>
          </w:p>
        </w:tc>
        <w:tc>
          <w:tcPr>
            <w:tcW w:type="dxa" w:w="4560"/>
            <w:tcBorders>
              <w:top w:val="single" w:color="C9D6D8" w:sz="1"/>
              <w:left w:val="single" w:color="C9D6D8" w:sz="1"/>
              <w:bottom w:val="single" w:color="C9D6D8" w:sz="1"/>
              <w:right w:val="single" w:color="C9D6D8" w:sz="1"/>
            </w:tcBorders>
            <w:shd w:fill="FFFFFF" w:val="clear"/>
            <w:tcMar>
              <w:top w:type="dxa" w:w="70"/>
              <w:left w:type="dxa" w:w="120"/>
              <w:bottom w:type="dxa" w:w="70"/>
              <w:right w:type="dxa" w:w="120"/>
            </w:tcMar>
            <w:vAlign w:val="center"/>
          </w:tcPr>
          <w:p>
            <w:pPr>
              <w:spacing w:after="0" w:line="264"/>
              <w:jc w:val="left"/>
            </w:pPr>
            <w:r>
              <w:rPr>
                <w:b w:val="false"/>
                <w:bCs w:val="false"/>
              </w:rPr>
              <w:t xml:space="preserve">Créer les comptes réseaux, rédiger les pages offres, benchmark prix, confirmer les associés</w:t>
            </w:r>
          </w:p>
        </w:tc>
        <w:tc>
          <w:tcPr>
            <w:tcW w:type="dxa" w:w="2600"/>
            <w:tcBorders>
              <w:top w:val="single" w:color="C9D6D8" w:sz="1"/>
              <w:left w:val="single" w:color="C9D6D8" w:sz="1"/>
              <w:bottom w:val="single" w:color="C9D6D8" w:sz="1"/>
              <w:right w:val="single" w:color="C9D6D8" w:sz="1"/>
            </w:tcBorders>
            <w:shd w:fill="F1F8F9" w:val="clear"/>
            <w:tcMar>
              <w:top w:type="dxa" w:w="70"/>
              <w:left w:type="dxa" w:w="120"/>
              <w:bottom w:type="dxa" w:w="70"/>
              <w:right w:type="dxa" w:w="120"/>
            </w:tcMar>
            <w:vAlign w:val="center"/>
          </w:tcPr>
          <w:p>
            <w:pPr>
              <w:spacing w:after="0" w:line="264"/>
              <w:jc w:val="left"/>
            </w:pPr>
            <w:r>
              <w:rPr>
                <w:b w:val="false"/>
                <w:bCs w:val="false"/>
              </w:rPr>
              <w:t xml:space="preserve">Être prêt à vendre</w:t>
            </w:r>
          </w:p>
        </w:tc>
      </w:tr>
      <w:tr>
        <w:tc>
          <w:tcPr>
            <w:tcW w:type="dxa" w:w="2200"/>
            <w:tcBorders>
              <w:top w:val="single" w:color="C9D6D8" w:sz="1"/>
              <w:left w:val="single" w:color="C9D6D8" w:sz="1"/>
              <w:bottom w:val="single" w:color="C9D6D8" w:sz="1"/>
              <w:right w:val="single" w:color="C9D6D8" w:sz="1"/>
            </w:tcBorders>
            <w:shd w:fill="FFFFFF" w:val="clear"/>
            <w:tcMar>
              <w:top w:type="dxa" w:w="70"/>
              <w:left w:type="dxa" w:w="120"/>
              <w:bottom w:type="dxa" w:w="70"/>
              <w:right w:type="dxa" w:w="120"/>
            </w:tcMar>
            <w:vAlign w:val="center"/>
          </w:tcPr>
          <w:p>
            <w:pPr>
              <w:spacing w:after="0" w:line="264"/>
              <w:jc w:val="left"/>
            </w:pPr>
            <w:r>
              <w:rPr>
                <w:b/>
                <w:bCs/>
              </w:rPr>
              <w:t xml:space="preserve">Lancement</w:t>
            </w:r>
          </w:p>
        </w:tc>
        <w:tc>
          <w:tcPr>
            <w:tcW w:type="dxa" w:w="4560"/>
            <w:tcBorders>
              <w:top w:val="single" w:color="C9D6D8" w:sz="1"/>
              <w:left w:val="single" w:color="C9D6D8" w:sz="1"/>
              <w:bottom w:val="single" w:color="C9D6D8" w:sz="1"/>
              <w:right w:val="single" w:color="C9D6D8" w:sz="1"/>
            </w:tcBorders>
            <w:shd w:fill="FFFFFF" w:val="clear"/>
            <w:tcMar>
              <w:top w:type="dxa" w:w="70"/>
              <w:left w:type="dxa" w:w="120"/>
              <w:bottom w:type="dxa" w:w="70"/>
              <w:right w:type="dxa" w:w="120"/>
            </w:tcMar>
            <w:vAlign w:val="center"/>
          </w:tcPr>
          <w:p>
            <w:pPr>
              <w:spacing w:after="0" w:line="264"/>
              <w:jc w:val="left"/>
            </w:pPr>
            <w:r>
              <w:rPr>
                <w:b w:val="false"/>
                <w:bCs w:val="false"/>
              </w:rPr>
              <w:t xml:space="preserve">Publier, lancer le site vitrine, ouvrir la prise de RDV</w:t>
            </w:r>
          </w:p>
        </w:tc>
        <w:tc>
          <w:tcPr>
            <w:tcW w:type="dxa" w:w="2600"/>
            <w:tcBorders>
              <w:top w:val="single" w:color="C9D6D8" w:sz="1"/>
              <w:left w:val="single" w:color="C9D6D8" w:sz="1"/>
              <w:bottom w:val="single" w:color="C9D6D8" w:sz="1"/>
              <w:right w:val="single" w:color="C9D6D8" w:sz="1"/>
            </w:tcBorders>
            <w:shd w:fill="FFFFFF" w:val="clear"/>
            <w:tcMar>
              <w:top w:type="dxa" w:w="70"/>
              <w:left w:type="dxa" w:w="120"/>
              <w:bottom w:type="dxa" w:w="70"/>
              <w:right w:type="dxa" w:w="120"/>
            </w:tcMar>
            <w:vAlign w:val="center"/>
          </w:tcPr>
          <w:p>
            <w:pPr>
              <w:spacing w:after="0" w:line="264"/>
              <w:jc w:val="left"/>
            </w:pPr>
            <w:r>
              <w:rPr>
                <w:b w:val="false"/>
                <w:bCs w:val="false"/>
              </w:rPr>
              <w:t xml:space="preserve">Générer les premiers leads</w:t>
            </w:r>
          </w:p>
        </w:tc>
      </w:tr>
      <w:tr>
        <w:tc>
          <w:tcPr>
            <w:tcW w:type="dxa" w:w="2200"/>
            <w:tcBorders>
              <w:top w:val="single" w:color="C9D6D8" w:sz="1"/>
              <w:left w:val="single" w:color="C9D6D8" w:sz="1"/>
              <w:bottom w:val="single" w:color="C9D6D8" w:sz="1"/>
              <w:right w:val="single" w:color="C9D6D8" w:sz="1"/>
            </w:tcBorders>
            <w:shd w:fill="F1F8F9" w:val="clear"/>
            <w:tcMar>
              <w:top w:type="dxa" w:w="70"/>
              <w:left w:type="dxa" w:w="120"/>
              <w:bottom w:type="dxa" w:w="70"/>
              <w:right w:type="dxa" w:w="120"/>
            </w:tcMar>
            <w:vAlign w:val="center"/>
          </w:tcPr>
          <w:p>
            <w:pPr>
              <w:spacing w:after="0" w:line="264"/>
              <w:jc w:val="left"/>
            </w:pPr>
            <w:r>
              <w:rPr>
                <w:b/>
                <w:bCs/>
              </w:rPr>
              <w:t xml:space="preserve">Acquisition</w:t>
            </w:r>
          </w:p>
        </w:tc>
        <w:tc>
          <w:tcPr>
            <w:tcW w:type="dxa" w:w="4560"/>
            <w:tcBorders>
              <w:top w:val="single" w:color="C9D6D8" w:sz="1"/>
              <w:left w:val="single" w:color="C9D6D8" w:sz="1"/>
              <w:bottom w:val="single" w:color="C9D6D8" w:sz="1"/>
              <w:right w:val="single" w:color="C9D6D8" w:sz="1"/>
            </w:tcBorders>
            <w:shd w:fill="FFFFFF" w:val="clear"/>
            <w:tcMar>
              <w:top w:type="dxa" w:w="70"/>
              <w:left w:type="dxa" w:w="120"/>
              <w:bottom w:type="dxa" w:w="70"/>
              <w:right w:type="dxa" w:w="120"/>
            </w:tcMar>
            <w:vAlign w:val="center"/>
          </w:tcPr>
          <w:p>
            <w:pPr>
              <w:spacing w:after="0" w:line="264"/>
              <w:jc w:val="left"/>
            </w:pPr>
            <w:r>
              <w:rPr>
                <w:b w:val="false"/>
                <w:bCs w:val="false"/>
              </w:rPr>
              <w:t xml:space="preserve">Convertir les RDV, livrer les premières missions, soigner les preuves de résultat</w:t>
            </w:r>
          </w:p>
        </w:tc>
        <w:tc>
          <w:tcPr>
            <w:tcW w:type="dxa" w:w="2600"/>
            <w:tcBorders>
              <w:top w:val="single" w:color="C9D6D8" w:sz="1"/>
              <w:left w:val="single" w:color="C9D6D8" w:sz="1"/>
              <w:bottom w:val="single" w:color="C9D6D8" w:sz="1"/>
              <w:right w:val="single" w:color="C9D6D8" w:sz="1"/>
            </w:tcBorders>
            <w:shd w:fill="F1F8F9" w:val="clear"/>
            <w:tcMar>
              <w:top w:type="dxa" w:w="70"/>
              <w:left w:type="dxa" w:w="120"/>
              <w:bottom w:type="dxa" w:w="70"/>
              <w:right w:type="dxa" w:w="120"/>
            </w:tcMar>
            <w:vAlign w:val="center"/>
          </w:tcPr>
          <w:p>
            <w:pPr>
              <w:spacing w:after="0" w:line="264"/>
              <w:jc w:val="left"/>
            </w:pPr>
            <w:r>
              <w:rPr>
                <w:b w:val="false"/>
                <w:bCs w:val="false"/>
              </w:rPr>
              <w:t xml:space="preserve">3 clients en 2 mois</w:t>
            </w:r>
          </w:p>
        </w:tc>
      </w:tr>
      <w:tr>
        <w:tc>
          <w:tcPr>
            <w:tcW w:type="dxa" w:w="2200"/>
            <w:tcBorders>
              <w:top w:val="single" w:color="C9D6D8" w:sz="1"/>
              <w:left w:val="single" w:color="C9D6D8" w:sz="1"/>
              <w:bottom w:val="single" w:color="C9D6D8" w:sz="1"/>
              <w:right w:val="single" w:color="C9D6D8" w:sz="1"/>
            </w:tcBorders>
            <w:shd w:fill="FFFFFF" w:val="clear"/>
            <w:tcMar>
              <w:top w:type="dxa" w:w="70"/>
              <w:left w:type="dxa" w:w="120"/>
              <w:bottom w:type="dxa" w:w="70"/>
              <w:right w:type="dxa" w:w="120"/>
            </w:tcMar>
            <w:vAlign w:val="center"/>
          </w:tcPr>
          <w:p>
            <w:pPr>
              <w:spacing w:after="0" w:line="264"/>
              <w:jc w:val="left"/>
            </w:pPr>
            <w:r>
              <w:rPr>
                <w:b/>
                <w:bCs/>
              </w:rPr>
              <w:t xml:space="preserve">Consolidation</w:t>
            </w:r>
          </w:p>
        </w:tc>
        <w:tc>
          <w:tcPr>
            <w:tcW w:type="dxa" w:w="4560"/>
            <w:tcBorders>
              <w:top w:val="single" w:color="C9D6D8" w:sz="1"/>
              <w:left w:val="single" w:color="C9D6D8" w:sz="1"/>
              <w:bottom w:val="single" w:color="C9D6D8" w:sz="1"/>
              <w:right w:val="single" w:color="C9D6D8" w:sz="1"/>
            </w:tcBorders>
            <w:shd w:fill="FFFFFF" w:val="clear"/>
            <w:tcMar>
              <w:top w:type="dxa" w:w="70"/>
              <w:left w:type="dxa" w:w="120"/>
              <w:bottom w:type="dxa" w:w="70"/>
              <w:right w:type="dxa" w:w="120"/>
            </w:tcMar>
            <w:vAlign w:val="center"/>
          </w:tcPr>
          <w:p>
            <w:pPr>
              <w:spacing w:after="0" w:line="264"/>
              <w:jc w:val="left"/>
            </w:pPr>
            <w:r>
              <w:rPr>
                <w:b w:val="false"/>
                <w:bCs w:val="false"/>
              </w:rPr>
              <w:t xml:space="preserve">Études de cas, abonnements, outils internes</w:t>
            </w:r>
          </w:p>
        </w:tc>
        <w:tc>
          <w:tcPr>
            <w:tcW w:type="dxa" w:w="2600"/>
            <w:tcBorders>
              <w:top w:val="single" w:color="C9D6D8" w:sz="1"/>
              <w:left w:val="single" w:color="C9D6D8" w:sz="1"/>
              <w:bottom w:val="single" w:color="C9D6D8" w:sz="1"/>
              <w:right w:val="single" w:color="C9D6D8" w:sz="1"/>
            </w:tcBorders>
            <w:shd w:fill="FFFFFF" w:val="clear"/>
            <w:tcMar>
              <w:top w:type="dxa" w:w="70"/>
              <w:left w:type="dxa" w:w="120"/>
              <w:bottom w:type="dxa" w:w="70"/>
              <w:right w:type="dxa" w:w="120"/>
            </w:tcMar>
            <w:vAlign w:val="center"/>
          </w:tcPr>
          <w:p>
            <w:pPr>
              <w:spacing w:after="0" w:line="264"/>
              <w:jc w:val="left"/>
            </w:pPr>
            <w:r>
              <w:rPr>
                <w:b w:val="false"/>
                <w:bCs w:val="false"/>
              </w:rPr>
              <w:t xml:space="preserve">15 clients sur l’année</w:t>
            </w:r>
          </w:p>
        </w:tc>
      </w:tr>
    </w:tbl>
    <w:p>
      <w:pPr>
        <w:spacing w:after="120"/>
      </w:pPr>
      <w:r>
        <w:t xml:space="preserve"/>
      </w:r>
    </w:p>
    <w:p>
      <w:pPr>
        <w:pStyle w:val="Heading2"/>
      </w:pPr>
      <w:r>
        <w:t xml:space="preserve">État d’avancement</w:t>
      </w:r>
    </w:p>
    <w:p>
      <w:pPr>
        <w:pStyle w:val="ListParagraph"/>
        <w:numPr>
          <w:ilvl w:val="0"/>
          <w:numId w:val="2"/>
        </w:numPr>
        <w:spacing w:after="80" w:line="276"/>
      </w:pPr>
      <w:r>
        <w:rPr>
          <w:b/>
          <w:bCs/>
        </w:rPr>
        <w:t xml:space="preserve">Fait : </w:t>
      </w:r>
      <w:r>
        <w:t xml:space="preserve">nom, logo, adresse e-mail / domaine.</w:t>
      </w:r>
    </w:p>
    <w:p>
      <w:pPr>
        <w:pStyle w:val="ListParagraph"/>
        <w:numPr>
          <w:ilvl w:val="0"/>
          <w:numId w:val="2"/>
        </w:numPr>
        <w:spacing w:after="80" w:line="276"/>
      </w:pPr>
      <w:r>
        <w:rPr>
          <w:b/>
          <w:bCs/>
        </w:rPr>
        <w:t xml:space="preserve">À faire : </w:t>
      </w:r>
      <w:r>
        <w:t xml:space="preserve">comptes réseaux sociaux, site web, pages offres + prix, benchmark concurrents, confirmation des associés.</w:t>
      </w:r>
    </w:p>
    <w:p>
      <w:pPr>
        <w:pStyle w:val="Heading1"/>
      </w:pPr>
      <w:r>
        <w:t xml:space="preserve">12. Indicateurs de succès</w:t>
      </w:r>
    </w:p>
    <w:p>
      <w:pPr>
        <w:spacing w:after="120" w:line="280"/>
        <w:jc w:val="both"/>
      </w:pPr>
      <w:r>
        <w:t xml:space="preserve">Indicateur principal : le taux de conversion des leads en clients (combien de prospects contactés deviennent des clients payants).</w:t>
      </w:r>
    </w:p>
    <w:p>
      <w:pPr>
        <w:spacing w:after="120" w:line="280"/>
        <w:jc w:val="both"/>
      </w:pPr>
      <w:r>
        <w:t xml:space="preserve">Indicateurs complémentaires à suivre :</w:t>
      </w:r>
    </w:p>
    <w:p>
      <w:pPr>
        <w:pStyle w:val="ListParagraph"/>
        <w:numPr>
          <w:ilvl w:val="0"/>
          <w:numId w:val="2"/>
        </w:numPr>
        <w:spacing w:after="80" w:line="276"/>
      </w:pPr>
      <w:r>
        <w:t xml:space="preserve">Nombre de clients actifs.</w:t>
      </w:r>
    </w:p>
    <w:p>
      <w:pPr>
        <w:pStyle w:val="ListParagraph"/>
        <w:numPr>
          <w:ilvl w:val="0"/>
          <w:numId w:val="2"/>
        </w:numPr>
        <w:spacing w:after="80" w:line="276"/>
      </w:pPr>
      <w:r>
        <w:t xml:space="preserve">Taille et qualité du portefeuille clients.</w:t>
      </w:r>
    </w:p>
    <w:p>
      <w:pPr>
        <w:pStyle w:val="ListParagraph"/>
        <w:numPr>
          <w:ilvl w:val="0"/>
          <w:numId w:val="2"/>
        </w:numPr>
        <w:spacing w:after="80" w:line="276"/>
      </w:pPr>
      <w:r>
        <w:t xml:space="preserve">Réputation (avis, recommandations, notoriété sur LinkedIn/Instagram).</w:t>
      </w:r>
    </w:p>
    <w:p>
      <w:pPr>
        <w:pStyle w:val="ListParagraph"/>
        <w:numPr>
          <w:ilvl w:val="0"/>
          <w:numId w:val="2"/>
        </w:numPr>
        <w:spacing w:after="80" w:line="276"/>
      </w:pPr>
      <w:r>
        <w:t xml:space="preserve">Taux de reconduction / clients récurrents (à partir de la phase 2).</w:t>
      </w:r>
    </w:p>
    <w:p>
      <w:pPr>
        <w:pBdr>
          <w:left w:val="single" w:color="E8A13A" w:sz="18" w:space="8"/>
        </w:pBdr>
        <w:shd w:fill="FFF4E5" w:val="clear"/>
        <w:spacing w:after="100" w:line="276"/>
        <w:ind w:left="120"/>
      </w:pPr>
      <w:r>
        <w:rPr>
          <w:b/>
          <w:bCs/>
          <w:color w:val="B9740A"/>
        </w:rPr>
        <w:t xml:space="preserve">À COMPLÉTER — </w:t>
      </w:r>
      <w:r>
        <w:rPr>
          <w:color w:val="7A5410"/>
        </w:rPr>
        <w:t xml:space="preserve">Fixer une cible chiffrée pour le taux de conversion (ex. X % des RDV découverte deviennent clients) une fois les premiers chiffres connus.</w:t>
      </w:r>
    </w:p>
    <w:p>
      <w:r>
        <w:br w:type="page"/>
      </w:r>
    </w:p>
    <w:p>
      <w:pPr>
        <w:pStyle w:val="Heading1"/>
      </w:pPr>
      <w:r>
        <w:t xml:space="preserve">Annexe —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9D6D8" w:sz="1"/>
              <w:left w:val="single" w:color="C9D6D8" w:sz="1"/>
              <w:bottom w:val="single" w:color="C9D6D8" w:sz="1"/>
              <w:right w:val="single" w:color="C9D6D8" w:sz="1"/>
            </w:tcBorders>
            <w:shd w:fill="0E7C86" w:val="clear"/>
            <w:tcMar>
              <w:top w:type="dxa" w:w="70"/>
              <w:left w:type="dxa" w:w="120"/>
              <w:bottom w:type="dxa" w:w="70"/>
              <w:right w:type="dxa" w:w="120"/>
            </w:tcMar>
            <w:vAlign w:val="center"/>
          </w:tcPr>
          <w:p>
            <w:pPr>
              <w:spacing w:after="0" w:line="264"/>
              <w:jc w:val="left"/>
            </w:pPr>
            <w:r>
              <w:rPr>
                <w:b/>
                <w:bCs/>
                <w:color w:val="FFFFFF"/>
              </w:rPr>
              <w:t xml:space="preserve">Terme</w:t>
            </w:r>
          </w:p>
        </w:tc>
        <w:tc>
          <w:tcPr>
            <w:tcW w:type="dxa" w:w="6960"/>
            <w:tcBorders>
              <w:top w:val="single" w:color="C9D6D8" w:sz="1"/>
              <w:left w:val="single" w:color="C9D6D8" w:sz="1"/>
              <w:bottom w:val="single" w:color="C9D6D8" w:sz="1"/>
              <w:right w:val="single" w:color="C9D6D8" w:sz="1"/>
            </w:tcBorders>
            <w:shd w:fill="0E7C86" w:val="clear"/>
            <w:tcMar>
              <w:top w:type="dxa" w:w="70"/>
              <w:left w:type="dxa" w:w="120"/>
              <w:bottom w:type="dxa" w:w="70"/>
              <w:right w:type="dxa" w:w="120"/>
            </w:tcMar>
            <w:vAlign w:val="center"/>
          </w:tcPr>
          <w:p>
            <w:pPr>
              <w:spacing w:after="0" w:line="264"/>
              <w:jc w:val="left"/>
            </w:pPr>
            <w:r>
              <w:rPr>
                <w:b/>
                <w:bCs/>
                <w:color w:val="FFFFFF"/>
              </w:rPr>
              <w:t xml:space="preserve">Définition</w:t>
            </w:r>
          </w:p>
        </w:tc>
      </w:tr>
      <w:tr>
        <w:tc>
          <w:tcPr>
            <w:tcW w:type="dxa" w:w="2400"/>
            <w:tcBorders>
              <w:top w:val="single" w:color="C9D6D8" w:sz="1"/>
              <w:left w:val="single" w:color="C9D6D8" w:sz="1"/>
              <w:bottom w:val="single" w:color="C9D6D8" w:sz="1"/>
              <w:right w:val="single" w:color="C9D6D8" w:sz="1"/>
            </w:tcBorders>
            <w:shd w:fill="F1F8F9" w:val="clear"/>
            <w:tcMar>
              <w:top w:type="dxa" w:w="70"/>
              <w:left w:type="dxa" w:w="120"/>
              <w:bottom w:type="dxa" w:w="70"/>
              <w:right w:type="dxa" w:w="120"/>
            </w:tcMar>
            <w:vAlign w:val="center"/>
          </w:tcPr>
          <w:p>
            <w:pPr>
              <w:spacing w:after="0" w:line="264"/>
              <w:jc w:val="left"/>
            </w:pPr>
            <w:r>
              <w:rPr>
                <w:b/>
                <w:bCs/>
              </w:rPr>
              <w:t xml:space="preserve">KPI</w:t>
            </w:r>
          </w:p>
        </w:tc>
        <w:tc>
          <w:tcPr>
            <w:tcW w:type="dxa" w:w="6960"/>
            <w:tcBorders>
              <w:top w:val="single" w:color="C9D6D8" w:sz="1"/>
              <w:left w:val="single" w:color="C9D6D8" w:sz="1"/>
              <w:bottom w:val="single" w:color="C9D6D8" w:sz="1"/>
              <w:right w:val="single" w:color="C9D6D8" w:sz="1"/>
            </w:tcBorders>
            <w:shd w:fill="F1F8F9" w:val="clear"/>
            <w:tcMar>
              <w:top w:type="dxa" w:w="70"/>
              <w:left w:type="dxa" w:w="120"/>
              <w:bottom w:type="dxa" w:w="70"/>
              <w:right w:type="dxa" w:w="120"/>
            </w:tcMar>
            <w:vAlign w:val="center"/>
          </w:tcPr>
          <w:p>
            <w:pPr>
              <w:spacing w:after="0" w:line="264"/>
              <w:jc w:val="left"/>
            </w:pPr>
            <w:r>
              <w:rPr>
                <w:b w:val="false"/>
                <w:bCs w:val="false"/>
              </w:rPr>
              <w:t xml:space="preserve">Indicateur clé de performance : un chiffre suivi pour mesurer un résultat.</w:t>
            </w:r>
          </w:p>
        </w:tc>
      </w:tr>
      <w:tr>
        <w:tc>
          <w:tcPr>
            <w:tcW w:type="dxa" w:w="2400"/>
            <w:tcBorders>
              <w:top w:val="single" w:color="C9D6D8" w:sz="1"/>
              <w:left w:val="single" w:color="C9D6D8" w:sz="1"/>
              <w:bottom w:val="single" w:color="C9D6D8" w:sz="1"/>
              <w:right w:val="single" w:color="C9D6D8" w:sz="1"/>
            </w:tcBorders>
            <w:shd w:fill="FFFFFF" w:val="clear"/>
            <w:tcMar>
              <w:top w:type="dxa" w:w="70"/>
              <w:left w:type="dxa" w:w="120"/>
              <w:bottom w:type="dxa" w:w="70"/>
              <w:right w:type="dxa" w:w="120"/>
            </w:tcMar>
            <w:vAlign w:val="center"/>
          </w:tcPr>
          <w:p>
            <w:pPr>
              <w:spacing w:after="0" w:line="264"/>
              <w:jc w:val="left"/>
            </w:pPr>
            <w:r>
              <w:rPr>
                <w:b/>
                <w:bCs/>
              </w:rPr>
              <w:t xml:space="preserve">OKR</w:t>
            </w:r>
          </w:p>
        </w:tc>
        <w:tc>
          <w:tcPr>
            <w:tcW w:type="dxa" w:w="6960"/>
            <w:tcBorders>
              <w:top w:val="single" w:color="C9D6D8" w:sz="1"/>
              <w:left w:val="single" w:color="C9D6D8" w:sz="1"/>
              <w:bottom w:val="single" w:color="C9D6D8" w:sz="1"/>
              <w:right w:val="single" w:color="C9D6D8" w:sz="1"/>
            </w:tcBorders>
            <w:shd w:fill="FFFFFF" w:val="clear"/>
            <w:tcMar>
              <w:top w:type="dxa" w:w="70"/>
              <w:left w:type="dxa" w:w="120"/>
              <w:bottom w:type="dxa" w:w="70"/>
              <w:right w:type="dxa" w:w="120"/>
            </w:tcMar>
            <w:vAlign w:val="center"/>
          </w:tcPr>
          <w:p>
            <w:pPr>
              <w:spacing w:after="0" w:line="264"/>
              <w:jc w:val="left"/>
            </w:pPr>
            <w:r>
              <w:rPr>
                <w:b w:val="false"/>
                <w:bCs w:val="false"/>
              </w:rPr>
              <w:t xml:space="preserve">Objectifs et résultats clés : méthode pour fixer un objectif et les résultats mesurables qui prouvent qu’on l’atteint.</w:t>
            </w:r>
          </w:p>
        </w:tc>
      </w:tr>
      <w:tr>
        <w:tc>
          <w:tcPr>
            <w:tcW w:type="dxa" w:w="2400"/>
            <w:tcBorders>
              <w:top w:val="single" w:color="C9D6D8" w:sz="1"/>
              <w:left w:val="single" w:color="C9D6D8" w:sz="1"/>
              <w:bottom w:val="single" w:color="C9D6D8" w:sz="1"/>
              <w:right w:val="single" w:color="C9D6D8" w:sz="1"/>
            </w:tcBorders>
            <w:shd w:fill="F1F8F9" w:val="clear"/>
            <w:tcMar>
              <w:top w:type="dxa" w:w="70"/>
              <w:left w:type="dxa" w:w="120"/>
              <w:bottom w:type="dxa" w:w="70"/>
              <w:right w:type="dxa" w:w="120"/>
            </w:tcMar>
            <w:vAlign w:val="center"/>
          </w:tcPr>
          <w:p>
            <w:pPr>
              <w:spacing w:after="0" w:line="264"/>
              <w:jc w:val="left"/>
            </w:pPr>
            <w:r>
              <w:rPr>
                <w:b/>
                <w:bCs/>
              </w:rPr>
              <w:t xml:space="preserve">Audit 360</w:t>
            </w:r>
          </w:p>
        </w:tc>
        <w:tc>
          <w:tcPr>
            <w:tcW w:type="dxa" w:w="6960"/>
            <w:tcBorders>
              <w:top w:val="single" w:color="C9D6D8" w:sz="1"/>
              <w:left w:val="single" w:color="C9D6D8" w:sz="1"/>
              <w:bottom w:val="single" w:color="C9D6D8" w:sz="1"/>
              <w:right w:val="single" w:color="C9D6D8" w:sz="1"/>
            </w:tcBorders>
            <w:shd w:fill="F1F8F9" w:val="clear"/>
            <w:tcMar>
              <w:top w:type="dxa" w:w="70"/>
              <w:left w:type="dxa" w:w="120"/>
              <w:bottom w:type="dxa" w:w="70"/>
              <w:right w:type="dxa" w:w="120"/>
            </w:tcMar>
            <w:vAlign w:val="center"/>
          </w:tcPr>
          <w:p>
            <w:pPr>
              <w:spacing w:after="0" w:line="264"/>
              <w:jc w:val="left"/>
            </w:pPr>
            <w:r>
              <w:rPr>
                <w:b w:val="false"/>
                <w:bCs w:val="false"/>
              </w:rPr>
              <w:t xml:space="preserve">Diagnostic complet d’une activité (organisation, chiffres, digital, ressources).</w:t>
            </w:r>
          </w:p>
        </w:tc>
      </w:tr>
      <w:tr>
        <w:tc>
          <w:tcPr>
            <w:tcW w:type="dxa" w:w="2400"/>
            <w:tcBorders>
              <w:top w:val="single" w:color="C9D6D8" w:sz="1"/>
              <w:left w:val="single" w:color="C9D6D8" w:sz="1"/>
              <w:bottom w:val="single" w:color="C9D6D8" w:sz="1"/>
              <w:right w:val="single" w:color="C9D6D8" w:sz="1"/>
            </w:tcBorders>
            <w:shd w:fill="FFFFFF" w:val="clear"/>
            <w:tcMar>
              <w:top w:type="dxa" w:w="70"/>
              <w:left w:type="dxa" w:w="120"/>
              <w:bottom w:type="dxa" w:w="70"/>
              <w:right w:type="dxa" w:w="120"/>
            </w:tcMar>
            <w:vAlign w:val="center"/>
          </w:tcPr>
          <w:p>
            <w:pPr>
              <w:spacing w:after="0" w:line="264"/>
              <w:jc w:val="left"/>
            </w:pPr>
            <w:r>
              <w:rPr>
                <w:b/>
                <w:bCs/>
              </w:rPr>
              <w:t xml:space="preserve">Dashboard</w:t>
            </w:r>
          </w:p>
        </w:tc>
        <w:tc>
          <w:tcPr>
            <w:tcW w:type="dxa" w:w="6960"/>
            <w:tcBorders>
              <w:top w:val="single" w:color="C9D6D8" w:sz="1"/>
              <w:left w:val="single" w:color="C9D6D8" w:sz="1"/>
              <w:bottom w:val="single" w:color="C9D6D8" w:sz="1"/>
              <w:right w:val="single" w:color="C9D6D8" w:sz="1"/>
            </w:tcBorders>
            <w:shd w:fill="FFFFFF" w:val="clear"/>
            <w:tcMar>
              <w:top w:type="dxa" w:w="70"/>
              <w:left w:type="dxa" w:w="120"/>
              <w:bottom w:type="dxa" w:w="70"/>
              <w:right w:type="dxa" w:w="120"/>
            </w:tcMar>
            <w:vAlign w:val="center"/>
          </w:tcPr>
          <w:p>
            <w:pPr>
              <w:spacing w:after="0" w:line="264"/>
              <w:jc w:val="left"/>
            </w:pPr>
            <w:r>
              <w:rPr>
                <w:b w:val="false"/>
                <w:bCs w:val="false"/>
              </w:rPr>
              <w:t xml:space="preserve">Tableau de bord : écran rassemblant les indicateurs importants, à jour.</w:t>
            </w:r>
          </w:p>
        </w:tc>
      </w:tr>
      <w:tr>
        <w:tc>
          <w:tcPr>
            <w:tcW w:type="dxa" w:w="2400"/>
            <w:tcBorders>
              <w:top w:val="single" w:color="C9D6D8" w:sz="1"/>
              <w:left w:val="single" w:color="C9D6D8" w:sz="1"/>
              <w:bottom w:val="single" w:color="C9D6D8" w:sz="1"/>
              <w:right w:val="single" w:color="C9D6D8" w:sz="1"/>
            </w:tcBorders>
            <w:shd w:fill="F1F8F9" w:val="clear"/>
            <w:tcMar>
              <w:top w:type="dxa" w:w="70"/>
              <w:left w:type="dxa" w:w="120"/>
              <w:bottom w:type="dxa" w:w="70"/>
              <w:right w:type="dxa" w:w="120"/>
            </w:tcMar>
            <w:vAlign w:val="center"/>
          </w:tcPr>
          <w:p>
            <w:pPr>
              <w:spacing w:after="0" w:line="264"/>
              <w:jc w:val="left"/>
            </w:pPr>
            <w:r>
              <w:rPr>
                <w:b/>
                <w:bCs/>
              </w:rPr>
              <w:t xml:space="preserve">Retainer</w:t>
            </w:r>
          </w:p>
        </w:tc>
        <w:tc>
          <w:tcPr>
            <w:tcW w:type="dxa" w:w="6960"/>
            <w:tcBorders>
              <w:top w:val="single" w:color="C9D6D8" w:sz="1"/>
              <w:left w:val="single" w:color="C9D6D8" w:sz="1"/>
              <w:bottom w:val="single" w:color="C9D6D8" w:sz="1"/>
              <w:right w:val="single" w:color="C9D6D8" w:sz="1"/>
            </w:tcBorders>
            <w:shd w:fill="F1F8F9" w:val="clear"/>
            <w:tcMar>
              <w:top w:type="dxa" w:w="70"/>
              <w:left w:type="dxa" w:w="120"/>
              <w:bottom w:type="dxa" w:w="70"/>
              <w:right w:type="dxa" w:w="120"/>
            </w:tcMar>
            <w:vAlign w:val="center"/>
          </w:tcPr>
          <w:p>
            <w:pPr>
              <w:spacing w:after="0" w:line="264"/>
              <w:jc w:val="left"/>
            </w:pPr>
            <w:r>
              <w:rPr>
                <w:b w:val="false"/>
                <w:bCs w:val="false"/>
              </w:rPr>
              <w:t xml:space="preserve">Abonnement mensuel : le client paie un montant fixe chaque mois pour un accompagnement continu.</w:t>
            </w:r>
          </w:p>
        </w:tc>
      </w:tr>
      <w:tr>
        <w:tc>
          <w:tcPr>
            <w:tcW w:type="dxa" w:w="2400"/>
            <w:tcBorders>
              <w:top w:val="single" w:color="C9D6D8" w:sz="1"/>
              <w:left w:val="single" w:color="C9D6D8" w:sz="1"/>
              <w:bottom w:val="single" w:color="C9D6D8" w:sz="1"/>
              <w:right w:val="single" w:color="C9D6D8" w:sz="1"/>
            </w:tcBorders>
            <w:shd w:fill="FFFFFF" w:val="clear"/>
            <w:tcMar>
              <w:top w:type="dxa" w:w="70"/>
              <w:left w:type="dxa" w:w="120"/>
              <w:bottom w:type="dxa" w:w="70"/>
              <w:right w:type="dxa" w:w="120"/>
            </w:tcMar>
            <w:vAlign w:val="center"/>
          </w:tcPr>
          <w:p>
            <w:pPr>
              <w:spacing w:after="0" w:line="264"/>
              <w:jc w:val="left"/>
            </w:pPr>
            <w:r>
              <w:rPr>
                <w:b/>
                <w:bCs/>
              </w:rPr>
              <w:t xml:space="preserve">Lead</w:t>
            </w:r>
          </w:p>
        </w:tc>
        <w:tc>
          <w:tcPr>
            <w:tcW w:type="dxa" w:w="6960"/>
            <w:tcBorders>
              <w:top w:val="single" w:color="C9D6D8" w:sz="1"/>
              <w:left w:val="single" w:color="C9D6D8" w:sz="1"/>
              <w:bottom w:val="single" w:color="C9D6D8" w:sz="1"/>
              <w:right w:val="single" w:color="C9D6D8" w:sz="1"/>
            </w:tcBorders>
            <w:shd w:fill="FFFFFF" w:val="clear"/>
            <w:tcMar>
              <w:top w:type="dxa" w:w="70"/>
              <w:left w:type="dxa" w:w="120"/>
              <w:bottom w:type="dxa" w:w="70"/>
              <w:right w:type="dxa" w:w="120"/>
            </w:tcMar>
            <w:vAlign w:val="center"/>
          </w:tcPr>
          <w:p>
            <w:pPr>
              <w:spacing w:after="0" w:line="264"/>
              <w:jc w:val="left"/>
            </w:pPr>
            <w:r>
              <w:rPr>
                <w:b w:val="false"/>
                <w:bCs w:val="false"/>
              </w:rPr>
              <w:t xml:space="preserve">Prospect : un contact intéressé, pas encore client.</w:t>
            </w:r>
          </w:p>
        </w:tc>
      </w:tr>
      <w:tr>
        <w:tc>
          <w:tcPr>
            <w:tcW w:type="dxa" w:w="2400"/>
            <w:tcBorders>
              <w:top w:val="single" w:color="C9D6D8" w:sz="1"/>
              <w:left w:val="single" w:color="C9D6D8" w:sz="1"/>
              <w:bottom w:val="single" w:color="C9D6D8" w:sz="1"/>
              <w:right w:val="single" w:color="C9D6D8" w:sz="1"/>
            </w:tcBorders>
            <w:shd w:fill="F1F8F9" w:val="clear"/>
            <w:tcMar>
              <w:top w:type="dxa" w:w="70"/>
              <w:left w:type="dxa" w:w="120"/>
              <w:bottom w:type="dxa" w:w="70"/>
              <w:right w:type="dxa" w:w="120"/>
            </w:tcMar>
            <w:vAlign w:val="center"/>
          </w:tcPr>
          <w:p>
            <w:pPr>
              <w:spacing w:after="0" w:line="264"/>
              <w:jc w:val="left"/>
            </w:pPr>
            <w:r>
              <w:rPr>
                <w:b/>
                <w:bCs/>
              </w:rPr>
              <w:t xml:space="preserve">SEO local</w:t>
            </w:r>
          </w:p>
        </w:tc>
        <w:tc>
          <w:tcPr>
            <w:tcW w:type="dxa" w:w="6960"/>
            <w:tcBorders>
              <w:top w:val="single" w:color="C9D6D8" w:sz="1"/>
              <w:left w:val="single" w:color="C9D6D8" w:sz="1"/>
              <w:bottom w:val="single" w:color="C9D6D8" w:sz="1"/>
              <w:right w:val="single" w:color="C9D6D8" w:sz="1"/>
            </w:tcBorders>
            <w:shd w:fill="F1F8F9" w:val="clear"/>
            <w:tcMar>
              <w:top w:type="dxa" w:w="70"/>
              <w:left w:type="dxa" w:w="120"/>
              <w:bottom w:type="dxa" w:w="70"/>
              <w:right w:type="dxa" w:w="120"/>
            </w:tcMar>
            <w:vAlign w:val="center"/>
          </w:tcPr>
          <w:p>
            <w:pPr>
              <w:spacing w:after="0" w:line="264"/>
              <w:jc w:val="left"/>
            </w:pPr>
            <w:r>
              <w:rPr>
                <w:b w:val="false"/>
                <w:bCs w:val="false"/>
              </w:rPr>
              <w:t xml:space="preserve">Optimisation pour apparaître dans les recherches d’une zone géographique donnée.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Page </w:t>
    </w:r>
    <w:r>
      <w:rPr>
        <w:color w:val="6B7280"/>
        <w:sz w:val="18"/>
        <w:szCs w:val="18"/>
      </w:rPr>
      <w:fldChar w:fldCharType="begin"/>
      <w:instrText xml:space="preserve">PAGE</w:instrText>
      <w:fldChar w:fldCharType="separate"/>
      <w:fldChar w:fldCharType="end"/>
    </w:r>
    <w:r>
      <w:rPr>
        <w:color w:val="6B7280"/>
        <w:sz w:val="18"/>
        <w:szCs w:val="18"/>
      </w:rPr>
      <w:t xml:space="preserve"> — Confidentiel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D8" w:sz="4" w:space="6"/>
      </w:pBdr>
      <w:tabs>
        <w:tab w:val="right" w:pos="9360"/>
      </w:tabs>
    </w:pPr>
    <w:r>
      <w:rPr>
        <w:b/>
        <w:bCs/>
        <w:color w:val="0E7C86"/>
        <w:sz w:val="18"/>
        <w:szCs w:val="18"/>
      </w:rPr>
      <w:t xml:space="preserve">SECRITOU</w:t>
    </w:r>
    <w:r>
      <w:rPr>
        <w:color w:val="6B7280"/>
        <w:sz w:val="18"/>
        <w:szCs w:val="18"/>
      </w:rPr>
      <w:t xml:space="preserve">	Cahier des charges &amp; cadrage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E7C86" w:sz="8" w:space="4"/>
      </w:pBdr>
      <w:spacing w:after="160" w:before="320"/>
      <w:outlineLvl w:val="0"/>
    </w:pPr>
    <w:rPr>
      <w:rFonts w:ascii="Arial" w:cs="Arial" w:eastAsia="Arial" w:hAnsi="Arial"/>
      <w:b/>
      <w:bCs/>
      <w:color w:val="0A4750"/>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0E7C86"/>
      <w:sz w:val="25"/>
      <w:szCs w:val="25"/>
    </w:rPr>
  </w:style>
  <w:style w:type="paragraph" w:styleId="Heading3">
    <w:name w:val="Heading 3"/>
    <w:basedOn w:val="Normal"/>
    <w:next w:val="Normal"/>
    <w:qFormat/>
    <w:pPr>
      <w:spacing w:after="80" w:before="160"/>
      <w:outlineLvl w:val="2"/>
    </w:pPr>
    <w:rPr>
      <w:rFonts w:ascii="Arial" w:cs="Arial" w:eastAsia="Arial" w:hAnsi="Arial"/>
      <w:b/>
      <w:bCs/>
      <w:color w:val="1111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2026-06-28T18:31:29.940Z</dcterms:created>
  <dcterms:modified xsi:type="dcterms:W3CDTF">2026-06-28T18:31:29.940Z</dcterms:modified>
</cp:coreProperties>
</file>

<file path=docProps/custom.xml><?xml version="1.0" encoding="utf-8"?>
<Properties xmlns="http://schemas.openxmlformats.org/officeDocument/2006/custom-properties" xmlns:vt="http://schemas.openxmlformats.org/officeDocument/2006/docPropsVTypes"/>
</file>