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FF0E" w14:textId="77777777" w:rsidR="00463186" w:rsidRPr="00C35DF4" w:rsidRDefault="00463186" w:rsidP="00463186">
      <w:pPr>
        <w:keepNext/>
        <w:keepLines/>
        <w:pBdr>
          <w:right w:val="thinThickMediumGap" w:sz="24" w:space="4" w:color="984806"/>
        </w:pBdr>
        <w:shd w:val="clear" w:color="auto" w:fill="D68568"/>
        <w:bidi/>
        <w:spacing w:after="0" w:line="240" w:lineRule="auto"/>
        <w:outlineLvl w:val="0"/>
        <w:rPr>
          <w:rFonts w:ascii="Traditional Arabic" w:eastAsia="Traditional Arabic" w:hAnsi="Traditional Arabic" w:cs="Traditional Arabic"/>
          <w:b/>
          <w:bCs/>
          <w:color w:val="FFFFFF"/>
          <w:kern w:val="0"/>
          <w:sz w:val="44"/>
          <w:szCs w:val="44"/>
          <w:rtl/>
          <w:lang w:val="en-GB"/>
        </w:rPr>
      </w:pPr>
      <w:bookmarkStart w:id="0" w:name="_Toc188395327"/>
      <w:bookmarkStart w:id="1" w:name="_Toc188874986"/>
      <w:r>
        <w:rPr>
          <w:rFonts w:ascii="Traditional Arabic" w:eastAsia="Traditional Arabic" w:hAnsi="Traditional Arabic" w:cs="Traditional Arabic" w:hint="cs"/>
          <w:b/>
          <w:bCs/>
          <w:color w:val="FFFFFF"/>
          <w:kern w:val="0"/>
          <w:sz w:val="44"/>
          <w:szCs w:val="44"/>
          <w:rtl/>
          <w:lang w:val="en-GB"/>
        </w:rPr>
        <w:t>مدخل إلى علم الفقه|07</w:t>
      </w:r>
      <w:bookmarkEnd w:id="0"/>
      <w:bookmarkEnd w:id="1"/>
    </w:p>
    <w:p w14:paraId="34A2939A" w14:textId="77777777" w:rsidR="00463186" w:rsidRPr="00C35DF4" w:rsidRDefault="00463186" w:rsidP="00463186">
      <w:pPr>
        <w:keepNext/>
        <w:keepLines/>
        <w:pBdr>
          <w:right w:val="thinThickSmallGap" w:sz="24" w:space="4" w:color="5E806D"/>
        </w:pBdr>
        <w:shd w:val="clear" w:color="auto" w:fill="9CB7A8"/>
        <w:bidi/>
        <w:spacing w:before="40" w:after="0"/>
        <w:outlineLvl w:val="2"/>
        <w:rPr>
          <w:rFonts w:ascii="Traditional Arabic" w:eastAsia="MS Gothic" w:hAnsi="Traditional Arabic" w:cs="Traditional Arabic"/>
          <w:b/>
          <w:bCs/>
          <w:color w:val="FFFFFF"/>
          <w:sz w:val="40"/>
          <w:szCs w:val="40"/>
          <w:rtl/>
          <w:lang w:val="ar-SA" w:eastAsia="en-GB"/>
        </w:rPr>
      </w:pPr>
      <w:bookmarkStart w:id="2" w:name="_Toc188395328"/>
      <w:bookmarkStart w:id="3" w:name="_Toc188874987"/>
      <w:r>
        <w:rPr>
          <w:rFonts w:ascii="Traditional Arabic" w:eastAsia="MS Gothic" w:hAnsi="Traditional Arabic" w:cs="Traditional Arabic" w:hint="cs"/>
          <w:b/>
          <w:bCs/>
          <w:color w:val="FFFFFF"/>
          <w:sz w:val="40"/>
          <w:szCs w:val="40"/>
          <w:rtl/>
          <w:lang w:val="ar-SA" w:eastAsia="en-GB"/>
        </w:rPr>
        <w:t>مقدمة ومراجعة</w:t>
      </w:r>
      <w:bookmarkEnd w:id="2"/>
      <w:bookmarkEnd w:id="3"/>
    </w:p>
    <w:p w14:paraId="5C055AC7" w14:textId="77777777" w:rsidR="00463186" w:rsidRPr="00537A97" w:rsidRDefault="00463186" w:rsidP="00463186">
      <w:pPr>
        <w:bidi/>
        <w:spacing w:line="276" w:lineRule="auto"/>
        <w:jc w:val="both"/>
        <w:rPr>
          <w:rFonts w:ascii="Traditional Arabic" w:eastAsia="Calibri" w:hAnsi="Traditional Arabic" w:cs="Traditional Arabic"/>
          <w:sz w:val="36"/>
          <w:szCs w:val="36"/>
          <w:rtl/>
          <w:lang w:eastAsia="en-GB" w:bidi="ar-EG"/>
        </w:rPr>
      </w:pPr>
      <w:r>
        <w:rPr>
          <w:rFonts w:ascii="Traditional Arabic" w:eastAsia="Calibri" w:hAnsi="Traditional Arabic"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54786A58"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Pr>
          <w:rFonts w:ascii="Traditional Arabic" w:eastAsia="Traditional Arabic" w:hAnsi="Traditional Arabic" w:cs="Traditional Arabic" w:hint="cs"/>
          <w:kern w:val="0"/>
          <w:sz w:val="36"/>
          <w:szCs w:val="36"/>
          <w:rtl/>
          <w14:ligatures w14:val="none"/>
        </w:rPr>
        <w:t xml:space="preserve">فكنا </w:t>
      </w:r>
      <w:r w:rsidRPr="00C35DF4">
        <w:rPr>
          <w:rFonts w:ascii="Traditional Arabic" w:eastAsia="Traditional Arabic" w:hAnsi="Traditional Arabic" w:cs="Traditional Arabic"/>
          <w:kern w:val="0"/>
          <w:sz w:val="36"/>
          <w:szCs w:val="36"/>
          <w:rtl/>
          <w14:ligatures w14:val="none"/>
        </w:rPr>
        <w:t>قد وصلْنا في الدرس الماضي إلى مذهب الإمام أحمد رحمه الله تعالى، وذكَرْنا أنّ مذهبَ الإمام أحمد مرَّ بعدّةِ مراحل: المرحلة الأولى، وهي مرحلة: تأسيسِ المذهب.</w:t>
      </w:r>
    </w:p>
    <w:p w14:paraId="2A949AF2"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وتأسيسُ المذهب قام به عددٌ من أهل العلم. طبعًا مؤسِّس المذهب هو الإمام أحمد رحمه الله، ثمّ بعدَ ذلك نُقِلَت مسائلُه عن طريق أصحابِه وطلّابِه أصحاب المسائل.</w:t>
      </w:r>
    </w:p>
    <w:p w14:paraId="2208FBC0"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وهي كتبٌ مطبوعة، يعني عددٌ من كتبِ المسائل مطبوعة، ومن أرادَ أن يقفَ على تراجم هؤلاء العلماء فليَرجعْ إلى (طبقات الحنابلة) لابن أبي يعلى، يقفُ فيه على تراجم أصحاب الإمام أحمد وتلاميذ الإمام أحمد رحمه الله.</w:t>
      </w:r>
    </w:p>
    <w:p w14:paraId="4DAEB351"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وقد ذكرنا أنّ منهم: الإمام أبا داود السِّجستاني، صاحب السُّنَن. ومنهم صالح ابنُ الإمام أحمد، ومنهم عبدُ الله ابن الإمام أحمد، ومنهم إسحاقُ بن منصور الكَوسَج، ومنهم ابنُ هانئ، ومنهم أيضًا حربُ بنُ إسماعيل الكِرماني، وغيرهم. </w:t>
      </w:r>
    </w:p>
    <w:p w14:paraId="4221F79A"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وهي مطبوعة، هذه التي ذكرناها مطبوعة، طُبِع بعضها عدّة طبعات. وبعد ذلك جاء الخَلّال، وجَمَعَ هذه الكتبَ في كتابٍ واحدٍ سمّاه (الجامع لعلوم الإمام أحمد) وهو مفقودٌ، طُبِعَت منه أجزاءٌ يسيرة التي وُجِدت، كـ(التَّرَجُّل والوقوف)، وأكثرُه مفقود. ولكن قُلنا لكم أنّ هناكَ جهدًا معاصرًا قام به الأستاذ خالد الرَّبَّاط ومعه مجموعةٌ من الباحثين، وجمعوا جمعًا نفيسًا وكتابًا عظيمًا، وهو من أعظمِ الخدمات التي قُدِّمَت إلى علم الإمام أحمد رحمه الله في العصر الحاضر، سمَّوه أيضًا: (الجامع لعلوم الإمام أحمد)، وهو كتابٌ نفيسٌ جدًّا. </w:t>
      </w:r>
    </w:p>
    <w:p w14:paraId="2C24AC3C"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وبعد ذلك جاء غلام الخَلّال، ثمّ جاء الخِرَقي فألَّفَ كتابًا مختصَرًا في فقه الإمام أحمد، وهو معروفٌ بـ(مختصَر الخِرقي). </w:t>
      </w:r>
    </w:p>
    <w:p w14:paraId="15F032BF" w14:textId="77777777" w:rsidR="00463186" w:rsidRDefault="00463186" w:rsidP="00463186">
      <w:pPr>
        <w:bidi/>
        <w:spacing w:line="256" w:lineRule="auto"/>
        <w:jc w:val="both"/>
        <w:rPr>
          <w:rFonts w:ascii="Traditional Arabic" w:eastAsia="Traditional Arabic" w:hAnsi="Traditional Arabic" w:cs="Traditional Arabic"/>
          <w:kern w:val="0"/>
          <w:sz w:val="36"/>
          <w:szCs w:val="36"/>
          <w:rtl/>
          <w14:ligatures w14:val="none"/>
        </w:rPr>
      </w:pPr>
      <w:r w:rsidRPr="00C35DF4">
        <w:rPr>
          <w:rFonts w:ascii="Traditional Arabic" w:eastAsia="Traditional Arabic" w:hAnsi="Traditional Arabic" w:cs="Traditional Arabic"/>
          <w:kern w:val="0"/>
          <w:sz w:val="36"/>
          <w:szCs w:val="36"/>
          <w:rtl/>
          <w14:ligatures w14:val="none"/>
        </w:rPr>
        <w:lastRenderedPageBreak/>
        <w:t>وبعد ذلك قلنا إنّ الإمام الحسن بن حامد صنّفَ أيضًا كتاب (تهذيب الأجوبة)، وهي مرحلة التقعيد.</w:t>
      </w:r>
    </w:p>
    <w:p w14:paraId="3AD77EA9"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p>
    <w:p w14:paraId="7822F8DA" w14:textId="77777777" w:rsidR="00463186" w:rsidRPr="00C35DF4" w:rsidRDefault="00463186" w:rsidP="00463186">
      <w:pPr>
        <w:keepNext/>
        <w:keepLines/>
        <w:pBdr>
          <w:right w:val="thinThickSmallGap" w:sz="24" w:space="4" w:color="5E806D"/>
        </w:pBdr>
        <w:shd w:val="clear" w:color="auto" w:fill="9CB7A8"/>
        <w:bidi/>
        <w:spacing w:before="40" w:after="0"/>
        <w:outlineLvl w:val="2"/>
        <w:rPr>
          <w:rFonts w:ascii="Traditional Arabic" w:eastAsia="MS Gothic" w:hAnsi="Traditional Arabic" w:cs="Traditional Arabic"/>
          <w:b/>
          <w:bCs/>
          <w:color w:val="FFFFFF"/>
          <w:sz w:val="40"/>
          <w:szCs w:val="40"/>
          <w:rtl/>
          <w:lang w:val="ar-SA" w:eastAsia="en-GB"/>
        </w:rPr>
      </w:pPr>
      <w:bookmarkStart w:id="4" w:name="_Toc188395329"/>
      <w:bookmarkStart w:id="5" w:name="_Toc188874988"/>
      <w:r w:rsidRPr="00C35DF4">
        <w:rPr>
          <w:rFonts w:ascii="Traditional Arabic" w:eastAsia="MS Gothic" w:hAnsi="Traditional Arabic" w:cs="Traditional Arabic"/>
          <w:b/>
          <w:bCs/>
          <w:color w:val="FFFFFF"/>
          <w:sz w:val="40"/>
          <w:szCs w:val="40"/>
          <w:rtl/>
          <w:lang w:val="ar-SA" w:eastAsia="en-GB"/>
        </w:rPr>
        <w:t>دور التحرير والتنقيح</w:t>
      </w:r>
      <w:bookmarkEnd w:id="4"/>
      <w:bookmarkEnd w:id="5"/>
      <w:r w:rsidRPr="00C35DF4">
        <w:rPr>
          <w:rFonts w:ascii="Traditional Arabic" w:eastAsia="MS Gothic" w:hAnsi="Traditional Arabic" w:cs="Traditional Arabic"/>
          <w:b/>
          <w:bCs/>
          <w:color w:val="FFFFFF"/>
          <w:sz w:val="40"/>
          <w:szCs w:val="40"/>
          <w:rtl/>
          <w:lang w:val="ar-SA" w:eastAsia="en-GB"/>
        </w:rPr>
        <w:t xml:space="preserve"> </w:t>
      </w:r>
    </w:p>
    <w:p w14:paraId="70B1ACC4"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rtl/>
          <w14:ligatures w14:val="none"/>
        </w:rPr>
      </w:pPr>
      <w:r w:rsidRPr="00C35DF4">
        <w:rPr>
          <w:rFonts w:ascii="Traditional Arabic" w:eastAsia="Traditional Arabic" w:hAnsi="Traditional Arabic" w:cs="Traditional Arabic"/>
          <w:kern w:val="0"/>
          <w:sz w:val="36"/>
          <w:szCs w:val="36"/>
          <w:rtl/>
          <w14:ligatures w14:val="none"/>
        </w:rPr>
        <w:t xml:space="preserve">ننتقل إلى دور التحرير والتنقيح في المذهب، الذي بدأَ على يد القاضي أبي يعلى. وبالمناسبة، كتبُ الحنابلة إذا قرأتَ فيها: "قال القاضي" فمن المراد؟ أبو يعلى. </w:t>
      </w:r>
      <w:r w:rsidRPr="00C35DF4">
        <w:rPr>
          <w:rFonts w:ascii="Traditional Arabic" w:eastAsia="Traditional Arabic" w:hAnsi="Traditional Arabic" w:cs="Traditional Arabic"/>
          <w:b/>
          <w:kern w:val="0"/>
          <w:sz w:val="36"/>
          <w:szCs w:val="36"/>
          <w:rtl/>
          <w14:ligatures w14:val="none"/>
        </w:rPr>
        <w:t>إذا قرأتَ كلمةَ "قال القاضي" فالمراد به القاضي أبو يعلى -رحمه الله تعالى-</w:t>
      </w:r>
      <w:r w:rsidRPr="00C35DF4">
        <w:rPr>
          <w:rFonts w:ascii="Traditional Arabic" w:eastAsia="Traditional Arabic" w:hAnsi="Traditional Arabic" w:cs="Traditional Arabic"/>
          <w:kern w:val="0"/>
          <w:sz w:val="36"/>
          <w:szCs w:val="36"/>
          <w14:ligatures w14:val="none"/>
        </w:rPr>
        <w:t>.</w:t>
      </w:r>
    </w:p>
    <w:p w14:paraId="6B3DD8DB" w14:textId="77777777" w:rsidR="00463186" w:rsidRPr="00F15CCB" w:rsidRDefault="00463186" w:rsidP="00463186">
      <w:pPr>
        <w:pStyle w:val="a6"/>
        <w:numPr>
          <w:ilvl w:val="0"/>
          <w:numId w:val="12"/>
        </w:numPr>
        <w:bidi/>
        <w:rPr>
          <w:rFonts w:ascii="Traditional Arabic" w:eastAsia="MS Gothic" w:hAnsi="Traditional Arabic" w:cs="Traditional Arabic"/>
          <w:sz w:val="36"/>
          <w:szCs w:val="36"/>
          <w:rtl/>
          <w:lang w:val="ar-SA" w:eastAsia="en-GB"/>
        </w:rPr>
      </w:pPr>
      <w:r w:rsidRPr="00F15CCB">
        <w:rPr>
          <w:rFonts w:ascii="Traditional Arabic" w:eastAsia="MS Gothic" w:hAnsi="Traditional Arabic" w:cs="Traditional Arabic"/>
          <w:sz w:val="36"/>
          <w:szCs w:val="36"/>
          <w:rtl/>
          <w:lang w:val="ar-SA" w:eastAsia="en-GB"/>
        </w:rPr>
        <w:t>القاضي أبو يعلى</w:t>
      </w:r>
    </w:p>
    <w:p w14:paraId="3EB53AED"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ومن كتبه كتاب: (الروايتين والوجهين)، وله كتاب: (العُدّة) في أصول الفقه، وهو من كتب الحنابلة في أصول الفقه، وهو كتابٌ يعني جيّدٌ ومفيدٌ وهو مطبوعٌ. </w:t>
      </w:r>
    </w:p>
    <w:p w14:paraId="49A26931"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بعد القاضي أبو يعلى جاء تلميذ ما ذكرناه لضيق المقام -مثلما ذكرتُ لكم أنّنا لا نستوعب، نذكر نماذج- تلميذ القاضي أبو يعلى هو أبو الخطّاب الكَلْوَذَاني، وله كتبٌ مصنّفاتٌ منها كتاب: (الانتصار)، ومنها كتاب: (التمهيد في أصول الفقه)، ومنها غير ذلك.</w:t>
      </w:r>
    </w:p>
    <w:p w14:paraId="76AA677F" w14:textId="77777777" w:rsidR="00463186" w:rsidRPr="00F15CCB" w:rsidRDefault="00463186" w:rsidP="00463186">
      <w:pPr>
        <w:pStyle w:val="a6"/>
        <w:numPr>
          <w:ilvl w:val="0"/>
          <w:numId w:val="13"/>
        </w:numPr>
        <w:bidi/>
        <w:rPr>
          <w:rFonts w:ascii="Traditional Arabic" w:eastAsia="MS Gothic" w:hAnsi="Traditional Arabic" w:cs="Traditional Arabic"/>
          <w:sz w:val="36"/>
          <w:szCs w:val="36"/>
          <w:rtl/>
          <w:lang w:val="ar-SA" w:eastAsia="en-GB"/>
        </w:rPr>
      </w:pPr>
      <w:r w:rsidRPr="00F15CCB">
        <w:rPr>
          <w:rFonts w:ascii="Traditional Arabic" w:eastAsia="MS Gothic" w:hAnsi="Traditional Arabic" w:cs="Traditional Arabic"/>
          <w:sz w:val="36"/>
          <w:szCs w:val="36"/>
          <w:rtl/>
          <w:lang w:val="ar-SA" w:eastAsia="en-GB"/>
        </w:rPr>
        <w:t xml:space="preserve">ابن قدامة </w:t>
      </w:r>
    </w:p>
    <w:p w14:paraId="02516628" w14:textId="77777777" w:rsidR="00463186" w:rsidRPr="00C35DF4" w:rsidRDefault="00463186" w:rsidP="00463186">
      <w:pPr>
        <w:bidi/>
        <w:spacing w:line="256" w:lineRule="auto"/>
        <w:jc w:val="both"/>
        <w:rPr>
          <w:rFonts w:ascii="Traditional Arabic" w:eastAsia="Traditional Arabic" w:hAnsi="Traditional Arabic" w:cs="Traditional Arabic"/>
          <w:kern w:val="0"/>
          <w:sz w:val="2"/>
          <w:szCs w:val="2"/>
          <w:rtl/>
          <w14:ligatures w14:val="none"/>
        </w:rPr>
      </w:pPr>
    </w:p>
    <w:p w14:paraId="07C8B91E"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وأيضًا في هذه المرحلة هناك الإمام موفّق الدين ابنُ قدامة المقدسي -رحمه الله- المُتوفّى سنةَ 620 للهجرة.</w:t>
      </w:r>
    </w:p>
    <w:p w14:paraId="3A726A4D"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وهذا -ابنُ قدامة- يُعتبَر نقطةً من النقاط المهمّة في مذهب الإمام أحمد. الإمام ابن قدامة صنّفَ كتبًا كثيرةً في هذا المذهب:</w:t>
      </w:r>
    </w:p>
    <w:p w14:paraId="5264D17F" w14:textId="77777777" w:rsidR="00463186" w:rsidRPr="00C35DF4" w:rsidRDefault="00463186" w:rsidP="00463186">
      <w:pPr>
        <w:numPr>
          <w:ilvl w:val="0"/>
          <w:numId w:val="5"/>
        </w:numPr>
        <w:bidi/>
        <w:spacing w:after="0"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صنّفَ في أصول الفقه كتاب: (روضة الناظر وجنّة المناظر)، وهو الكتاب المقرَّر في أكثر كليات الشريعة في المملكة العربية السعودية في أصول الفقه.</w:t>
      </w:r>
    </w:p>
    <w:p w14:paraId="00C5D546" w14:textId="77777777" w:rsidR="00463186" w:rsidRPr="00C35DF4" w:rsidRDefault="00463186" w:rsidP="00463186">
      <w:pPr>
        <w:numPr>
          <w:ilvl w:val="0"/>
          <w:numId w:val="5"/>
        </w:numPr>
        <w:bidi/>
        <w:spacing w:after="200"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lastRenderedPageBreak/>
        <w:t>وله في الفقه عدّةُ كتب، صَنَّفَ للمبتدئين: (عمدة الفقه)، وهو كتابٌ مفيدٌ ونافعٌ وسهلٌ ومختصَر. وصَنَّف لمن فوقهم كتاب: (المقنِع) وصَنَّف بعد ذلك لمن فوقهم كتاب: (الكافي). وبعده الكتاب الموّسع: (المغني) في الفقه المقارن. ولهذا قال الشاعر:</w:t>
      </w:r>
    </w:p>
    <w:p w14:paraId="409393A1" w14:textId="77777777" w:rsidR="00463186" w:rsidRPr="00C35DF4" w:rsidRDefault="00463186" w:rsidP="00463186">
      <w:pPr>
        <w:bidi/>
        <w:spacing w:line="256" w:lineRule="auto"/>
        <w:jc w:val="center"/>
        <w:rPr>
          <w:rFonts w:ascii="Traditional Arabic" w:eastAsia="Traditional Arabic" w:hAnsi="Traditional Arabic" w:cs="Traditional Arabic"/>
          <w:color w:val="4F6228"/>
          <w:kern w:val="0"/>
          <w:sz w:val="36"/>
          <w:szCs w:val="36"/>
          <w14:ligatures w14:val="none"/>
        </w:rPr>
      </w:pPr>
      <w:r w:rsidRPr="00C35DF4">
        <w:rPr>
          <w:rFonts w:ascii="Traditional Arabic" w:eastAsia="Traditional Arabic" w:hAnsi="Traditional Arabic" w:cs="Traditional Arabic"/>
          <w:color w:val="4F6228"/>
          <w:kern w:val="0"/>
          <w:sz w:val="36"/>
          <w:szCs w:val="36"/>
          <w:rtl/>
          <w14:ligatures w14:val="none"/>
        </w:rPr>
        <w:t>كفى الناسَ بالكافي وأقنَعَ طالبًا    بمقنِع فقهٍ عن كتابٍ مطوَّلِ</w:t>
      </w:r>
    </w:p>
    <w:p w14:paraId="78935FFA" w14:textId="77777777" w:rsidR="00463186" w:rsidRPr="00C35DF4" w:rsidRDefault="00463186" w:rsidP="00463186">
      <w:pPr>
        <w:bidi/>
        <w:spacing w:line="256" w:lineRule="auto"/>
        <w:jc w:val="center"/>
        <w:rPr>
          <w:rFonts w:ascii="Traditional Arabic" w:eastAsia="Traditional Arabic" w:hAnsi="Traditional Arabic" w:cs="Traditional Arabic"/>
          <w:color w:val="4F6228"/>
          <w:kern w:val="0"/>
          <w:sz w:val="36"/>
          <w:szCs w:val="36"/>
          <w14:ligatures w14:val="none"/>
        </w:rPr>
      </w:pPr>
      <w:r w:rsidRPr="00C35DF4">
        <w:rPr>
          <w:rFonts w:ascii="Traditional Arabic" w:eastAsia="Traditional Arabic" w:hAnsi="Traditional Arabic" w:cs="Traditional Arabic"/>
          <w:color w:val="4F6228"/>
          <w:kern w:val="0"/>
          <w:sz w:val="36"/>
          <w:szCs w:val="36"/>
          <w:rtl/>
          <w14:ligatures w14:val="none"/>
        </w:rPr>
        <w:t>وأغنى بمغني الفقه من كان عالمًا    وعُمدته من يعتمدها يحصِّلِ</w:t>
      </w:r>
    </w:p>
    <w:p w14:paraId="48D5F2FB"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وهذا من فقهه رحمه الله في التعليم؛ أنّه لهذا </w:t>
      </w:r>
      <w:r w:rsidRPr="00C35DF4">
        <w:rPr>
          <w:rFonts w:ascii="Traditional Arabic" w:eastAsia="Traditional Arabic" w:hAnsi="Traditional Arabic" w:cs="Traditional Arabic"/>
          <w:b/>
          <w:kern w:val="0"/>
          <w:sz w:val="36"/>
          <w:szCs w:val="36"/>
          <w:rtl/>
          <w14:ligatures w14:val="none"/>
        </w:rPr>
        <w:t>صَنَّف (العُمدة) على قولٍ واحدٍ ما يَذكُرُ فيها أيَّ خلافٍ أبدًا، وهذا من فقه التعليم</w:t>
      </w:r>
      <w:r w:rsidRPr="00C35DF4">
        <w:rPr>
          <w:rFonts w:ascii="Traditional Arabic" w:eastAsia="Traditional Arabic" w:hAnsi="Traditional Arabic" w:cs="Traditional Arabic"/>
          <w:kern w:val="0"/>
          <w:sz w:val="36"/>
          <w:szCs w:val="36"/>
          <w:rtl/>
          <w14:ligatures w14:val="none"/>
        </w:rPr>
        <w:t>. تبدأُ طالب العلم تذكرُ له قولًا واحدًا يَعتمده ويَحفظه ويَسير عليه ويتعبَّد به، بعد ذلك تنقُلُه مرحلةً ثانية: في (المقنِع) ذَكَرَ رواياتٍ داخل المذهب، يذكر روايتَين غالبًا في المذهب.</w:t>
      </w:r>
    </w:p>
    <w:p w14:paraId="52D75615"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وبالمناسبة كتاب (المقنِع) إذا جئتَ للحنابلة: تجدُ أنّ عملَ الحنابلة وشغلَهم الأكبر في مرحلة المتقدِّمين على كتاب الخِرَقي: (مختصر الخِرَقي)، كان هو الكتاب المعتمد في التدريس، وهو الذي شُرِح وخُدِم إلى مرحلة ابن قدامة. بعدما ألَّف ابن قدامة كتابه (المقنِع): دار الناس في فلكه، وصار شغل الحنابلة في الشرحِ والتدريسِ والحفظِ على كتاب (المقنع) لابن قدامة، فشُرِح عدّةَ شروح، مثلما قلنا أيضًا (مختصر الخِرَقي) شُرِح عدّةَ شروح، منها: (المغني)، ومنها أيضًا: (شرح الزَّرْكَشِي)، وهو مطبوعٌ بتحقيق شيخنا عبد الله ابن جبرين رحمه الله. و(المقنِع) هذا أيضًا شُرِح بعدّةِ شروحٍ منها: (المبدِع)، ومنها: (الشرح الكبير) لابن أبي عمر، وهي كتبٌ مفيدةٌ ونفيسة. </w:t>
      </w:r>
    </w:p>
    <w:p w14:paraId="2A0E47BC"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و(الكافي) مرحلةٌ ثالثةٌ، يَذكُر فيه الأدلّةَ ويتوسَّعُ في ذِكرِ الروايات.</w:t>
      </w:r>
    </w:p>
    <w:p w14:paraId="00E2C48D"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وأمّا المرحلةُ الأخيرةُ فهي مرحلةُ (المُغني)، يَذكُر فيه أقوالَ حتَى المذاهب الأخرى، الخلافُ العالي. ومن الخطأ أن يأتيَ طالبُ العلمِ يدرسُ (العُمدَة) فيُصَبّ له (المغني)! أنتَ تشرحُ له (العُمدَة)، تقولُ له: "بسم الله الرحمن الرحيم، هذه مسألةٌ اختلفَ فيها الفقهاءُ على خمسةِ </w:t>
      </w:r>
      <w:r w:rsidRPr="00C35DF4">
        <w:rPr>
          <w:rFonts w:ascii="Traditional Arabic" w:eastAsia="Traditional Arabic" w:hAnsi="Traditional Arabic" w:cs="Traditional Arabic"/>
          <w:kern w:val="0"/>
          <w:sz w:val="36"/>
          <w:szCs w:val="36"/>
          <w:rtl/>
          <w14:ligatures w14:val="none"/>
        </w:rPr>
        <w:lastRenderedPageBreak/>
        <w:t xml:space="preserve">أقوال" طيب يا أخي خذِ (المغني) واشرحْهُ إذا كنتَ ستَشرحُ بالفقه المقارَن! لكن طالب العلم يتدرَّج، وهذه من أهمِّ قواعدِ طلب العلم: قاعدةُ التدرُّج. </w:t>
      </w:r>
    </w:p>
    <w:p w14:paraId="169B131E"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قُلنا كتاب ابن قدامة صار هو نقطةَ الارتكازِ والخدمة في المذهب، وهو كتاب: (المقنع).</w:t>
      </w:r>
    </w:p>
    <w:p w14:paraId="56391AB9"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بالمناسبة خلّينا نتوسّع شوي في كتاب (المقنِع)، (المقنِع) هذا من شروحِه أيضًا كتاب: (الإنصاف في معرفة الراجح من الخلاف)، وكتاب (الإنصاف) يأخذ (المقنع) مسألةً مسألةً، فيقولُ مثلًا: "قولُه -رحمه الله تعالى-: كذا، هذا المذهبُ وعليه الأصحاب، والروايةُ الثانيةُ عن الإمام أحمد كذا..."، يبيِّنُ رواياتِ الإمام أحمد في كلِّ مسألة. خلّينا نُكمل وسنرجع أيضًا مرةً أخرى إلى هذه الكتب.</w:t>
      </w:r>
    </w:p>
    <w:p w14:paraId="67C312B8" w14:textId="77777777" w:rsidR="00463186" w:rsidRPr="00CE20AB" w:rsidRDefault="00463186" w:rsidP="00463186">
      <w:pPr>
        <w:pStyle w:val="a6"/>
        <w:numPr>
          <w:ilvl w:val="0"/>
          <w:numId w:val="14"/>
        </w:numPr>
        <w:bidi/>
        <w:rPr>
          <w:rFonts w:ascii="Traditional Arabic" w:eastAsia="MS Gothic" w:hAnsi="Traditional Arabic" w:cs="Traditional Arabic"/>
          <w:sz w:val="36"/>
          <w:szCs w:val="36"/>
          <w:rtl/>
          <w:lang w:val="ar-SA" w:eastAsia="en-GB"/>
        </w:rPr>
      </w:pPr>
      <w:r w:rsidRPr="00CE20AB">
        <w:rPr>
          <w:rFonts w:ascii="Traditional Arabic" w:eastAsia="MS Gothic" w:hAnsi="Traditional Arabic" w:cs="Traditional Arabic"/>
          <w:sz w:val="36"/>
          <w:szCs w:val="36"/>
          <w:rtl/>
          <w:lang w:val="ar-SA" w:eastAsia="en-GB"/>
        </w:rPr>
        <w:t>ابن تيمية</w:t>
      </w:r>
    </w:p>
    <w:p w14:paraId="41B20764" w14:textId="77777777" w:rsidR="00463186" w:rsidRPr="00C35DF4" w:rsidRDefault="00463186" w:rsidP="00463186">
      <w:pPr>
        <w:bidi/>
        <w:spacing w:line="256" w:lineRule="auto"/>
        <w:jc w:val="both"/>
        <w:rPr>
          <w:rFonts w:ascii="Traditional Arabic" w:eastAsia="Traditional Arabic" w:hAnsi="Traditional Arabic" w:cs="Traditional Arabic"/>
          <w:kern w:val="0"/>
          <w:sz w:val="2"/>
          <w:szCs w:val="2"/>
          <w:rtl/>
          <w14:ligatures w14:val="none"/>
        </w:rPr>
      </w:pPr>
    </w:p>
    <w:p w14:paraId="65D26C68"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بعد ذلك جاء الإمام ابن تيميّة رحمه الله تعالى، وألّف كتاب: (المحرَّر) في الفقه.</w:t>
      </w:r>
    </w:p>
    <w:p w14:paraId="5495ACE5" w14:textId="77777777" w:rsidR="00463186" w:rsidRPr="00C35DF4" w:rsidRDefault="00463186" w:rsidP="00463186">
      <w:pPr>
        <w:bidi/>
        <w:spacing w:line="256" w:lineRule="auto"/>
        <w:jc w:val="both"/>
        <w:rPr>
          <w:rFonts w:ascii="Traditional Arabic" w:eastAsia="Traditional Arabic" w:hAnsi="Traditional Arabic" w:cs="Traditional Arabic"/>
          <w:b/>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وابن تيمية هذا -صاحب (المحرّر)- هو الجَدّ. لأنّ آل قُدامة وآل تيمية وآل مُفلح أيضًا هذه من بيوت الحنابلة التي خَرَجَ منها عددٌ من العلماء. يعني ابن قدامة هذا البيت، هذه العائلة -ابن قدامة المقدسي وعائلتُه- صَنّف فيها عددٌ من أهل العلم: عندنا ابنُ قدامة المقدسي صاحب (المقنع) هذا الذي ذكرْناه، وعندنا ابنُ أخيه عبد الرّحمن ابن قدامة شارح (المقنع)، صاحب (الشرح الكبير). وعندنا أيضًا في نفس العائلة صاحب العمدة (عمدة الأحكام) -وليس عمدة الفقه-: عبد الغنيّ المقدسي.  وعندنا أيضًا بهاء الدين المقدسي صاحب (العُدّة في شرح العمدة)، وغيرهم. وبالمناسبة </w:t>
      </w:r>
      <w:r w:rsidRPr="00C35DF4">
        <w:rPr>
          <w:rFonts w:ascii="Traditional Arabic" w:eastAsia="Traditional Arabic" w:hAnsi="Traditional Arabic" w:cs="Traditional Arabic"/>
          <w:b/>
          <w:kern w:val="0"/>
          <w:sz w:val="36"/>
          <w:szCs w:val="36"/>
          <w:rtl/>
          <w14:ligatures w14:val="none"/>
        </w:rPr>
        <w:t>الحنابلة كان لهم وجودٌ كبيرٌ في بيت المقدس وفي فلسطين وفي بلاد الشام.</w:t>
      </w:r>
    </w:p>
    <w:p w14:paraId="0D16A23D"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ابن تيمية رحمه الله هذه العائلة أيضًا فيها الجَدّ، وهو: مجد الدين ابن تيمية. يُسمّى عند الحنابلة: المجد، يسمّونه المجد صاحب كتاب (المحرَّر)، وصاحب كتاب (المنتقى) في الحديث. (منتقى الأخبار) الذي شرحه من؟ الشوكاني، في كتابه: (نيل الأوطار شرح منتقى الأخبار).</w:t>
      </w:r>
    </w:p>
    <w:p w14:paraId="385AB7DB"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lastRenderedPageBreak/>
        <w:t xml:space="preserve">كذلك عندنا الابن وهو: عبد الحليم والد شيخ الإسلام. والحفيد: وهو شيخ الإسلام ابن تيمية أبو العباس أحمد بن عبد الحليم بن عبد السلام. </w:t>
      </w:r>
      <w:r w:rsidRPr="00C35DF4">
        <w:rPr>
          <w:rFonts w:ascii="Traditional Arabic" w:eastAsia="Traditional Arabic" w:hAnsi="Traditional Arabic" w:cs="Traditional Arabic"/>
          <w:b/>
          <w:kern w:val="0"/>
          <w:sz w:val="36"/>
          <w:szCs w:val="36"/>
          <w:rtl/>
          <w14:ligatures w14:val="none"/>
        </w:rPr>
        <w:t>هو وأبوه وجَدّه علماء</w:t>
      </w:r>
      <w:r w:rsidRPr="00C35DF4">
        <w:rPr>
          <w:rFonts w:ascii="Traditional Arabic" w:eastAsia="Traditional Arabic" w:hAnsi="Traditional Arabic" w:cs="Traditional Arabic"/>
          <w:kern w:val="0"/>
          <w:sz w:val="36"/>
          <w:szCs w:val="36"/>
          <w:rtl/>
          <w14:ligatures w14:val="none"/>
        </w:rPr>
        <w:t>. فخاتمتهم شيخ الإسلام أحمد بن عبد الحليم بن عبد السلام بن تيمية الحرّاني. يعني عندنا الجَدّ وعندنا الابن، وعندنا الحفيد ابن تيمية، طيب ابن تيمية شيخ الإسلام له ولد؟ ما تزوج :) لم يتزوّج رحمه الله رحمةً واسعة.</w:t>
      </w:r>
    </w:p>
    <w:p w14:paraId="0B4C2128"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إذن هذا بالنسبة لابن تيمية، وابن تيمية صاحب المحرَّر هذا هو الجَدّ المجد.</w:t>
      </w:r>
    </w:p>
    <w:p w14:paraId="02A0B1C9" w14:textId="77777777" w:rsidR="00463186" w:rsidRPr="00CE20AB" w:rsidRDefault="00463186" w:rsidP="00463186">
      <w:pPr>
        <w:pStyle w:val="a6"/>
        <w:numPr>
          <w:ilvl w:val="0"/>
          <w:numId w:val="14"/>
        </w:numPr>
        <w:bidi/>
        <w:rPr>
          <w:rFonts w:ascii="Traditional Arabic" w:eastAsia="MS Gothic" w:hAnsi="Traditional Arabic" w:cs="Traditional Arabic"/>
          <w:sz w:val="36"/>
          <w:szCs w:val="36"/>
          <w:rtl/>
          <w:lang w:val="ar-SA" w:eastAsia="en-GB"/>
        </w:rPr>
      </w:pPr>
      <w:r w:rsidRPr="00CE20AB">
        <w:rPr>
          <w:rFonts w:ascii="Traditional Arabic" w:eastAsia="MS Gothic" w:hAnsi="Traditional Arabic" w:cs="Traditional Arabic"/>
          <w:sz w:val="36"/>
          <w:szCs w:val="36"/>
          <w:rtl/>
          <w:lang w:val="ar-SA" w:eastAsia="en-GB"/>
        </w:rPr>
        <w:t>ابن مفلح</w:t>
      </w:r>
    </w:p>
    <w:p w14:paraId="69D10C9C"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ومن علماء المذهب في مرحلة التحرير والتنقيح: ابن مُفلح. وابن مفلح هذا أيضًا عندنا جَدٌّ وعندنا حفيد، فالجَدُّ: صاحب كتاب (الفروع) وصاحب كتاب (الآداب الشرعية)، وعندنا ابن حفيده، وهو: ابن مفلح صاحب كتاب (المبدع شرح المقنع).</w:t>
      </w:r>
    </w:p>
    <w:p w14:paraId="13DDBD67" w14:textId="77777777" w:rsidR="00463186" w:rsidRPr="00CE20AB" w:rsidRDefault="00463186" w:rsidP="00463186">
      <w:pPr>
        <w:pStyle w:val="a6"/>
        <w:numPr>
          <w:ilvl w:val="0"/>
          <w:numId w:val="15"/>
        </w:numPr>
        <w:bidi/>
        <w:rPr>
          <w:rFonts w:ascii="Traditional Arabic" w:eastAsia="MS Gothic" w:hAnsi="Traditional Arabic" w:cs="Traditional Arabic"/>
          <w:sz w:val="36"/>
          <w:szCs w:val="36"/>
          <w:rtl/>
          <w:lang w:val="ar-SA" w:eastAsia="en-GB"/>
        </w:rPr>
      </w:pPr>
      <w:r w:rsidRPr="00CE20AB">
        <w:rPr>
          <w:rFonts w:ascii="Traditional Arabic" w:eastAsia="MS Gothic" w:hAnsi="Traditional Arabic" w:cs="Traditional Arabic"/>
          <w:sz w:val="36"/>
          <w:szCs w:val="36"/>
          <w:rtl/>
          <w:lang w:val="ar-SA" w:eastAsia="en-GB"/>
        </w:rPr>
        <w:t>المَرْداوي</w:t>
      </w:r>
    </w:p>
    <w:p w14:paraId="3CB7E525" w14:textId="77777777" w:rsidR="00463186" w:rsidRPr="00C35DF4" w:rsidRDefault="00463186" w:rsidP="00463186">
      <w:pPr>
        <w:bidi/>
        <w:spacing w:line="256" w:lineRule="auto"/>
        <w:jc w:val="both"/>
        <w:rPr>
          <w:rFonts w:ascii="Traditional Arabic" w:eastAsia="Traditional Arabic" w:hAnsi="Traditional Arabic" w:cs="Traditional Arabic"/>
          <w:kern w:val="0"/>
          <w:sz w:val="2"/>
          <w:szCs w:val="2"/>
          <w:rtl/>
          <w14:ligatures w14:val="none"/>
        </w:rPr>
      </w:pPr>
    </w:p>
    <w:p w14:paraId="75DE9647"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 xml:space="preserve">من علماء هذه المرحلة وبه خُتم التنقيح الأول للمذهب، وهو العالِم الذي يُسَمَّى المصحِّح والمرجِّح والمنقِّح، وهو: علاء الدين المرداوي القاضي. </w:t>
      </w:r>
    </w:p>
    <w:p w14:paraId="773819D3"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ألّفَ كتابًا عظيمًا سمّاه (الإنصاف في معرفة الراجح من الخلاف)، هذا الكتاب كتابٌ واحدٌ لكن في بطنه يمكن مئات الكتب! أخذ كلَّ كتب الحنابلة قبله واستقرأها، فيذكر جميع الأقوال التي قال بها علماء الحنابلة. يأتي إلى المسألة الأولى، ويقول لك: هذه المسألة فيها مثلًا ثلاث روايات عن الإمام أحمد.. الأولى رجّحَها فلان وفلان والثانية رجّحها فلان وفلان وهكذا..</w:t>
      </w:r>
    </w:p>
    <w:p w14:paraId="3E43B38E"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فإذا أردتَ أن تعرفَ رواياتِ وأوجه المذهب الحنبلي -لأنّ المذهب الحنبلي قد يكون فيه أكثر من روايةٍ وأكثر من قولٍ في داخل المذهب- ترجِع إلى كتاب (الإنصاف) للمرداوي رحمه الله.</w:t>
      </w:r>
    </w:p>
    <w:p w14:paraId="464C2AD3" w14:textId="77777777" w:rsidR="00463186" w:rsidRPr="00C35DF4" w:rsidRDefault="00463186" w:rsidP="00463186">
      <w:pPr>
        <w:bidi/>
        <w:spacing w:line="256" w:lineRule="auto"/>
        <w:jc w:val="both"/>
        <w:rPr>
          <w:rFonts w:ascii="Traditional Arabic" w:eastAsia="Traditional Arabic" w:hAnsi="Traditional Arabic" w:cs="Traditional Arabic"/>
          <w:kern w:val="0"/>
          <w:sz w:val="36"/>
          <w:szCs w:val="36"/>
          <w14:ligatures w14:val="none"/>
        </w:rPr>
      </w:pPr>
      <w:r w:rsidRPr="00C35DF4">
        <w:rPr>
          <w:rFonts w:ascii="Traditional Arabic" w:eastAsia="Traditional Arabic" w:hAnsi="Traditional Arabic" w:cs="Traditional Arabic"/>
          <w:kern w:val="0"/>
          <w:sz w:val="36"/>
          <w:szCs w:val="36"/>
          <w:rtl/>
          <w14:ligatures w14:val="none"/>
        </w:rPr>
        <w:t>وصحّح المذهب، واعتمد الناسُ على كتبه في تصحيح المذهب.</w:t>
      </w:r>
    </w:p>
    <w:p w14:paraId="7313AB21" w14:textId="77777777" w:rsidR="00463186" w:rsidRPr="00147929" w:rsidRDefault="00463186" w:rsidP="00463186">
      <w:pPr>
        <w:pStyle w:val="a6"/>
        <w:numPr>
          <w:ilvl w:val="0"/>
          <w:numId w:val="16"/>
        </w:numPr>
        <w:bidi/>
        <w:rPr>
          <w:rFonts w:ascii="Traditional Arabic" w:eastAsia="MS Gothic" w:hAnsi="Traditional Arabic" w:cs="Traditional Arabic"/>
          <w:sz w:val="36"/>
          <w:szCs w:val="36"/>
          <w:rtl/>
          <w:lang w:val="ar-SA" w:eastAsia="en-GB"/>
        </w:rPr>
      </w:pPr>
      <w:r w:rsidRPr="00147929">
        <w:rPr>
          <w:rFonts w:ascii="Traditional Arabic" w:eastAsia="MS Gothic" w:hAnsi="Traditional Arabic" w:cs="Traditional Arabic"/>
          <w:sz w:val="36"/>
          <w:szCs w:val="36"/>
          <w:rtl/>
          <w:lang w:val="ar-SA" w:eastAsia="en-GB"/>
        </w:rPr>
        <w:t>كتب المرداوي:</w:t>
      </w:r>
    </w:p>
    <w:p w14:paraId="5498FFF5" w14:textId="77777777" w:rsidR="00463186" w:rsidRPr="00355C12" w:rsidRDefault="00463186" w:rsidP="00463186">
      <w:pPr>
        <w:numPr>
          <w:ilvl w:val="0"/>
          <w:numId w:val="7"/>
        </w:numPr>
        <w:bidi/>
        <w:spacing w:after="0" w:line="240" w:lineRule="auto"/>
        <w:contextualSpacing/>
        <w:rPr>
          <w:rFonts w:ascii="Traditional Arabic" w:eastAsia="Times New Roman" w:hAnsi="Traditional Arabic" w:cs="Traditional Arabic"/>
          <w:color w:val="0D0D0D"/>
          <w:kern w:val="0"/>
          <w:sz w:val="36"/>
          <w:szCs w:val="36"/>
          <w14:ligatures w14:val="none"/>
        </w:rPr>
      </w:pPr>
      <w:r w:rsidRPr="00355C12">
        <w:rPr>
          <w:rFonts w:ascii="Traditional Arabic" w:eastAsia="Times New Roman" w:hAnsi="Traditional Arabic" w:cs="Traditional Arabic"/>
          <w:color w:val="0D0D0D"/>
          <w:kern w:val="0"/>
          <w:sz w:val="36"/>
          <w:szCs w:val="36"/>
          <w:rtl/>
          <w14:ligatures w14:val="none"/>
        </w:rPr>
        <w:lastRenderedPageBreak/>
        <w:t>المرداوي له كتاب</w:t>
      </w:r>
      <w:r w:rsidRPr="00355C12">
        <w:rPr>
          <w:rFonts w:ascii="Traditional Arabic" w:eastAsia="Times New Roman" w:hAnsi="Traditional Arabic" w:cs="Traditional Arabic" w:hint="cs"/>
          <w:color w:val="0D0D0D"/>
          <w:kern w:val="0"/>
          <w:sz w:val="36"/>
          <w:szCs w:val="36"/>
          <w:rtl/>
          <w14:ligatures w14:val="none"/>
        </w:rPr>
        <w:t xml:space="preserve"> </w:t>
      </w:r>
      <w:r w:rsidRPr="00355C12">
        <w:rPr>
          <w:rFonts w:ascii="Traditional Arabic" w:eastAsia="Times New Roman" w:hAnsi="Traditional Arabic" w:cs="Traditional Arabic"/>
          <w:color w:val="0D0D0D"/>
          <w:kern w:val="0"/>
          <w:sz w:val="36"/>
          <w:szCs w:val="36"/>
          <w:rtl/>
          <w14:ligatures w14:val="none"/>
        </w:rPr>
        <w:t>(الإنصاف).</w:t>
      </w:r>
    </w:p>
    <w:p w14:paraId="0CA0344C"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وله كتب أخرى.. يعني له كتاب في أصول الفقه، كتاب كبير اسمه (التَّحرير)، وله شرحٌ اسمه (التحبير).</w:t>
      </w:r>
    </w:p>
    <w:p w14:paraId="7902F65D"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وله أيضًا كتبٌ أخرى في الفقه، مثل: (التَّنقيح المُشبِع في تحرير أحكام المُقنِع)، وله كتاب (تصحيح الفروع). الفروع لمن؟ لابن مُفلح الجَد، وصحَّحَه المرداوي؛ كتب عليه كتابًا سمَّاه (تصحيح الفروع).</w:t>
      </w:r>
    </w:p>
    <w:p w14:paraId="01B234D1" w14:textId="77777777" w:rsidR="00463186" w:rsidRDefault="00463186" w:rsidP="00463186">
      <w:pPr>
        <w:bidi/>
        <w:rPr>
          <w:rFonts w:ascii="Traditional Arabic" w:hAnsi="Traditional Arabic" w:cs="Traditional Arabic"/>
          <w:sz w:val="36"/>
          <w:szCs w:val="36"/>
          <w:rtl/>
        </w:rPr>
      </w:pPr>
    </w:p>
    <w:p w14:paraId="2CA0E01D" w14:textId="77777777" w:rsidR="00463186" w:rsidRPr="00355C12" w:rsidRDefault="00463186" w:rsidP="00463186">
      <w:pPr>
        <w:keepNext/>
        <w:keepLines/>
        <w:pBdr>
          <w:right w:val="thinThickSmallGap" w:sz="24" w:space="4" w:color="5E806D"/>
        </w:pBdr>
        <w:shd w:val="clear" w:color="auto" w:fill="9CB7A8"/>
        <w:bidi/>
        <w:spacing w:before="40" w:after="0"/>
        <w:outlineLvl w:val="2"/>
        <w:rPr>
          <w:rFonts w:ascii="Traditional Arabic" w:eastAsia="MS Gothic" w:hAnsi="Traditional Arabic" w:cs="Traditional Arabic"/>
          <w:b/>
          <w:bCs/>
          <w:color w:val="FFFFFF"/>
          <w:sz w:val="40"/>
          <w:szCs w:val="40"/>
          <w:rtl/>
          <w:lang w:val="ar-SA" w:eastAsia="en-GB"/>
        </w:rPr>
      </w:pPr>
      <w:bookmarkStart w:id="6" w:name="_Toc188395330"/>
      <w:bookmarkStart w:id="7" w:name="_Toc188874989"/>
      <w:r w:rsidRPr="00355C12">
        <w:rPr>
          <w:rFonts w:ascii="Traditional Arabic" w:eastAsia="MS Gothic" w:hAnsi="Traditional Arabic" w:cs="Traditional Arabic" w:hint="cs"/>
          <w:b/>
          <w:bCs/>
          <w:color w:val="FFFFFF"/>
          <w:sz w:val="40"/>
          <w:szCs w:val="40"/>
          <w:rtl/>
          <w:lang w:val="ar-SA" w:eastAsia="en-GB"/>
        </w:rPr>
        <w:t>دور الاستقرار</w:t>
      </w:r>
      <w:bookmarkEnd w:id="6"/>
      <w:bookmarkEnd w:id="7"/>
    </w:p>
    <w:p w14:paraId="32C27621"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ثُمَّ جاءت المرحلة الثَّالثة وهي دور استقرار المذهب، وكُتبت فيها المُتون، منها: كتاب الحجَّاوي المُسمَّى بالإقناع</w:t>
      </w:r>
      <w:r>
        <w:rPr>
          <w:rFonts w:ascii="Traditional Arabic" w:eastAsia="Times New Roman" w:hAnsi="Traditional Arabic" w:cs="Traditional Arabic" w:hint="cs"/>
          <w:color w:val="0D0D0D"/>
          <w:kern w:val="0"/>
          <w:sz w:val="36"/>
          <w:szCs w:val="36"/>
          <w:rtl/>
          <w14:ligatures w14:val="none"/>
        </w:rPr>
        <w:t>.</w:t>
      </w:r>
      <w:r w:rsidRPr="00355C12">
        <w:rPr>
          <w:rFonts w:ascii="Traditional Arabic" w:eastAsia="Times New Roman" w:hAnsi="Traditional Arabic" w:cs="Traditional Arabic"/>
          <w:color w:val="0D0D0D"/>
          <w:kern w:val="0"/>
          <w:sz w:val="36"/>
          <w:szCs w:val="36"/>
          <w:rtl/>
          <w14:ligatures w14:val="none"/>
        </w:rPr>
        <w:t xml:space="preserve"> </w:t>
      </w:r>
    </w:p>
    <w:p w14:paraId="693AA64E" w14:textId="77777777" w:rsidR="00463186" w:rsidRPr="00355C12" w:rsidRDefault="00463186" w:rsidP="00463186">
      <w:pPr>
        <w:bidi/>
        <w:spacing w:after="0" w:line="240" w:lineRule="auto"/>
        <w:contextualSpacing/>
        <w:rPr>
          <w:rFonts w:ascii="Traditional Arabic" w:eastAsia="SimSun" w:hAnsi="Traditional Arabic" w:cs="Traditional Arabic"/>
          <w:kern w:val="0"/>
          <w:sz w:val="16"/>
          <w:szCs w:val="16"/>
          <w:rtl/>
          <w:lang w:eastAsia="zh-CN"/>
          <w14:ligatures w14:val="none"/>
        </w:rPr>
      </w:pPr>
    </w:p>
    <w:p w14:paraId="0A0AE1C5" w14:textId="77777777" w:rsidR="00463186" w:rsidRPr="00C0151D" w:rsidRDefault="00463186" w:rsidP="00463186">
      <w:pPr>
        <w:pStyle w:val="a6"/>
        <w:numPr>
          <w:ilvl w:val="0"/>
          <w:numId w:val="17"/>
        </w:numPr>
        <w:bidi/>
        <w:rPr>
          <w:rFonts w:ascii="Traditional Arabic" w:eastAsia="MS Gothic" w:hAnsi="Traditional Arabic" w:cs="Traditional Arabic"/>
          <w:sz w:val="36"/>
          <w:szCs w:val="36"/>
          <w:rtl/>
          <w:lang w:val="ar-SA" w:eastAsia="en-GB"/>
        </w:rPr>
      </w:pPr>
      <w:r w:rsidRPr="00C0151D">
        <w:rPr>
          <w:rFonts w:ascii="Traditional Arabic" w:eastAsia="MS Gothic" w:hAnsi="Traditional Arabic" w:cs="Traditional Arabic"/>
          <w:sz w:val="36"/>
          <w:szCs w:val="36"/>
          <w:rtl/>
          <w:lang w:val="ar-SA" w:eastAsia="en-GB"/>
        </w:rPr>
        <w:t xml:space="preserve">الحجّاوي: </w:t>
      </w:r>
    </w:p>
    <w:p w14:paraId="5E83F777"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 xml:space="preserve">بالنِّسبة لاستقرار المذهب، جاء العالم الذي يُقال له: موسى الحجَّاوي وألَّف كتابه (الإقناع لطالب الانتفاع) وهذا أوسع متن في المذهب الحنبلي، أربع مجلَّدات، وهو مطبوع بتحقيق الشيخ عبد الله التُّركي، وهو كتاب مُوسَّع ومفيد جدًا جدًا، تمام؟ </w:t>
      </w:r>
    </w:p>
    <w:p w14:paraId="07B97337"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وأيضًا له كتاب مشهور اعتمده الحنابلة في التَّدريس -الحجّاوي هذا- وهو (زاد المُستقنِع) الذي شرحه كثير من أهل العلم.</w:t>
      </w:r>
    </w:p>
    <w:p w14:paraId="7085B66E" w14:textId="77777777" w:rsidR="00463186" w:rsidRPr="00986B9F"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(الإقناع) هذا شرحه البُهوتي في (كشَّاف القناع) وستأتي الإشارة إليه، وأمّا (زاد المُستقنِع) وهو كتاب اعتُمد في التَّدريس، لو نتكلَّم عن (زاد المُستقنِع) محاضرة واحدة، بس عن الزَّاد والكتب التي شرحته يمكن يا الله تكفينا.</w:t>
      </w:r>
    </w:p>
    <w:p w14:paraId="54B495AB" w14:textId="77777777" w:rsidR="00463186" w:rsidRPr="00355C12" w:rsidRDefault="00463186" w:rsidP="00463186">
      <w:pPr>
        <w:numPr>
          <w:ilvl w:val="0"/>
          <w:numId w:val="8"/>
        </w:numPr>
        <w:bidi/>
        <w:spacing w:after="0" w:line="240" w:lineRule="auto"/>
        <w:contextualSpacing/>
        <w:rPr>
          <w:rFonts w:ascii="Traditional Arabic" w:eastAsia="Times New Roman" w:hAnsi="Traditional Arabic" w:cs="Traditional Arabic"/>
          <w:color w:val="0D0D0D"/>
          <w:kern w:val="0"/>
          <w:sz w:val="36"/>
          <w:szCs w:val="36"/>
          <w14:ligatures w14:val="none"/>
        </w:rPr>
      </w:pPr>
      <w:r w:rsidRPr="00355C12">
        <w:rPr>
          <w:rFonts w:ascii="Traditional Arabic" w:eastAsia="Arial Unicode MS" w:hAnsi="Traditional Arabic" w:cs="Traditional Arabic" w:hint="cs"/>
          <w:kern w:val="0"/>
          <w:sz w:val="36"/>
          <w:szCs w:val="36"/>
          <w:rtl/>
          <w:lang w:val="ar-SA" w:eastAsia="fr-FR"/>
          <w14:ligatures w14:val="none"/>
        </w:rPr>
        <w:t>(</w:t>
      </w:r>
      <w:r w:rsidRPr="00355C12">
        <w:rPr>
          <w:rFonts w:ascii="Traditional Arabic" w:eastAsia="Arial Unicode MS" w:hAnsi="Traditional Arabic" w:cs="Traditional Arabic"/>
          <w:kern w:val="0"/>
          <w:sz w:val="36"/>
          <w:szCs w:val="36"/>
          <w:rtl/>
          <w:lang w:val="ar-SA" w:eastAsia="fr-FR"/>
          <w14:ligatures w14:val="none"/>
        </w:rPr>
        <w:t>شروح</w:t>
      </w:r>
      <w:r w:rsidRPr="00355C12">
        <w:rPr>
          <w:rFonts w:ascii="Traditional Arabic" w:eastAsia="Arial Unicode MS" w:hAnsi="Traditional Arabic" w:cs="Traditional Arabic"/>
          <w:b/>
          <w:bCs/>
          <w:kern w:val="0"/>
          <w:sz w:val="36"/>
          <w:szCs w:val="36"/>
          <w:rtl/>
          <w:lang w:val="ar-SA" w:eastAsia="fr-FR"/>
          <w14:ligatures w14:val="none"/>
        </w:rPr>
        <w:t xml:space="preserve"> (</w:t>
      </w:r>
      <w:r w:rsidRPr="00355C12">
        <w:rPr>
          <w:rFonts w:ascii="Traditional Arabic" w:eastAsia="Arial Unicode MS" w:hAnsi="Traditional Arabic" w:cs="Traditional Arabic"/>
          <w:kern w:val="0"/>
          <w:sz w:val="36"/>
          <w:szCs w:val="36"/>
          <w:rtl/>
          <w:lang w:val="ar-SA" w:eastAsia="fr-FR"/>
          <w14:ligatures w14:val="none"/>
        </w:rPr>
        <w:t>زاد</w:t>
      </w:r>
      <w:r w:rsidRPr="00355C12">
        <w:rPr>
          <w:rFonts w:ascii="Traditional Arabic" w:eastAsia="Arial Unicode MS" w:hAnsi="Traditional Arabic" w:cs="Traditional Arabic"/>
          <w:b/>
          <w:bCs/>
          <w:kern w:val="0"/>
          <w:sz w:val="36"/>
          <w:szCs w:val="36"/>
          <w:rtl/>
          <w:lang w:val="ar-SA" w:eastAsia="fr-FR"/>
          <w14:ligatures w14:val="none"/>
        </w:rPr>
        <w:t xml:space="preserve"> </w:t>
      </w:r>
      <w:r w:rsidRPr="00355C12">
        <w:rPr>
          <w:rFonts w:ascii="Traditional Arabic" w:eastAsia="Arial Unicode MS" w:hAnsi="Traditional Arabic" w:cs="Traditional Arabic"/>
          <w:kern w:val="0"/>
          <w:sz w:val="36"/>
          <w:szCs w:val="36"/>
          <w:rtl/>
          <w:lang w:val="ar-SA" w:eastAsia="fr-FR"/>
          <w14:ligatures w14:val="none"/>
        </w:rPr>
        <w:t xml:space="preserve">المستقنع </w:t>
      </w:r>
      <w:r w:rsidRPr="00355C12">
        <w:rPr>
          <w:rFonts w:ascii="Traditional Arabic" w:eastAsia="Times New Roman" w:hAnsi="Traditional Arabic" w:cs="Traditional Arabic" w:hint="cs"/>
          <w:color w:val="0D0D0D"/>
          <w:kern w:val="0"/>
          <w:sz w:val="36"/>
          <w:szCs w:val="36"/>
          <w:rtl/>
          <w14:ligatures w14:val="none"/>
        </w:rPr>
        <w:t>)</w:t>
      </w:r>
    </w:p>
    <w:p w14:paraId="2EDE96C4"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الزاد هذا (زاد المستقنِع) ألّف عليه البُهوتي (الرَّوض المُربِع)، (الرَّوض المُربِع) وهو المقرَّب في كليّات الشَّريعة في أكثر جامعات المملكة العربية السُّعودية، كتاب (الرَّوض المُربِع)، لمن؟ للشِّيخ منصور بن يونس البُهوتي المصري رحمه الله. </w:t>
      </w:r>
    </w:p>
    <w:p w14:paraId="2C4AA848"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lastRenderedPageBreak/>
        <w:t>الشِّيخ منصور البُهوتي ألّف (الرَّوض المُربِع)، جاء عدد من العلماء وكتبوا حواشي على (الروض المُربِع)، من أوسعها: حاشية الشِّيخ عبد الرَّحمن بن قاسم النَّجدي، في سبع مُجلَّدات. وفي حاشية للشِّيخ عبد الله العنقري، في ثلاثة مُجلَّدات عن (الرَّوض المُربع). وفي حاشية ابن فيروز.</w:t>
      </w:r>
    </w:p>
    <w:p w14:paraId="4726AC25"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وفي من الشُّروح المعاصرة على زاد المستقنع:</w:t>
      </w:r>
      <w:r w:rsidRPr="00355C12">
        <w:rPr>
          <w:rFonts w:ascii="Traditional Arabic" w:eastAsia="Helvetica" w:hAnsi="Traditional Arabic" w:cs="Traditional Arabic"/>
          <w:kern w:val="0"/>
          <w:sz w:val="36"/>
          <w:szCs w:val="36"/>
          <w:lang w:val="fr-FR" w:eastAsia="fr-FR" w:bidi="ar-DZ"/>
          <w14:ligatures w14:val="none"/>
        </w:rPr>
        <w:t xml:space="preserve"> </w:t>
      </w:r>
      <w:r w:rsidRPr="00355C12">
        <w:rPr>
          <w:rFonts w:ascii="Traditional Arabic" w:eastAsia="Arial Unicode MS" w:hAnsi="Traditional Arabic" w:cs="Traditional Arabic"/>
          <w:kern w:val="0"/>
          <w:sz w:val="36"/>
          <w:szCs w:val="36"/>
          <w:rtl/>
          <w:lang w:val="ar-SA" w:eastAsia="fr-FR"/>
          <w14:ligatures w14:val="none"/>
        </w:rPr>
        <w:t xml:space="preserve">الشرح الممتع للشِّيخ ابن عثيمين، وفي أكثر من شرح للشِّيخ صالح الفوزان حفظه الله، وفي شرح للشيخ فيصل المبارك، اسمه: (كلمات السَّداد على متن الزَّاد). أيضًا في شرح لـ (زاد المُستقنِع) للشيخ صالح البليهي، المسمّى بـ: (السَّلسبيل في معرفة الدَّليل)، هذا أيضًا شرح على (زاد المُستقنِع). </w:t>
      </w:r>
    </w:p>
    <w:p w14:paraId="31A6E70D" w14:textId="77777777" w:rsidR="00463186" w:rsidRPr="00355C12" w:rsidRDefault="00463186" w:rsidP="00463186">
      <w:pPr>
        <w:numPr>
          <w:ilvl w:val="0"/>
          <w:numId w:val="6"/>
        </w:numPr>
        <w:bidi/>
        <w:spacing w:after="0" w:line="240" w:lineRule="auto"/>
        <w:contextualSpacing/>
        <w:rPr>
          <w:rFonts w:ascii="Traditional Arabic" w:eastAsia="SimSun" w:hAnsi="Traditional Arabic" w:cs="Traditional Arabic"/>
          <w:kern w:val="0"/>
          <w:sz w:val="36"/>
          <w:szCs w:val="36"/>
          <w:lang w:eastAsia="zh-CN"/>
          <w14:ligatures w14:val="none"/>
        </w:rPr>
      </w:pPr>
      <w:r w:rsidRPr="00355C12">
        <w:rPr>
          <w:rFonts w:ascii="Traditional Arabic" w:eastAsia="SimSun" w:hAnsi="Traditional Arabic" w:cs="Traditional Arabic"/>
          <w:kern w:val="0"/>
          <w:sz w:val="36"/>
          <w:szCs w:val="36"/>
          <w:rtl/>
          <w:lang w:eastAsia="zh-CN"/>
          <w14:ligatures w14:val="none"/>
        </w:rPr>
        <w:t>ابن النجّار:</w:t>
      </w:r>
    </w:p>
    <w:p w14:paraId="6AFAAEDE" w14:textId="77777777" w:rsidR="00463186" w:rsidRPr="00355C12" w:rsidRDefault="00463186" w:rsidP="00463186">
      <w:pPr>
        <w:bidi/>
        <w:spacing w:after="0" w:line="240" w:lineRule="auto"/>
        <w:rPr>
          <w:rFonts w:ascii="Traditional Arabic" w:eastAsia="SimSun" w:hAnsi="Traditional Arabic" w:cs="Traditional Arabic"/>
          <w:kern w:val="0"/>
          <w:sz w:val="36"/>
          <w:szCs w:val="36"/>
          <w:rtl/>
          <w:lang w:val="ar-SA" w:eastAsia="zh-CN"/>
          <w14:ligatures w14:val="none"/>
        </w:rPr>
      </w:pPr>
      <w:r w:rsidRPr="00355C12">
        <w:rPr>
          <w:rFonts w:ascii="Traditional Arabic" w:eastAsia="Times New Roman" w:hAnsi="Traditional Arabic" w:cs="Traditional Arabic"/>
          <w:color w:val="0D0D0D"/>
          <w:kern w:val="0"/>
          <w:sz w:val="36"/>
          <w:szCs w:val="36"/>
          <w:rtl/>
          <w14:ligatures w14:val="none"/>
        </w:rPr>
        <w:t xml:space="preserve">ننتقل بعد ذلك إلى العالِم الثَّاني وهو ابن النجّار الفُتوحي، مصري. الحجّاوي هذا من بلاد الشَّام، شامِّي. وبالمناسبة في المرحلة المتأخِّرة هذي يعني تكاد تنحصر خدمة المذهب، وجهود المذهب في: أهل الشَّام، وأهل مصر. ثُمَّ بعد ذلك ظهرت أيضًا مدرسة في نجد -الحنابلة-؛ لكن في مرحلة الحجّاوي والبُهوتي تلاقي الحجّاوي في الشَّام، وابن النجّار في مصر؛ </w:t>
      </w:r>
      <w:r w:rsidRPr="00355C12">
        <w:rPr>
          <w:rFonts w:ascii="Traditional Arabic" w:eastAsia="Arial Unicode MS" w:hAnsi="Traditional Arabic" w:cs="Traditional Arabic"/>
          <w:kern w:val="0"/>
          <w:sz w:val="36"/>
          <w:szCs w:val="36"/>
          <w:rtl/>
          <w:lang w:val="ar-SA" w:eastAsia="zh-CN"/>
          <w14:ligatures w14:val="none"/>
        </w:rPr>
        <w:t>وهذا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الكتاب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الذي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ألّفه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ابن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النجّار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اسمه</w:t>
      </w:r>
      <w:r w:rsidRPr="00355C12">
        <w:rPr>
          <w:rFonts w:ascii="Traditional Arabic" w:eastAsia="SimSun" w:hAnsi="Traditional Arabic" w:cs="Traditional Arabic"/>
          <w:kern w:val="0"/>
          <w:sz w:val="36"/>
          <w:szCs w:val="36"/>
          <w:rtl/>
          <w:lang w:val="ar-SA" w:eastAsia="zh-CN"/>
          <w14:ligatures w14:val="none"/>
        </w:rPr>
        <w:t>: (</w:t>
      </w:r>
      <w:r w:rsidRPr="00355C12">
        <w:rPr>
          <w:rFonts w:ascii="Traditional Arabic" w:eastAsia="Arial Unicode MS" w:hAnsi="Traditional Arabic" w:cs="Traditional Arabic"/>
          <w:kern w:val="0"/>
          <w:sz w:val="36"/>
          <w:szCs w:val="36"/>
          <w:rtl/>
          <w:lang w:val="ar-SA" w:eastAsia="zh-CN"/>
          <w14:ligatures w14:val="none"/>
        </w:rPr>
        <w:t>منتهى</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الإرادات</w:t>
      </w:r>
      <w:r w:rsidRPr="00355C12">
        <w:rPr>
          <w:rFonts w:ascii="Traditional Arabic" w:eastAsia="SimSun" w:hAnsi="Traditional Arabic" w:cs="Traditional Arabic"/>
          <w:kern w:val="0"/>
          <w:sz w:val="36"/>
          <w:szCs w:val="36"/>
          <w:rtl/>
          <w:lang w:val="ar-SA" w:eastAsia="zh-CN"/>
          <w14:ligatures w14:val="none"/>
        </w:rPr>
        <w:t xml:space="preserve">). </w:t>
      </w:r>
    </w:p>
    <w:p w14:paraId="2E136FFD"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Arial Unicode MS" w:hAnsi="Traditional Arabic" w:cs="Traditional Arabic"/>
          <w:kern w:val="0"/>
          <w:sz w:val="36"/>
          <w:szCs w:val="36"/>
          <w:rtl/>
          <w:lang w:val="ar-SA" w:eastAsia="zh-CN"/>
          <w14:ligatures w14:val="none"/>
        </w:rPr>
        <w:t>وبعد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ألف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الحجّاوي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الإقناع</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وابن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النجّار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ألَّف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المُنتهى</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صار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الحنابلة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عندهم</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إذا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اتفقَّ</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الإقناع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المُنتهى</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على</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قولٍ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فهو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المُعتمد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المذهب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نزاع؛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ولذلك</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يقول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شيخنا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ابن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عقيل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رحمه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الله</w:t>
      </w:r>
      <w:r w:rsidRPr="00355C12">
        <w:rPr>
          <w:rFonts w:ascii="Traditional Arabic" w:eastAsia="SimSun" w:hAnsi="Traditional Arabic" w:cs="Traditional Arabic"/>
          <w:kern w:val="0"/>
          <w:sz w:val="36"/>
          <w:szCs w:val="36"/>
          <w:rtl/>
          <w:lang w:val="ar-SA" w:eastAsia="zh-CN"/>
          <w14:ligatures w14:val="none"/>
        </w:rPr>
        <w:t xml:space="preserve">: </w:t>
      </w:r>
    </w:p>
    <w:p w14:paraId="3ABC01C5" w14:textId="77777777" w:rsidR="00463186" w:rsidRPr="00355C12" w:rsidRDefault="00463186" w:rsidP="00463186">
      <w:pPr>
        <w:bidi/>
        <w:spacing w:after="0" w:line="240" w:lineRule="auto"/>
        <w:jc w:val="center"/>
        <w:rPr>
          <w:rFonts w:ascii="Traditional Arabic" w:eastAsia="Helvetica" w:hAnsi="Traditional Arabic" w:cs="Traditional Arabic"/>
          <w:color w:val="4F6228"/>
          <w:kern w:val="0"/>
          <w:sz w:val="36"/>
          <w:szCs w:val="36"/>
          <w:lang w:val="fr-FR" w:eastAsia="fr-FR"/>
          <w14:ligatures w14:val="none"/>
        </w:rPr>
      </w:pPr>
      <w:r w:rsidRPr="00355C12">
        <w:rPr>
          <w:rFonts w:ascii="Traditional Arabic" w:eastAsia="Arial Unicode MS" w:hAnsi="Traditional Arabic" w:cs="Traditional Arabic"/>
          <w:color w:val="4F6228"/>
          <w:kern w:val="0"/>
          <w:sz w:val="36"/>
          <w:szCs w:val="36"/>
          <w:rtl/>
          <w:lang w:val="ar-SA" w:eastAsia="fr-FR"/>
          <w14:ligatures w14:val="none"/>
        </w:rPr>
        <w:t>والمُنتهى إن وافقَ الإقناعَ</w:t>
      </w:r>
      <w:r w:rsidRPr="00355C12">
        <w:rPr>
          <w:rFonts w:ascii="Traditional Arabic" w:eastAsia="Helvetica" w:hAnsi="Traditional Arabic" w:cs="Traditional Arabic"/>
          <w:color w:val="4F6228"/>
          <w:kern w:val="0"/>
          <w:sz w:val="36"/>
          <w:szCs w:val="36"/>
          <w:lang w:val="fr-FR" w:eastAsia="fr-FR" w:bidi="ar-DZ"/>
          <w14:ligatures w14:val="none"/>
        </w:rPr>
        <w:t xml:space="preserve">     </w:t>
      </w:r>
      <w:r w:rsidRPr="00355C12">
        <w:rPr>
          <w:rFonts w:ascii="Traditional Arabic" w:eastAsia="Arial Unicode MS" w:hAnsi="Traditional Arabic" w:cs="Traditional Arabic"/>
          <w:color w:val="4F6228"/>
          <w:kern w:val="0"/>
          <w:sz w:val="36"/>
          <w:szCs w:val="36"/>
          <w:rtl/>
          <w:lang w:val="ar-SA" w:eastAsia="fr-FR"/>
          <w14:ligatures w14:val="none"/>
        </w:rPr>
        <w:t>فذلك المذهبُ لا نزاعَ</w:t>
      </w:r>
    </w:p>
    <w:p w14:paraId="599CB9A2"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fr-FR" w:eastAsia="fr-FR"/>
          <w14:ligatures w14:val="none"/>
        </w:rPr>
        <w:t xml:space="preserve">طيِّب، </w:t>
      </w:r>
      <w:r w:rsidRPr="00355C12">
        <w:rPr>
          <w:rFonts w:ascii="Traditional Arabic" w:eastAsia="Arial Unicode MS" w:hAnsi="Traditional Arabic" w:cs="Traditional Arabic"/>
          <w:kern w:val="0"/>
          <w:sz w:val="36"/>
          <w:szCs w:val="36"/>
          <w:rtl/>
          <w:lang w:val="ar-SA" w:eastAsia="fr-FR"/>
          <w14:ligatures w14:val="none"/>
        </w:rPr>
        <w:t xml:space="preserve">إذًا هذا بالنّسبة للحجّاوي وابن النجّار. </w:t>
      </w:r>
    </w:p>
    <w:p w14:paraId="6C8A583C"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وابن النجّار أيضًا ألّف في أصول الفقه كتابًا في المذهب الحنبلي وهو (مختصر التَّحرير)، وشرحه أيضًا بكتابه (شرح الكوكب المُنير) وهو من أنفَس كُتب الحنابلة في أصول الفقه، كتاب مركّز، ومختصر، ومرتّب، وجامع، اسمه (شرح الكوكب المُنير) وهو شرحٌ على (مختصر التَّحرير)، (التحرير) لمن؟</w:t>
      </w:r>
      <w:r w:rsidRPr="00355C12">
        <w:rPr>
          <w:rFonts w:ascii="Traditional Arabic" w:eastAsia="Arial Unicode MS" w:hAnsi="Traditional Arabic" w:cs="Traditional Arabic"/>
          <w:kern w:val="0"/>
          <w:sz w:val="36"/>
          <w:szCs w:val="36"/>
          <w:rtl/>
          <w:lang w:val="ar-SA" w:eastAsia="zh-CN"/>
          <w14:ligatures w14:val="none"/>
        </w:rPr>
        <w:br/>
        <w:t xml:space="preserve">- </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التَّحرير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للمرداوي،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واختصره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ابن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النجّار</w:t>
      </w:r>
      <w:r w:rsidRPr="00355C12">
        <w:rPr>
          <w:rFonts w:ascii="Traditional Arabic" w:eastAsia="SimSun" w:hAnsi="Traditional Arabic" w:cs="Traditional Arabic"/>
          <w:kern w:val="0"/>
          <w:sz w:val="36"/>
          <w:szCs w:val="36"/>
          <w:rtl/>
          <w:lang w:val="ar-SA" w:eastAsia="zh-CN"/>
          <w14:ligatures w14:val="none"/>
        </w:rPr>
        <w:t xml:space="preserve">. </w:t>
      </w:r>
    </w:p>
    <w:p w14:paraId="1267F494"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lastRenderedPageBreak/>
        <w:t xml:space="preserve">أنا أُدرك أن بعض الناس يمكن ما يلحّق على أسماء الكتب هذي، وتلخبط شوية؛ لكن مجرّد سماعك لها يعني مفيد، حتى لو ما حفظتها كلها، طيِّب. </w:t>
      </w:r>
    </w:p>
    <w:p w14:paraId="391E9221" w14:textId="77777777" w:rsidR="00463186" w:rsidRPr="00C0151D" w:rsidRDefault="00463186" w:rsidP="00463186">
      <w:pPr>
        <w:pStyle w:val="a6"/>
        <w:numPr>
          <w:ilvl w:val="0"/>
          <w:numId w:val="8"/>
        </w:numPr>
        <w:bidi/>
        <w:spacing w:after="0" w:line="240" w:lineRule="auto"/>
        <w:rPr>
          <w:rFonts w:ascii="Traditional Arabic" w:eastAsia="SimSun" w:hAnsi="Traditional Arabic" w:cs="Traditional Arabic"/>
          <w:kern w:val="0"/>
          <w:sz w:val="36"/>
          <w:szCs w:val="36"/>
          <w:lang w:eastAsia="zh-CN"/>
          <w14:ligatures w14:val="none"/>
        </w:rPr>
      </w:pPr>
      <w:r w:rsidRPr="00C0151D">
        <w:rPr>
          <w:rFonts w:ascii="Traditional Arabic" w:eastAsia="SimSun" w:hAnsi="Traditional Arabic" w:cs="Traditional Arabic"/>
          <w:kern w:val="0"/>
          <w:sz w:val="36"/>
          <w:szCs w:val="36"/>
          <w:rtl/>
          <w:lang w:eastAsia="zh-CN"/>
          <w14:ligatures w14:val="none"/>
        </w:rPr>
        <w:t xml:space="preserve">الشيخ مرعي الكرمي: </w:t>
      </w:r>
    </w:p>
    <w:p w14:paraId="64D8D6F3"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أيضًا من علماء هذه المرحلة: الشيخ مرعي الكرمي، مرعي بن يوسف الكرمي، من بلاد الشَّام، وألَّف كُتُبًا كثيرة؛ من أبرزها كتابان: كتابٌ يعتبر مرجع في معرفة المذهب، وكتاب يعتبر كتابًا دراسيًا ومَتنًا مختصرًا: أمَّا الكتاب المُوسِّع فهو (غاية المُنتهى)، (غاية المُنتهى) هذا ما وظيفته؟</w:t>
      </w:r>
    </w:p>
    <w:p w14:paraId="6DBB15BF"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rtl/>
          <w:lang w:val="fr-FR" w:eastAsia="fr-FR" w:bidi="ar-DZ"/>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 جمَع (الإقناع) مع (المُنتهى)، ما هو قلنا أنَّ المذهب هو ما اتفق عليه (الإقناع) و(المنتهى)؟ جاء مرعي الكرمي وجَمَعَهُما في كتابٍ واحدٍ سمّاه (غاية المُنتهى في الجمع بين الإقناع والمُنتهى)، وشُرِح؟ نعم. (غاية المُنتهى) شرحه الرُّحَيباني في كتابه (مطالب أولي النُّهى)، وكل هذه الكتب موجودة ومطبوعة. </w:t>
      </w:r>
    </w:p>
    <w:p w14:paraId="3D3E28B0"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ومن كتبه أيضًا، وهو الكتاب الثاني له: كتاب (دليل الطَّالب لنَيل المطالب)، وكتاب (دليل الطَّالب) هذا مشهور، وهو كتابٌ معتمَدٌ في التَّدريس في حلقات العلم في المذهب الحنبلي، وشُرِح بعدَّة شروح، من يذكر لنا بعض شروح دليل الطَّالب؟  </w:t>
      </w:r>
    </w:p>
    <w:p w14:paraId="14ABBBC9"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 (هداية الرَّاغب) لا، (هداية الرَّاغب) شَرحٌ لكتاب للبُهوتي، خلينا بس نختم بالبُهوتي عشان ما تروح المسألة. </w:t>
      </w:r>
    </w:p>
    <w:p w14:paraId="1B4FCB50" w14:textId="77777777" w:rsidR="00463186" w:rsidRPr="00C0151D" w:rsidRDefault="00463186" w:rsidP="00463186">
      <w:pPr>
        <w:pStyle w:val="a6"/>
        <w:numPr>
          <w:ilvl w:val="0"/>
          <w:numId w:val="8"/>
        </w:numPr>
        <w:bidi/>
        <w:spacing w:after="0" w:line="240" w:lineRule="auto"/>
        <w:rPr>
          <w:rFonts w:ascii="Traditional Arabic" w:eastAsia="Arial Unicode MS" w:hAnsi="Traditional Arabic" w:cs="Traditional Arabic"/>
          <w:kern w:val="0"/>
          <w:sz w:val="36"/>
          <w:szCs w:val="36"/>
          <w:rtl/>
          <w:lang w:val="ar-SA" w:eastAsia="zh-CN"/>
          <w14:ligatures w14:val="none"/>
        </w:rPr>
      </w:pPr>
      <w:r w:rsidRPr="00C0151D">
        <w:rPr>
          <w:rFonts w:ascii="Traditional Arabic" w:eastAsia="SimSun" w:hAnsi="Traditional Arabic" w:cs="Traditional Arabic"/>
          <w:kern w:val="0"/>
          <w:sz w:val="36"/>
          <w:szCs w:val="36"/>
          <w:rtl/>
          <w:lang w:eastAsia="zh-CN"/>
          <w14:ligatures w14:val="none"/>
        </w:rPr>
        <w:t xml:space="preserve">الشَّيخ منصور البُهوتي: </w:t>
      </w:r>
    </w:p>
    <w:p w14:paraId="5F3785DE" w14:textId="77777777" w:rsidR="00463186" w:rsidRPr="00355C12" w:rsidRDefault="00463186" w:rsidP="00463186">
      <w:pPr>
        <w:bidi/>
        <w:spacing w:after="0" w:line="240" w:lineRule="auto"/>
        <w:contextualSpacing/>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 xml:space="preserve">آخر شخص ذكرناه في دور استقراء المذهب هو الشيخ منصور البُهوتي صاحب: </w:t>
      </w:r>
      <w:r w:rsidRPr="00355C12">
        <w:rPr>
          <w:rFonts w:ascii="Traditional Arabic" w:eastAsia="Arial Unicode MS" w:hAnsi="Traditional Arabic" w:cs="Traditional Arabic"/>
          <w:kern w:val="0"/>
          <w:sz w:val="36"/>
          <w:szCs w:val="36"/>
          <w:rtl/>
          <w:lang w:val="ar-SA" w:eastAsia="zh-CN"/>
          <w14:ligatures w14:val="none"/>
        </w:rPr>
        <w:br/>
        <w:t>- (كشاف القناع عن متن الإقناع) اللي شرح فيه (الإقناع) للحجّاوي.</w:t>
      </w:r>
      <w:r w:rsidRPr="00355C12">
        <w:rPr>
          <w:rFonts w:ascii="Traditional Arabic" w:eastAsia="Arial Unicode MS" w:hAnsi="Traditional Arabic" w:cs="Traditional Arabic"/>
          <w:kern w:val="0"/>
          <w:sz w:val="36"/>
          <w:szCs w:val="36"/>
          <w:rtl/>
          <w:lang w:val="ar-SA" w:eastAsia="zh-CN"/>
          <w14:ligatures w14:val="none"/>
        </w:rPr>
        <w:br/>
        <w:t>- وله أيضًا (الرَّوض المُربِع)، وذكرناه.</w:t>
      </w:r>
      <w:r w:rsidRPr="00355C12">
        <w:rPr>
          <w:rFonts w:ascii="Traditional Arabic" w:eastAsia="Arial Unicode MS" w:hAnsi="Traditional Arabic" w:cs="Traditional Arabic"/>
          <w:kern w:val="0"/>
          <w:sz w:val="36"/>
          <w:szCs w:val="36"/>
          <w:rtl/>
          <w:lang w:val="ar-SA" w:eastAsia="zh-CN"/>
          <w14:ligatures w14:val="none"/>
        </w:rPr>
        <w:br/>
        <w:t>- وله شرح على (مُنتهى الإرادات).</w:t>
      </w:r>
    </w:p>
    <w:p w14:paraId="70176C43"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 xml:space="preserve">فهو شارح المذهب بلا مُنازع، يعني أكثر من خدم المذهب من ناحية الشُّروح هو الشَّيخ منصور البُهوتي، واضح؟ </w:t>
      </w:r>
    </w:p>
    <w:p w14:paraId="4DA145A4"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 xml:space="preserve">طيب نرجع إلى (دليل الطَّالب)، أنت قلت: (هداية الرَّاغب)، وهذا للشِّيخ عثمان النَّجدي، هو شرحٌ لـ (عمدة الطَّالب)، (عمدة الطَّالب) لمن؟ </w:t>
      </w:r>
    </w:p>
    <w:p w14:paraId="3EF995CC" w14:textId="77777777" w:rsidR="00463186" w:rsidRPr="00355C12" w:rsidRDefault="00463186" w:rsidP="00463186">
      <w:pPr>
        <w:numPr>
          <w:ilvl w:val="0"/>
          <w:numId w:val="7"/>
        </w:numPr>
        <w:bidi/>
        <w:spacing w:after="0" w:line="240" w:lineRule="auto"/>
        <w:contextualSpacing/>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lastRenderedPageBreak/>
        <w:t xml:space="preserve">للشِّيخ منصور البُهوتي، له متنٌ اسمه (عمدة الطَّالب) شَرَحه الشَّيخ عثمان في كتابه (هداية الرَّاغب)، وهذَّبه الشيخ البسّام في كتابه المشهور المسمّى: (نَيل المآرب في تهذيب شرح عمدة الطَّالب)، طيِّب. </w:t>
      </w:r>
    </w:p>
    <w:p w14:paraId="07F47832" w14:textId="77777777" w:rsidR="00463186" w:rsidRPr="00355C12" w:rsidRDefault="00463186" w:rsidP="00463186">
      <w:pPr>
        <w:numPr>
          <w:ilvl w:val="0"/>
          <w:numId w:val="9"/>
        </w:numPr>
        <w:bidi/>
        <w:spacing w:after="0" w:line="240" w:lineRule="auto"/>
        <w:contextualSpacing/>
        <w:rPr>
          <w:rFonts w:ascii="Traditional Arabic" w:eastAsia="Helvetica" w:hAnsi="Traditional Arabic" w:cs="Traditional Arabic"/>
          <w:b/>
          <w:bCs/>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شروحات</w:t>
      </w:r>
      <w:r w:rsidRPr="00355C12">
        <w:rPr>
          <w:rFonts w:ascii="Traditional Arabic" w:eastAsia="Arial Unicode MS" w:hAnsi="Traditional Arabic" w:cs="Traditional Arabic"/>
          <w:b/>
          <w:bCs/>
          <w:kern w:val="0"/>
          <w:sz w:val="36"/>
          <w:szCs w:val="36"/>
          <w:rtl/>
          <w:lang w:val="ar-SA" w:eastAsia="fr-FR"/>
          <w14:ligatures w14:val="none"/>
        </w:rPr>
        <w:t xml:space="preserve"> </w:t>
      </w:r>
      <w:r w:rsidRPr="00355C12">
        <w:rPr>
          <w:rFonts w:ascii="Traditional Arabic" w:eastAsia="Arial Unicode MS" w:hAnsi="Traditional Arabic" w:cs="Traditional Arabic" w:hint="cs"/>
          <w:b/>
          <w:bCs/>
          <w:kern w:val="0"/>
          <w:sz w:val="36"/>
          <w:szCs w:val="36"/>
          <w:rtl/>
          <w:lang w:val="ar-SA" w:eastAsia="fr-FR"/>
          <w14:ligatures w14:val="none"/>
        </w:rPr>
        <w:t>(</w:t>
      </w:r>
      <w:r w:rsidRPr="00355C12">
        <w:rPr>
          <w:rFonts w:ascii="Traditional Arabic" w:eastAsia="Arial Unicode MS" w:hAnsi="Traditional Arabic" w:cs="Traditional Arabic"/>
          <w:kern w:val="0"/>
          <w:sz w:val="36"/>
          <w:szCs w:val="36"/>
          <w:rtl/>
          <w:lang w:val="ar-SA" w:eastAsia="fr-FR"/>
          <w14:ligatures w14:val="none"/>
        </w:rPr>
        <w:t>دليل</w:t>
      </w:r>
      <w:r w:rsidRPr="00355C12">
        <w:rPr>
          <w:rFonts w:ascii="Traditional Arabic" w:eastAsia="Arial Unicode MS" w:hAnsi="Traditional Arabic" w:cs="Traditional Arabic"/>
          <w:b/>
          <w:bCs/>
          <w:kern w:val="0"/>
          <w:sz w:val="36"/>
          <w:szCs w:val="36"/>
          <w:rtl/>
          <w:lang w:val="ar-SA" w:eastAsia="fr-FR"/>
          <w14:ligatures w14:val="none"/>
        </w:rPr>
        <w:t xml:space="preserve"> </w:t>
      </w:r>
      <w:r w:rsidRPr="00355C12">
        <w:rPr>
          <w:rFonts w:ascii="Traditional Arabic" w:eastAsia="Arial Unicode MS" w:hAnsi="Traditional Arabic" w:cs="Traditional Arabic"/>
          <w:kern w:val="0"/>
          <w:sz w:val="36"/>
          <w:szCs w:val="36"/>
          <w:rtl/>
          <w:lang w:val="ar-SA" w:eastAsia="fr-FR"/>
          <w14:ligatures w14:val="none"/>
        </w:rPr>
        <w:t xml:space="preserve">الطَّالب): </w:t>
      </w:r>
    </w:p>
    <w:p w14:paraId="48B3DBC6"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(دليل الطَّالب) ما هي شروحه؟ </w:t>
      </w:r>
    </w:p>
    <w:p w14:paraId="37030AF4"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(منار السَّبيل) للشيخ إبراهيم بن ضويّان، وأيضًا له شرح آخر للتَغلِبي، اسمه: (نيل المآرب بشرح دليل الطَّالب)، وأيضًا؟ طبعًا في شرح ابن عوض، وهو مطبوع. وفي الفترة الأخيرة طُبعت عدَّة شروح لـ (دليل الطَّالب).</w:t>
      </w:r>
    </w:p>
    <w:p w14:paraId="0AC80C2F" w14:textId="77777777" w:rsidR="00463186" w:rsidRPr="00355C12" w:rsidRDefault="00463186" w:rsidP="00463186">
      <w:pPr>
        <w:numPr>
          <w:ilvl w:val="1"/>
          <w:numId w:val="10"/>
        </w:numPr>
        <w:bidi/>
        <w:spacing w:after="0" w:line="240" w:lineRule="auto"/>
        <w:contextualSpacing/>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 xml:space="preserve">بين (دليل الطالب) و(زاد المستقنع): </w:t>
      </w:r>
    </w:p>
    <w:p w14:paraId="37881CE0" w14:textId="77777777" w:rsidR="00463186" w:rsidRPr="00355C12" w:rsidRDefault="00463186" w:rsidP="00463186">
      <w:pPr>
        <w:bidi/>
        <w:spacing w:after="0" w:line="240" w:lineRule="auto"/>
        <w:rPr>
          <w:rFonts w:ascii="Traditional Arabic" w:eastAsia="SimSun"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 xml:space="preserve">والمشايخ يختلفون ما هو الأفضل لطالب العلم (دليل الطَّالب) ولا (زاد المُستقنِع)؟ منهم من يُرجِّح (زاد المُستقنِع) ويوصي طلبته بحفظ (زاد المُستقنِع)، ومنهم من يرجّح (دليل الطَّالب)؛ وكل واحد منهما له ميزة: </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دليل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الطَّالب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أكثر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ترتيبًا،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وأسهل،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تمام</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وأمَّا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زاد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المُستقنِع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فهو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أوسع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ولهذا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قال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النَّاظم</w:t>
      </w:r>
      <w:r w:rsidRPr="00355C12">
        <w:rPr>
          <w:rFonts w:ascii="Traditional Arabic" w:eastAsia="SimSun" w:hAnsi="Traditional Arabic" w:cs="Traditional Arabic"/>
          <w:kern w:val="0"/>
          <w:sz w:val="36"/>
          <w:szCs w:val="36"/>
          <w:rtl/>
          <w:lang w:val="ar-SA" w:eastAsia="zh-CN"/>
          <w14:ligatures w14:val="none"/>
        </w:rPr>
        <w:t>:</w:t>
      </w:r>
    </w:p>
    <w:p w14:paraId="7BC880E2" w14:textId="77777777" w:rsidR="00463186" w:rsidRPr="00355C12" w:rsidRDefault="00463186" w:rsidP="00463186">
      <w:pPr>
        <w:bidi/>
        <w:spacing w:after="0" w:line="240" w:lineRule="auto"/>
        <w:jc w:val="center"/>
        <w:rPr>
          <w:rFonts w:ascii="Traditional Arabic" w:eastAsia="Arial Unicode MS" w:hAnsi="Traditional Arabic" w:cs="Traditional Arabic"/>
          <w:color w:val="4F6228"/>
          <w:kern w:val="0"/>
          <w:sz w:val="36"/>
          <w:szCs w:val="36"/>
          <w:rtl/>
          <w:lang w:val="ar-SA" w:eastAsia="zh-CN"/>
          <w14:ligatures w14:val="none"/>
        </w:rPr>
      </w:pPr>
      <w:r w:rsidRPr="00355C12">
        <w:rPr>
          <w:rFonts w:ascii="Traditional Arabic" w:eastAsia="Arial Unicode MS" w:hAnsi="Traditional Arabic" w:cs="Traditional Arabic"/>
          <w:color w:val="4F6228"/>
          <w:kern w:val="0"/>
          <w:sz w:val="36"/>
          <w:szCs w:val="36"/>
          <w:rtl/>
          <w:lang w:val="ar-SA" w:eastAsia="zh-CN"/>
          <w14:ligatures w14:val="none"/>
        </w:rPr>
        <w:t>من</w:t>
      </w:r>
      <w:r w:rsidRPr="00355C12">
        <w:rPr>
          <w:rFonts w:ascii="Traditional Arabic" w:eastAsia="SimSun" w:hAnsi="Traditional Arabic" w:cs="Traditional Arabic"/>
          <w:color w:val="4F6228"/>
          <w:kern w:val="0"/>
          <w:sz w:val="36"/>
          <w:szCs w:val="36"/>
          <w:rtl/>
          <w:lang w:val="ar-SA" w:eastAsia="zh-CN"/>
          <w14:ligatures w14:val="none"/>
        </w:rPr>
        <w:t xml:space="preserve"> </w:t>
      </w:r>
      <w:r w:rsidRPr="00355C12">
        <w:rPr>
          <w:rFonts w:ascii="Traditional Arabic" w:eastAsia="Arial Unicode MS" w:hAnsi="Traditional Arabic" w:cs="Traditional Arabic"/>
          <w:color w:val="4F6228"/>
          <w:kern w:val="0"/>
          <w:sz w:val="36"/>
          <w:szCs w:val="36"/>
          <w:rtl/>
          <w:lang w:val="ar-SA" w:eastAsia="zh-CN"/>
          <w14:ligatures w14:val="none"/>
        </w:rPr>
        <w:t>حفِظ</w:t>
      </w:r>
      <w:r w:rsidRPr="00355C12">
        <w:rPr>
          <w:rFonts w:ascii="Traditional Arabic" w:eastAsia="SimSun" w:hAnsi="Traditional Arabic" w:cs="Traditional Arabic"/>
          <w:color w:val="4F6228"/>
          <w:kern w:val="0"/>
          <w:sz w:val="36"/>
          <w:szCs w:val="36"/>
          <w:rtl/>
          <w:lang w:val="ar-SA" w:eastAsia="zh-CN"/>
          <w14:ligatures w14:val="none"/>
        </w:rPr>
        <w:t xml:space="preserve"> </w:t>
      </w:r>
      <w:r w:rsidRPr="00355C12">
        <w:rPr>
          <w:rFonts w:ascii="Traditional Arabic" w:eastAsia="Arial Unicode MS" w:hAnsi="Traditional Arabic" w:cs="Traditional Arabic"/>
          <w:color w:val="4F6228"/>
          <w:kern w:val="0"/>
          <w:sz w:val="36"/>
          <w:szCs w:val="36"/>
          <w:rtl/>
          <w:lang w:val="ar-SA" w:eastAsia="zh-CN"/>
          <w14:ligatures w14:val="none"/>
        </w:rPr>
        <w:t>الزاد</w:t>
      </w:r>
      <w:r w:rsidRPr="00355C12">
        <w:rPr>
          <w:rFonts w:ascii="Traditional Arabic" w:eastAsia="SimSun" w:hAnsi="Traditional Arabic" w:cs="Traditional Arabic"/>
          <w:color w:val="4F6228"/>
          <w:kern w:val="0"/>
          <w:sz w:val="36"/>
          <w:szCs w:val="36"/>
          <w:rtl/>
          <w:lang w:val="ar-SA" w:eastAsia="zh-CN"/>
          <w14:ligatures w14:val="none"/>
        </w:rPr>
        <w:t xml:space="preserve"> </w:t>
      </w:r>
      <w:r w:rsidRPr="00355C12">
        <w:rPr>
          <w:rFonts w:ascii="Traditional Arabic" w:eastAsia="Arial Unicode MS" w:hAnsi="Traditional Arabic" w:cs="Traditional Arabic"/>
          <w:color w:val="4F6228"/>
          <w:kern w:val="0"/>
          <w:sz w:val="36"/>
          <w:szCs w:val="36"/>
          <w:rtl/>
          <w:lang w:val="ar-SA" w:eastAsia="zh-CN"/>
          <w14:ligatures w14:val="none"/>
        </w:rPr>
        <w:t>قضى</w:t>
      </w:r>
      <w:r w:rsidRPr="00355C12">
        <w:rPr>
          <w:rFonts w:ascii="Traditional Arabic" w:eastAsia="SimSun" w:hAnsi="Traditional Arabic" w:cs="Traditional Arabic"/>
          <w:color w:val="4F6228"/>
          <w:kern w:val="0"/>
          <w:sz w:val="36"/>
          <w:szCs w:val="36"/>
          <w:rtl/>
          <w:lang w:val="ar-SA" w:eastAsia="zh-CN"/>
          <w14:ligatures w14:val="none"/>
        </w:rPr>
        <w:t xml:space="preserve"> </w:t>
      </w:r>
      <w:r w:rsidRPr="00355C12">
        <w:rPr>
          <w:rFonts w:ascii="Traditional Arabic" w:eastAsia="Arial Unicode MS" w:hAnsi="Traditional Arabic" w:cs="Traditional Arabic"/>
          <w:color w:val="4F6228"/>
          <w:kern w:val="0"/>
          <w:sz w:val="36"/>
          <w:szCs w:val="36"/>
          <w:rtl/>
          <w:lang w:val="ar-SA" w:eastAsia="zh-CN"/>
          <w14:ligatures w14:val="none"/>
        </w:rPr>
        <w:t>بين</w:t>
      </w:r>
      <w:r w:rsidRPr="00355C12">
        <w:rPr>
          <w:rFonts w:ascii="Traditional Arabic" w:eastAsia="SimSun" w:hAnsi="Traditional Arabic" w:cs="Traditional Arabic"/>
          <w:color w:val="4F6228"/>
          <w:kern w:val="0"/>
          <w:sz w:val="36"/>
          <w:szCs w:val="36"/>
          <w:rtl/>
          <w:lang w:val="ar-SA" w:eastAsia="zh-CN"/>
          <w14:ligatures w14:val="none"/>
        </w:rPr>
        <w:t xml:space="preserve"> </w:t>
      </w:r>
      <w:r w:rsidRPr="00355C12">
        <w:rPr>
          <w:rFonts w:ascii="Traditional Arabic" w:eastAsia="Arial Unicode MS" w:hAnsi="Traditional Arabic" w:cs="Traditional Arabic"/>
          <w:color w:val="4F6228"/>
          <w:kern w:val="0"/>
          <w:sz w:val="36"/>
          <w:szCs w:val="36"/>
          <w:rtl/>
          <w:lang w:val="ar-SA" w:eastAsia="zh-CN"/>
          <w14:ligatures w14:val="none"/>
        </w:rPr>
        <w:t>العباد</w:t>
      </w:r>
    </w:p>
    <w:p w14:paraId="56055131"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والنَّاظم يقول: </w:t>
      </w:r>
    </w:p>
    <w:p w14:paraId="25089EA4" w14:textId="77777777" w:rsidR="00463186" w:rsidRPr="00355C12" w:rsidRDefault="00463186" w:rsidP="00463186">
      <w:pPr>
        <w:bidi/>
        <w:spacing w:after="0" w:line="240" w:lineRule="auto"/>
        <w:jc w:val="center"/>
        <w:rPr>
          <w:rFonts w:ascii="Traditional Arabic" w:eastAsia="Helvetica" w:hAnsi="Traditional Arabic" w:cs="Traditional Arabic"/>
          <w:color w:val="4F6228"/>
          <w:kern w:val="0"/>
          <w:sz w:val="36"/>
          <w:szCs w:val="36"/>
          <w:lang w:val="fr-FR" w:eastAsia="fr-FR"/>
          <w14:ligatures w14:val="none"/>
        </w:rPr>
      </w:pPr>
      <w:r w:rsidRPr="00355C12">
        <w:rPr>
          <w:rFonts w:ascii="Traditional Arabic" w:eastAsia="Arial Unicode MS" w:hAnsi="Traditional Arabic" w:cs="Traditional Arabic"/>
          <w:color w:val="4F6228"/>
          <w:kern w:val="0"/>
          <w:sz w:val="36"/>
          <w:szCs w:val="36"/>
          <w:rtl/>
          <w:lang w:val="ar-SA" w:eastAsia="fr-FR"/>
          <w14:ligatures w14:val="none"/>
        </w:rPr>
        <w:t>وفضّـلــوا الـزَّادَ على الدَّلـيــلِ</w:t>
      </w:r>
      <w:r w:rsidRPr="00355C12">
        <w:rPr>
          <w:rFonts w:ascii="Traditional Arabic" w:eastAsia="Helvetica" w:hAnsi="Traditional Arabic" w:cs="Traditional Arabic"/>
          <w:color w:val="4F6228"/>
          <w:kern w:val="0"/>
          <w:sz w:val="36"/>
          <w:szCs w:val="36"/>
          <w:lang w:val="fr-FR" w:eastAsia="fr-FR" w:bidi="ar-DZ"/>
          <w14:ligatures w14:val="none"/>
        </w:rPr>
        <w:t xml:space="preserve">     </w:t>
      </w:r>
      <w:r w:rsidRPr="00355C12">
        <w:rPr>
          <w:rFonts w:ascii="Traditional Arabic" w:eastAsia="Arial Unicode MS" w:hAnsi="Traditional Arabic" w:cs="Traditional Arabic"/>
          <w:color w:val="4F6228"/>
          <w:kern w:val="0"/>
          <w:sz w:val="36"/>
          <w:szCs w:val="36"/>
          <w:rtl/>
          <w:lang w:val="ar-SA" w:eastAsia="fr-FR"/>
          <w14:ligatures w14:val="none"/>
        </w:rPr>
        <w:t>وعلّلــوا لذلـك التَّفضيــلِ</w:t>
      </w:r>
    </w:p>
    <w:p w14:paraId="56BACB40" w14:textId="77777777" w:rsidR="00463186" w:rsidRPr="00355C12" w:rsidRDefault="00463186" w:rsidP="00463186">
      <w:pPr>
        <w:bidi/>
        <w:spacing w:after="0" w:line="240" w:lineRule="auto"/>
        <w:jc w:val="center"/>
        <w:rPr>
          <w:rFonts w:ascii="Traditional Arabic" w:eastAsia="Helvetica" w:hAnsi="Traditional Arabic" w:cs="Traditional Arabic"/>
          <w:color w:val="4F6228"/>
          <w:kern w:val="0"/>
          <w:sz w:val="36"/>
          <w:szCs w:val="36"/>
          <w:lang w:val="fr-FR" w:eastAsia="fr-FR"/>
          <w14:ligatures w14:val="none"/>
        </w:rPr>
      </w:pPr>
      <w:r w:rsidRPr="00355C12">
        <w:rPr>
          <w:rFonts w:ascii="Traditional Arabic" w:eastAsia="Arial Unicode MS" w:hAnsi="Traditional Arabic" w:cs="Traditional Arabic"/>
          <w:color w:val="4F6228"/>
          <w:kern w:val="0"/>
          <w:sz w:val="36"/>
          <w:szCs w:val="36"/>
          <w:rtl/>
          <w:lang w:val="ar-SA" w:eastAsia="fr-FR"/>
          <w14:ligatures w14:val="none"/>
        </w:rPr>
        <w:t>بكثرة الفُروع والمسائــلِ</w:t>
      </w:r>
      <w:r w:rsidRPr="00355C12">
        <w:rPr>
          <w:rFonts w:ascii="Traditional Arabic" w:eastAsia="Helvetica" w:hAnsi="Traditional Arabic" w:cs="Traditional Arabic"/>
          <w:color w:val="4F6228"/>
          <w:kern w:val="0"/>
          <w:sz w:val="36"/>
          <w:szCs w:val="36"/>
          <w:lang w:val="fr-FR" w:eastAsia="fr-FR" w:bidi="ar-DZ"/>
          <w14:ligatures w14:val="none"/>
        </w:rPr>
        <w:t xml:space="preserve">      </w:t>
      </w:r>
      <w:r w:rsidRPr="00355C12">
        <w:rPr>
          <w:rFonts w:ascii="Traditional Arabic" w:eastAsia="Arial Unicode MS" w:hAnsi="Traditional Arabic" w:cs="Traditional Arabic"/>
          <w:color w:val="4F6228"/>
          <w:kern w:val="0"/>
          <w:sz w:val="36"/>
          <w:szCs w:val="36"/>
          <w:rtl/>
          <w:lang w:val="ar-SA" w:eastAsia="fr-FR"/>
          <w14:ligatures w14:val="none"/>
        </w:rPr>
        <w:t>فلا تكُن عن حِفظها بذاهلِ</w:t>
      </w:r>
    </w:p>
    <w:p w14:paraId="57142FA3" w14:textId="77777777" w:rsidR="00463186" w:rsidRPr="00355C12" w:rsidRDefault="00463186" w:rsidP="00463186">
      <w:pPr>
        <w:bidi/>
        <w:spacing w:after="0" w:line="240" w:lineRule="auto"/>
        <w:jc w:val="center"/>
        <w:rPr>
          <w:rFonts w:ascii="Traditional Arabic" w:eastAsia="Helvetica" w:hAnsi="Traditional Arabic" w:cs="Traditional Arabic"/>
          <w:color w:val="4F6228"/>
          <w:kern w:val="0"/>
          <w:sz w:val="36"/>
          <w:szCs w:val="36"/>
          <w:lang w:val="fr-FR" w:eastAsia="fr-FR"/>
          <w14:ligatures w14:val="none"/>
        </w:rPr>
      </w:pPr>
      <w:r w:rsidRPr="00355C12">
        <w:rPr>
          <w:rFonts w:ascii="Traditional Arabic" w:eastAsia="Arial Unicode MS" w:hAnsi="Traditional Arabic" w:cs="Traditional Arabic"/>
          <w:color w:val="4F6228"/>
          <w:kern w:val="0"/>
          <w:sz w:val="36"/>
          <w:szCs w:val="36"/>
          <w:rtl/>
          <w:lang w:val="ar-SA" w:eastAsia="fr-FR"/>
          <w14:ligatures w14:val="none"/>
        </w:rPr>
        <w:t>وبعضهم يُفضِّل الدَّليــلا</w:t>
      </w:r>
      <w:r w:rsidRPr="00355C12">
        <w:rPr>
          <w:rFonts w:ascii="Traditional Arabic" w:eastAsia="Helvetica" w:hAnsi="Traditional Arabic" w:cs="Traditional Arabic"/>
          <w:color w:val="4F6228"/>
          <w:kern w:val="0"/>
          <w:sz w:val="36"/>
          <w:szCs w:val="36"/>
          <w:lang w:val="fr-FR" w:eastAsia="fr-FR" w:bidi="ar-DZ"/>
          <w14:ligatures w14:val="none"/>
        </w:rPr>
        <w:t xml:space="preserve">      </w:t>
      </w:r>
      <w:r w:rsidRPr="00355C12">
        <w:rPr>
          <w:rFonts w:ascii="Traditional Arabic" w:eastAsia="Arial Unicode MS" w:hAnsi="Traditional Arabic" w:cs="Traditional Arabic"/>
          <w:color w:val="4F6228"/>
          <w:kern w:val="0"/>
          <w:sz w:val="36"/>
          <w:szCs w:val="36"/>
          <w:rtl/>
          <w:lang w:val="ar-SA" w:eastAsia="fr-FR"/>
          <w14:ligatures w14:val="none"/>
        </w:rPr>
        <w:t>ليُسـرِه فاحفظ تجد سبيلا</w:t>
      </w:r>
    </w:p>
    <w:p w14:paraId="3C7474CE" w14:textId="77777777" w:rsidR="00463186" w:rsidRDefault="00463186" w:rsidP="00463186">
      <w:pPr>
        <w:bidi/>
        <w:spacing w:after="0" w:line="240" w:lineRule="auto"/>
        <w:rPr>
          <w:rFonts w:ascii="Traditional Arabic" w:eastAsia="Arial Unicode MS" w:hAnsi="Traditional Arabic" w:cs="Traditional Arabic"/>
          <w:kern w:val="0"/>
          <w:sz w:val="36"/>
          <w:szCs w:val="36"/>
          <w:rtl/>
          <w:lang w:val="ar-SA"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 الشَّيخ رادًّا على من أجاب من الحضور: أنا أنشدتها لك قبل أسبوع، ما شاء الله حفظتها، الله يجزاك خير، وفيه: من حدَّث ونَسي؛ طيِّب. </w:t>
      </w:r>
    </w:p>
    <w:p w14:paraId="5AB1CE96"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lang w:val="ar-SA" w:eastAsia="fr-FR"/>
          <w14:ligatures w14:val="none"/>
        </w:rPr>
      </w:pPr>
    </w:p>
    <w:p w14:paraId="724F42D4" w14:textId="77777777" w:rsidR="00463186" w:rsidRPr="00355C12" w:rsidRDefault="00463186" w:rsidP="00463186">
      <w:pPr>
        <w:keepNext/>
        <w:keepLines/>
        <w:pBdr>
          <w:right w:val="thinThickSmallGap" w:sz="24" w:space="4" w:color="5E806D"/>
        </w:pBdr>
        <w:shd w:val="clear" w:color="auto" w:fill="9CB7A8"/>
        <w:bidi/>
        <w:spacing w:before="40" w:after="200" w:line="256" w:lineRule="auto"/>
        <w:outlineLvl w:val="2"/>
        <w:rPr>
          <w:rFonts w:ascii="Traditional Arabic" w:eastAsia="MS Gothic" w:hAnsi="Traditional Arabic" w:cs="Traditional Arabic"/>
          <w:b/>
          <w:bCs/>
          <w:color w:val="FFFFFF"/>
          <w:sz w:val="40"/>
          <w:szCs w:val="40"/>
          <w:rtl/>
          <w:lang w:val="ar-SA" w:eastAsia="en-GB"/>
          <w14:ligatures w14:val="none"/>
        </w:rPr>
      </w:pPr>
      <w:r w:rsidRPr="00355C12">
        <w:rPr>
          <w:rFonts w:ascii="Traditional Arabic" w:eastAsia="MS Gothic" w:hAnsi="Traditional Arabic" w:cs="Traditional Arabic"/>
          <w:b/>
          <w:bCs/>
          <w:color w:val="FFFFFF"/>
          <w:sz w:val="40"/>
          <w:szCs w:val="40"/>
          <w:rtl/>
          <w:lang w:val="ar-SA" w:eastAsia="en-GB"/>
          <w14:ligatures w14:val="none"/>
        </w:rPr>
        <w:t xml:space="preserve"> </w:t>
      </w:r>
      <w:bookmarkStart w:id="8" w:name="_Toc188395331"/>
      <w:bookmarkStart w:id="9" w:name="_Toc188874990"/>
      <w:r w:rsidRPr="00355C12">
        <w:rPr>
          <w:rFonts w:ascii="Traditional Arabic" w:eastAsia="MS Gothic" w:hAnsi="Traditional Arabic" w:cs="Traditional Arabic"/>
          <w:b/>
          <w:bCs/>
          <w:color w:val="FFFFFF"/>
          <w:sz w:val="40"/>
          <w:szCs w:val="40"/>
          <w:rtl/>
          <w:lang w:val="ar-SA" w:eastAsia="en-GB"/>
          <w14:ligatures w14:val="none"/>
        </w:rPr>
        <w:t>الكتب الحنبليَّة المعتمدة في التَّدريس.</w:t>
      </w:r>
      <w:bookmarkEnd w:id="8"/>
      <w:bookmarkEnd w:id="9"/>
    </w:p>
    <w:p w14:paraId="65C3C642" w14:textId="77777777" w:rsidR="00463186" w:rsidRPr="00355C12" w:rsidRDefault="00463186" w:rsidP="00463186">
      <w:pPr>
        <w:bidi/>
        <w:spacing w:after="0" w:line="240" w:lineRule="auto"/>
        <w:rPr>
          <w:rFonts w:ascii="Traditional Arabic" w:eastAsia="SimSun" w:hAnsi="Traditional Arabic" w:cs="Traditional Arabic"/>
          <w:kern w:val="0"/>
          <w:sz w:val="36"/>
          <w:szCs w:val="36"/>
          <w:lang w:val="ar-SA" w:eastAsia="zh-CN"/>
          <w14:ligatures w14:val="none"/>
        </w:rPr>
      </w:pPr>
      <w:r w:rsidRPr="00355C12">
        <w:rPr>
          <w:rFonts w:ascii="Traditional Arabic" w:eastAsia="Times New Roman" w:hAnsi="Traditional Arabic" w:cs="Traditional Arabic" w:hint="cs"/>
          <w:color w:val="0D0D0D"/>
          <w:kern w:val="0"/>
          <w:sz w:val="36"/>
          <w:szCs w:val="36"/>
          <w:rtl/>
          <w14:ligatures w14:val="none"/>
        </w:rPr>
        <w:t>ا</w:t>
      </w:r>
      <w:r w:rsidRPr="00355C12">
        <w:rPr>
          <w:rFonts w:ascii="Traditional Arabic" w:eastAsia="Times New Roman" w:hAnsi="Traditional Arabic" w:cs="Traditional Arabic"/>
          <w:color w:val="0D0D0D"/>
          <w:kern w:val="0"/>
          <w:sz w:val="36"/>
          <w:szCs w:val="36"/>
          <w:rtl/>
          <w14:ligatures w14:val="none"/>
        </w:rPr>
        <w:t xml:space="preserve">لمقصود أيُّها الإخوة الكرام: أنَّ المذهب الحنبلي صارت الكتب المعتمدة في التَّدريس غالبًا إمَّا (زاد المُستقنِع) أو (دليل الطَّالب)، وهناك متون أخرى معتمدة في التَّدريس، مثل: </w:t>
      </w:r>
      <w:r w:rsidRPr="00355C12">
        <w:rPr>
          <w:rFonts w:ascii="Traditional Arabic" w:eastAsia="Times New Roman" w:hAnsi="Traditional Arabic" w:cs="Traditional Arabic"/>
          <w:color w:val="0D0D0D"/>
          <w:kern w:val="0"/>
          <w:sz w:val="36"/>
          <w:szCs w:val="36"/>
          <w:rtl/>
          <w14:ligatures w14:val="none"/>
        </w:rPr>
        <w:br/>
        <w:t xml:space="preserve">- </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عمدة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الطَّالب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للشيخ</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منصور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البُهوتي،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وقد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ذكرناه،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وله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شرح</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هداية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الرَّاغب</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SimSun" w:hAnsi="Traditional Arabic" w:cs="Traditional Arabic"/>
          <w:kern w:val="0"/>
          <w:sz w:val="36"/>
          <w:szCs w:val="36"/>
          <w:rtl/>
          <w:lang w:val="ar-SA" w:eastAsia="zh-CN"/>
          <w14:ligatures w14:val="none"/>
        </w:rPr>
        <w:br/>
      </w:r>
      <w:r w:rsidRPr="00355C12">
        <w:rPr>
          <w:rFonts w:ascii="Traditional Arabic" w:eastAsia="SimSun" w:hAnsi="Traditional Arabic" w:cs="Traditional Arabic"/>
          <w:kern w:val="0"/>
          <w:sz w:val="36"/>
          <w:szCs w:val="36"/>
          <w:rtl/>
          <w:lang w:val="ar-SA" w:eastAsia="zh-CN"/>
          <w14:ligatures w14:val="none"/>
        </w:rPr>
        <w:lastRenderedPageBreak/>
        <w:t xml:space="preserve">- </w:t>
      </w:r>
      <w:r w:rsidRPr="00355C12">
        <w:rPr>
          <w:rFonts w:ascii="Traditional Arabic" w:eastAsia="Arial Unicode MS" w:hAnsi="Traditional Arabic" w:cs="Traditional Arabic"/>
          <w:kern w:val="0"/>
          <w:sz w:val="36"/>
          <w:szCs w:val="36"/>
          <w:rtl/>
          <w:lang w:val="ar-SA" w:eastAsia="zh-CN"/>
          <w14:ligatures w14:val="none"/>
        </w:rPr>
        <w:t>ومن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الكتب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أيضًا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المعتمدة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التَّدريس</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عند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المتأخرين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أخصر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المختصرات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لابن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بلبان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رحمه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الله،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w:t>
      </w:r>
      <w:r w:rsidRPr="00355C12">
        <w:rPr>
          <w:rFonts w:ascii="Traditional Arabic" w:eastAsia="SimSun" w:hAnsi="Traditional Arabic" w:cs="Traditional Arabic"/>
          <w:kern w:val="0"/>
          <w:sz w:val="36"/>
          <w:szCs w:val="36"/>
          <w:rtl/>
          <w:lang w:val="ar-SA" w:eastAsia="zh-CN"/>
          <w14:ligatures w14:val="none"/>
        </w:rPr>
        <w:t>(</w:t>
      </w:r>
      <w:r w:rsidRPr="00355C12">
        <w:rPr>
          <w:rFonts w:ascii="Traditional Arabic" w:eastAsia="Arial Unicode MS" w:hAnsi="Traditional Arabic" w:cs="Traditional Arabic"/>
          <w:kern w:val="0"/>
          <w:sz w:val="36"/>
          <w:szCs w:val="36"/>
          <w:rtl/>
          <w:lang w:val="ar-SA" w:eastAsia="zh-CN"/>
          <w14:ligatures w14:val="none"/>
        </w:rPr>
        <w:t>أخصر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المختصرات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هذا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أكثر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شرح،</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فمن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شروحه</w:t>
      </w:r>
      <w:r w:rsidRPr="00355C12">
        <w:rPr>
          <w:rFonts w:ascii="Traditional Arabic" w:eastAsia="SimSun" w:hAnsi="Traditional Arabic" w:cs="Traditional Arabic"/>
          <w:kern w:val="0"/>
          <w:sz w:val="36"/>
          <w:szCs w:val="36"/>
          <w:rtl/>
          <w:lang w:val="ar-SA" w:eastAsia="zh-CN"/>
          <w14:ligatures w14:val="none"/>
        </w:rPr>
        <w:t>: (</w:t>
      </w:r>
      <w:r w:rsidRPr="00355C12">
        <w:rPr>
          <w:rFonts w:ascii="Traditional Arabic" w:eastAsia="Arial Unicode MS" w:hAnsi="Traditional Arabic" w:cs="Traditional Arabic"/>
          <w:kern w:val="0"/>
          <w:sz w:val="36"/>
          <w:szCs w:val="36"/>
          <w:rtl/>
          <w:lang w:val="ar-SA" w:eastAsia="zh-CN"/>
          <w14:ligatures w14:val="none"/>
        </w:rPr>
        <w:t>كشف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المخدَّرات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هو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المخدِّرات!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المخدَّرات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يعني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الفوائد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المستخبّية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المخدَّرة،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وهذا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الشرح</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للبَعلي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وهناك</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شرحٌ</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آخر</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للشيخ</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عثمان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النَّجدي،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وهو</w:t>
      </w:r>
      <w:r w:rsidRPr="00355C12">
        <w:rPr>
          <w:rFonts w:ascii="Traditional Arabic" w:eastAsia="SimSun" w:hAnsi="Traditional Arabic" w:cs="Traditional Arabic"/>
          <w:kern w:val="0"/>
          <w:sz w:val="36"/>
          <w:szCs w:val="36"/>
          <w:rtl/>
          <w:lang w:val="ar-SA" w:eastAsia="zh-CN"/>
          <w14:ligatures w14:val="none"/>
        </w:rPr>
        <w:t>: (</w:t>
      </w:r>
      <w:r w:rsidRPr="00355C12">
        <w:rPr>
          <w:rFonts w:ascii="Traditional Arabic" w:eastAsia="Arial Unicode MS" w:hAnsi="Traditional Arabic" w:cs="Traditional Arabic"/>
          <w:kern w:val="0"/>
          <w:sz w:val="36"/>
          <w:szCs w:val="36"/>
          <w:rtl/>
          <w:lang w:val="ar-SA" w:eastAsia="zh-CN"/>
          <w14:ligatures w14:val="none"/>
        </w:rPr>
        <w:t>الفوائد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المنتخبات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وهما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شرحان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مفيدان</w:t>
      </w:r>
      <w:r w:rsidRPr="00355C12">
        <w:rPr>
          <w:rFonts w:ascii="Traditional Arabic" w:eastAsia="SimSun" w:hAnsi="Traditional Arabic" w:cs="Traditional Arabic"/>
          <w:kern w:val="0"/>
          <w:sz w:val="36"/>
          <w:szCs w:val="36"/>
          <w:rtl/>
          <w:lang w:val="ar-SA" w:eastAsia="zh-CN"/>
          <w14:ligatures w14:val="none"/>
        </w:rPr>
        <w:t>.</w:t>
      </w:r>
    </w:p>
    <w:p w14:paraId="2299CCF0" w14:textId="77777777" w:rsidR="00463186" w:rsidRPr="00355C12" w:rsidRDefault="00463186" w:rsidP="00463186">
      <w:pPr>
        <w:numPr>
          <w:ilvl w:val="0"/>
          <w:numId w:val="11"/>
        </w:numPr>
        <w:bidi/>
        <w:spacing w:after="0" w:line="240" w:lineRule="auto"/>
        <w:contextualSpacing/>
        <w:rPr>
          <w:rFonts w:ascii="Traditional Arabic" w:eastAsia="Arial Unicode MS" w:hAnsi="Traditional Arabic" w:cs="Traditional Arabic"/>
          <w:kern w:val="0"/>
          <w:sz w:val="36"/>
          <w:szCs w:val="36"/>
          <w:lang w:val="ar-SA" w:eastAsia="fr-FR"/>
          <w14:ligatures w14:val="none"/>
        </w:rPr>
      </w:pPr>
      <w:r w:rsidRPr="00355C12">
        <w:rPr>
          <w:rFonts w:ascii="Traditional Arabic" w:eastAsia="Times New Roman" w:hAnsi="Traditional Arabic" w:cs="Traditional Arabic"/>
          <w:color w:val="0D0D0D"/>
          <w:kern w:val="0"/>
          <w:sz w:val="36"/>
          <w:szCs w:val="36"/>
          <w:bdr w:val="none" w:sz="0" w:space="0" w:color="auto" w:frame="1"/>
          <w:rtl/>
          <w14:ligatures w14:val="none"/>
        </w:rPr>
        <w:t>ومن المتون أيضًا التي يُعتنى بها في التَّدريس، قلنا</w:t>
      </w:r>
      <w:r w:rsidRPr="00355C12">
        <w:rPr>
          <w:rFonts w:ascii="Traditional Arabic" w:eastAsia="Times New Roman" w:hAnsi="Traditional Arabic" w:cs="Traditional Arabic"/>
          <w:color w:val="0D0D0D"/>
          <w:kern w:val="0"/>
          <w:sz w:val="36"/>
          <w:szCs w:val="36"/>
          <w:bdr w:val="none" w:sz="0" w:space="0" w:color="auto" w:frame="1"/>
          <w14:ligatures w14:val="none"/>
        </w:rPr>
        <w:t>:</w:t>
      </w:r>
    </w:p>
    <w:p w14:paraId="0157C971" w14:textId="77777777" w:rsidR="00463186" w:rsidRPr="00355C12" w:rsidRDefault="00463186" w:rsidP="00463186">
      <w:pPr>
        <w:numPr>
          <w:ilvl w:val="0"/>
          <w:numId w:val="11"/>
        </w:numPr>
        <w:bidi/>
        <w:spacing w:after="0" w:line="240" w:lineRule="auto"/>
        <w:contextualSpacing/>
        <w:rPr>
          <w:rFonts w:ascii="Traditional Arabic" w:eastAsia="Arial Unicode MS" w:hAnsi="Traditional Arabic" w:cs="Traditional Arabic"/>
          <w:kern w:val="0"/>
          <w:sz w:val="36"/>
          <w:szCs w:val="36"/>
          <w:rtl/>
          <w:lang w:val="ar-SA" w:eastAsia="fr-FR"/>
          <w14:ligatures w14:val="none"/>
        </w:rPr>
      </w:pPr>
      <w:r w:rsidRPr="00355C12">
        <w:rPr>
          <w:rFonts w:ascii="Traditional Arabic" w:eastAsia="Times New Roman" w:hAnsi="Traditional Arabic" w:cs="Traditional Arabic"/>
          <w:color w:val="0D0D0D"/>
          <w:kern w:val="0"/>
          <w:sz w:val="36"/>
          <w:szCs w:val="36"/>
          <w:bdr w:val="none" w:sz="0" w:space="0" w:color="auto" w:frame="1"/>
          <w:lang w:bidi="ar-DZ"/>
          <w14:ligatures w14:val="none"/>
        </w:rPr>
        <w:t xml:space="preserve"> </w:t>
      </w:r>
      <w:r w:rsidRPr="00355C12">
        <w:rPr>
          <w:rFonts w:ascii="Traditional Arabic" w:eastAsia="Arial Unicode MS" w:hAnsi="Traditional Arabic" w:cs="Traditional Arabic" w:hint="cs"/>
          <w:kern w:val="0"/>
          <w:sz w:val="36"/>
          <w:szCs w:val="36"/>
          <w:rtl/>
          <w:lang w:val="ar-SA" w:eastAsia="fr-FR"/>
          <w14:ligatures w14:val="none"/>
        </w:rPr>
        <w:t>(</w:t>
      </w:r>
      <w:r w:rsidRPr="00355C12">
        <w:rPr>
          <w:rFonts w:ascii="Traditional Arabic" w:eastAsia="Arial Unicode MS" w:hAnsi="Traditional Arabic" w:cs="Traditional Arabic"/>
          <w:kern w:val="0"/>
          <w:sz w:val="36"/>
          <w:szCs w:val="36"/>
          <w:rtl/>
          <w:lang w:val="ar-SA" w:eastAsia="fr-FR"/>
          <w14:ligatures w14:val="none"/>
        </w:rPr>
        <w:t>أخصر المختصرات</w:t>
      </w:r>
      <w:r w:rsidRPr="00355C12">
        <w:rPr>
          <w:rFonts w:ascii="Traditional Arabic" w:eastAsia="Arial Unicode MS" w:hAnsi="Traditional Arabic" w:cs="Traditional Arabic" w:hint="cs"/>
          <w:kern w:val="0"/>
          <w:sz w:val="36"/>
          <w:szCs w:val="36"/>
          <w:rtl/>
          <w:lang w:val="ar-SA" w:eastAsia="fr-FR"/>
          <w14:ligatures w14:val="none"/>
        </w:rPr>
        <w:t>).</w:t>
      </w:r>
    </w:p>
    <w:p w14:paraId="1FD794A6" w14:textId="77777777" w:rsidR="00463186" w:rsidRPr="00355C12" w:rsidRDefault="00463186" w:rsidP="00463186">
      <w:pPr>
        <w:numPr>
          <w:ilvl w:val="0"/>
          <w:numId w:val="11"/>
        </w:numPr>
        <w:bidi/>
        <w:spacing w:after="0" w:line="240" w:lineRule="auto"/>
        <w:contextualSpacing/>
        <w:rPr>
          <w:rFonts w:ascii="Traditional Arabic" w:eastAsia="Times New Roman" w:hAnsi="Traditional Arabic" w:cs="Traditional Arabic"/>
          <w:color w:val="0D0D0D"/>
          <w:kern w:val="0"/>
          <w:sz w:val="36"/>
          <w:szCs w:val="36"/>
          <w:bdr w:val="none" w:sz="0" w:space="0" w:color="auto" w:frame="1"/>
          <w14:ligatures w14:val="none"/>
        </w:rPr>
      </w:pPr>
      <w:r w:rsidRPr="00355C12">
        <w:rPr>
          <w:rFonts w:ascii="Traditional Arabic" w:eastAsia="Arial Unicode MS" w:hAnsi="Traditional Arabic" w:cs="Traditional Arabic"/>
          <w:kern w:val="0"/>
          <w:sz w:val="36"/>
          <w:szCs w:val="36"/>
          <w:rtl/>
          <w:lang w:val="ar-SA" w:eastAsia="fr-FR"/>
          <w14:ligatures w14:val="none"/>
        </w:rPr>
        <w:t>و(دليل الطَّالب).</w:t>
      </w:r>
    </w:p>
    <w:p w14:paraId="2C6E584F" w14:textId="77777777" w:rsidR="00463186" w:rsidRPr="00355C12" w:rsidRDefault="00463186" w:rsidP="00463186">
      <w:pPr>
        <w:numPr>
          <w:ilvl w:val="0"/>
          <w:numId w:val="11"/>
        </w:numPr>
        <w:bidi/>
        <w:spacing w:after="0" w:line="240" w:lineRule="auto"/>
        <w:contextualSpacing/>
        <w:rPr>
          <w:rFonts w:ascii="Traditional Arabic" w:eastAsia="Times New Roman" w:hAnsi="Traditional Arabic" w:cs="Traditional Arabic"/>
          <w:color w:val="0D0D0D"/>
          <w:kern w:val="0"/>
          <w:sz w:val="36"/>
          <w:szCs w:val="36"/>
          <w:bdr w:val="none" w:sz="0" w:space="0" w:color="auto" w:frame="1"/>
          <w14:ligatures w14:val="none"/>
        </w:rPr>
      </w:pPr>
      <w:r w:rsidRPr="00355C12">
        <w:rPr>
          <w:rFonts w:ascii="Traditional Arabic" w:eastAsia="Arial Unicode MS" w:hAnsi="Traditional Arabic" w:cs="Traditional Arabic" w:hint="cs"/>
          <w:kern w:val="0"/>
          <w:sz w:val="36"/>
          <w:szCs w:val="36"/>
          <w:rtl/>
          <w:lang w:val="ar-SA" w:eastAsia="fr-FR"/>
          <w14:ligatures w14:val="none"/>
        </w:rPr>
        <w:t>و(زاد</w:t>
      </w:r>
      <w:r w:rsidRPr="00355C12">
        <w:rPr>
          <w:rFonts w:ascii="Traditional Arabic" w:eastAsia="Arial Unicode MS" w:hAnsi="Traditional Arabic" w:cs="Traditional Arabic"/>
          <w:kern w:val="0"/>
          <w:sz w:val="36"/>
          <w:szCs w:val="36"/>
          <w:rtl/>
          <w:lang w:val="ar-SA" w:eastAsia="fr-FR"/>
          <w14:ligatures w14:val="none"/>
        </w:rPr>
        <w:t xml:space="preserve"> المُستقنِع).</w:t>
      </w:r>
    </w:p>
    <w:p w14:paraId="203E8FED" w14:textId="77777777" w:rsidR="00463186" w:rsidRPr="00355C12" w:rsidRDefault="00463186" w:rsidP="00463186">
      <w:pPr>
        <w:numPr>
          <w:ilvl w:val="0"/>
          <w:numId w:val="11"/>
        </w:numPr>
        <w:bidi/>
        <w:spacing w:after="0" w:line="240" w:lineRule="auto"/>
        <w:contextualSpacing/>
        <w:rPr>
          <w:rFonts w:ascii="Traditional Arabic" w:eastAsia="Times New Roman" w:hAnsi="Traditional Arabic" w:cs="Traditional Arabic"/>
          <w:color w:val="0D0D0D"/>
          <w:kern w:val="0"/>
          <w:sz w:val="36"/>
          <w:szCs w:val="36"/>
          <w:bdr w:val="none" w:sz="0" w:space="0" w:color="auto" w:frame="1"/>
          <w14:ligatures w14:val="none"/>
        </w:rPr>
      </w:pPr>
      <w:r w:rsidRPr="00355C12">
        <w:rPr>
          <w:rFonts w:ascii="Traditional Arabic" w:eastAsia="Arial Unicode MS" w:hAnsi="Traditional Arabic" w:cs="Traditional Arabic"/>
          <w:kern w:val="0"/>
          <w:sz w:val="36"/>
          <w:szCs w:val="36"/>
          <w:rtl/>
          <w:lang w:val="ar-SA" w:eastAsia="fr-FR"/>
          <w14:ligatures w14:val="none"/>
        </w:rPr>
        <w:t>و(عمدة الطَّالب).</w:t>
      </w:r>
    </w:p>
    <w:p w14:paraId="1B24424A" w14:textId="77777777" w:rsidR="00463186" w:rsidRPr="00355C12" w:rsidRDefault="00463186" w:rsidP="00463186">
      <w:pPr>
        <w:numPr>
          <w:ilvl w:val="0"/>
          <w:numId w:val="11"/>
        </w:numPr>
        <w:bidi/>
        <w:spacing w:after="0" w:line="240" w:lineRule="auto"/>
        <w:contextualSpacing/>
        <w:rPr>
          <w:rFonts w:ascii="Traditional Arabic" w:eastAsia="Times New Roman" w:hAnsi="Traditional Arabic" w:cs="Traditional Arabic"/>
          <w:color w:val="0D0D0D"/>
          <w:kern w:val="0"/>
          <w:sz w:val="36"/>
          <w:szCs w:val="36"/>
          <w:bdr w:val="none" w:sz="0" w:space="0" w:color="auto" w:frame="1"/>
          <w14:ligatures w14:val="none"/>
        </w:rPr>
      </w:pPr>
      <w:r w:rsidRPr="00355C12">
        <w:rPr>
          <w:rFonts w:ascii="Traditional Arabic" w:eastAsia="Arial Unicode MS" w:hAnsi="Traditional Arabic" w:cs="Traditional Arabic"/>
          <w:kern w:val="0"/>
          <w:sz w:val="36"/>
          <w:szCs w:val="36"/>
          <w:rtl/>
          <w:lang w:val="ar-SA" w:eastAsia="fr-FR"/>
          <w14:ligatures w14:val="none"/>
        </w:rPr>
        <w:t>وعندنا أيضًا هناك من يعتني بــ (مختصر خوقير) مختصر للشيخ أبو بكر خوقير من علماء مكَّة.</w:t>
      </w:r>
    </w:p>
    <w:p w14:paraId="590FE224" w14:textId="77777777" w:rsidR="00463186" w:rsidRPr="00355C12" w:rsidRDefault="00463186" w:rsidP="00463186">
      <w:pPr>
        <w:numPr>
          <w:ilvl w:val="0"/>
          <w:numId w:val="11"/>
        </w:numPr>
        <w:bidi/>
        <w:spacing w:after="0" w:line="240" w:lineRule="auto"/>
        <w:contextualSpacing/>
        <w:rPr>
          <w:rFonts w:ascii="Traditional Arabic" w:eastAsia="Times New Roman" w:hAnsi="Traditional Arabic" w:cs="Traditional Arabic"/>
          <w:color w:val="0D0D0D"/>
          <w:kern w:val="0"/>
          <w:sz w:val="36"/>
          <w:szCs w:val="36"/>
          <w:bdr w:val="none" w:sz="0" w:space="0" w:color="auto" w:frame="1"/>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وكذلك عندنا (عمدة الفقه) لابن قُدامة. </w:t>
      </w:r>
    </w:p>
    <w:p w14:paraId="51636BB0" w14:textId="77777777" w:rsidR="00463186" w:rsidRDefault="00463186" w:rsidP="00463186">
      <w:pPr>
        <w:bidi/>
        <w:spacing w:after="0" w:line="240" w:lineRule="auto"/>
        <w:rPr>
          <w:rFonts w:ascii="Traditional Arabic" w:eastAsia="Helvetica" w:hAnsi="Traditional Arabic" w:cs="Traditional Arabic"/>
          <w:kern w:val="0"/>
          <w:sz w:val="36"/>
          <w:szCs w:val="36"/>
          <w:rtl/>
          <w:lang w:val="fr-FR" w:eastAsia="fr-FR"/>
          <w14:ligatures w14:val="none"/>
        </w:rPr>
      </w:pPr>
      <w:r w:rsidRPr="00355C12">
        <w:rPr>
          <w:rFonts w:ascii="Traditional Arabic" w:eastAsia="Arial Unicode MS" w:hAnsi="Traditional Arabic" w:cs="Traditional Arabic"/>
          <w:kern w:val="0"/>
          <w:sz w:val="36"/>
          <w:szCs w:val="36"/>
          <w:rtl/>
          <w:lang w:val="ar-SA" w:eastAsia="fr-FR"/>
          <w14:ligatures w14:val="none"/>
        </w:rPr>
        <w:t xml:space="preserve">هذي كلها كتب جرى العمل على تدريسها في حلقات العلم على المذهب الحنبلي. </w:t>
      </w:r>
    </w:p>
    <w:p w14:paraId="6E27109B" w14:textId="77777777" w:rsidR="00463186" w:rsidRPr="00DA4E9F" w:rsidRDefault="00463186" w:rsidP="00463186">
      <w:pPr>
        <w:bidi/>
        <w:spacing w:after="0" w:line="240" w:lineRule="auto"/>
        <w:rPr>
          <w:rFonts w:ascii="Traditional Arabic" w:eastAsia="Helvetica" w:hAnsi="Traditional Arabic" w:cs="Traditional Arabic"/>
          <w:kern w:val="0"/>
          <w:sz w:val="36"/>
          <w:szCs w:val="36"/>
          <w:lang w:val="fr-FR" w:eastAsia="fr-FR"/>
          <w14:ligatures w14:val="none"/>
        </w:rPr>
      </w:pPr>
    </w:p>
    <w:p w14:paraId="6BB50A0F" w14:textId="77777777" w:rsidR="00463186" w:rsidRPr="00355C12" w:rsidRDefault="00463186" w:rsidP="00463186">
      <w:pPr>
        <w:keepNext/>
        <w:keepLines/>
        <w:pBdr>
          <w:right w:val="thinThickSmallGap" w:sz="24" w:space="4" w:color="5E806D"/>
        </w:pBdr>
        <w:shd w:val="clear" w:color="auto" w:fill="9CB7A8"/>
        <w:bidi/>
        <w:spacing w:before="40" w:after="200" w:line="256" w:lineRule="auto"/>
        <w:outlineLvl w:val="2"/>
        <w:rPr>
          <w:rFonts w:ascii="Traditional Arabic" w:eastAsia="MS Gothic" w:hAnsi="Traditional Arabic" w:cs="Traditional Arabic"/>
          <w:b/>
          <w:bCs/>
          <w:color w:val="FFFFFF"/>
          <w:sz w:val="40"/>
          <w:szCs w:val="40"/>
          <w:rtl/>
          <w:lang w:val="ar-SA" w:eastAsia="en-GB"/>
          <w14:ligatures w14:val="none"/>
        </w:rPr>
      </w:pPr>
      <w:r w:rsidRPr="00355C12">
        <w:rPr>
          <w:rFonts w:ascii="Traditional Arabic" w:eastAsia="MS Gothic" w:hAnsi="Traditional Arabic" w:cs="Traditional Arabic"/>
          <w:b/>
          <w:bCs/>
          <w:color w:val="FFFFFF"/>
          <w:sz w:val="40"/>
          <w:szCs w:val="40"/>
          <w:rtl/>
          <w:lang w:val="ar-SA" w:eastAsia="en-GB"/>
          <w14:ligatures w14:val="none"/>
        </w:rPr>
        <w:t xml:space="preserve"> </w:t>
      </w:r>
      <w:bookmarkStart w:id="10" w:name="_Toc188395332"/>
      <w:bookmarkStart w:id="11" w:name="_Toc188874991"/>
      <w:r w:rsidRPr="00355C12">
        <w:rPr>
          <w:rFonts w:ascii="Traditional Arabic" w:eastAsia="MS Gothic" w:hAnsi="Traditional Arabic" w:cs="Traditional Arabic"/>
          <w:b/>
          <w:bCs/>
          <w:color w:val="FFFFFF"/>
          <w:sz w:val="40"/>
          <w:szCs w:val="40"/>
          <w:rtl/>
          <w:lang w:val="ar-SA" w:eastAsia="en-GB"/>
          <w14:ligatures w14:val="none"/>
        </w:rPr>
        <w:t>مُميِّزات كل كتاب من كتب الفقه الحنبلي.</w:t>
      </w:r>
      <w:bookmarkEnd w:id="10"/>
      <w:bookmarkEnd w:id="11"/>
      <w:r w:rsidRPr="00355C12">
        <w:rPr>
          <w:rFonts w:ascii="Traditional Arabic" w:eastAsia="MS Gothic" w:hAnsi="Traditional Arabic" w:cs="Traditional Arabic"/>
          <w:b/>
          <w:bCs/>
          <w:color w:val="FFFFFF"/>
          <w:sz w:val="40"/>
          <w:szCs w:val="40"/>
          <w:rtl/>
          <w:lang w:val="ar-SA" w:eastAsia="en-GB"/>
          <w14:ligatures w14:val="none"/>
        </w:rPr>
        <w:t xml:space="preserve"> </w:t>
      </w:r>
    </w:p>
    <w:p w14:paraId="1B4FD61D"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14:ligatures w14:val="none"/>
        </w:rPr>
      </w:pPr>
      <w:r w:rsidRPr="00355C12">
        <w:rPr>
          <w:rFonts w:ascii="Traditional Arabic" w:eastAsia="Times New Roman" w:hAnsi="Traditional Arabic" w:cs="Traditional Arabic"/>
          <w:color w:val="0D0D0D"/>
          <w:kern w:val="0"/>
          <w:sz w:val="36"/>
          <w:szCs w:val="36"/>
          <w:rtl/>
          <w14:ligatures w14:val="none"/>
        </w:rPr>
        <w:t xml:space="preserve">طيِّب؛ بالنسبة لكتب الحنابلة هذي، كتب الفقه الحنبلي، الحقيقة هي مُتعدِّدة، وكل واحد له ميزة، فدعونا نذكر شيئًا من ذلك: </w:t>
      </w:r>
    </w:p>
    <w:p w14:paraId="60D5E954" w14:textId="77777777" w:rsidR="00463186" w:rsidRPr="00355C12" w:rsidRDefault="00463186" w:rsidP="00463186">
      <w:pPr>
        <w:bidi/>
        <w:spacing w:after="0" w:line="240" w:lineRule="auto"/>
        <w:rPr>
          <w:rFonts w:ascii="Traditional Arabic" w:eastAsia="Times New Roman" w:hAnsi="Traditional Arabic" w:cs="Traditional Arabic"/>
          <w:color w:val="0D0D0D"/>
          <w:kern w:val="0"/>
          <w:sz w:val="36"/>
          <w:szCs w:val="36"/>
          <w:rtl/>
          <w14:ligatures w14:val="none"/>
        </w:rPr>
      </w:pPr>
      <w:r w:rsidRPr="00355C12">
        <w:rPr>
          <w:rFonts w:ascii="Traditional Arabic" w:eastAsia="Arial Unicode MS" w:hAnsi="Traditional Arabic" w:cs="Traditional Arabic"/>
          <w:kern w:val="0"/>
          <w:sz w:val="36"/>
          <w:szCs w:val="36"/>
          <w:rtl/>
          <w:lang w:val="ar-SA" w:eastAsia="zh-CN"/>
          <w14:ligatures w14:val="none"/>
        </w:rPr>
        <w:t>إذا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أردت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تقف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على</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نصوص</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الإمام</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أحمد</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مسألة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المسائل،</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فما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هو</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الكتاب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الذي</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ترجع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إليه؟</w:t>
      </w:r>
      <w:r w:rsidRPr="00355C12">
        <w:rPr>
          <w:rFonts w:ascii="Traditional Arabic" w:eastAsia="SimSun" w:hAnsi="Traditional Arabic" w:cs="Traditional Arabic"/>
          <w:kern w:val="0"/>
          <w:sz w:val="36"/>
          <w:szCs w:val="36"/>
          <w:rtl/>
          <w:lang w:val="ar-SA" w:eastAsia="zh-CN"/>
          <w14:ligatures w14:val="none"/>
        </w:rPr>
        <w:t xml:space="preserve"> </w:t>
      </w:r>
    </w:p>
    <w:p w14:paraId="096530B5" w14:textId="77777777" w:rsidR="00463186" w:rsidRPr="00355C12" w:rsidRDefault="00463186" w:rsidP="00463186">
      <w:pPr>
        <w:bidi/>
        <w:spacing w:after="0" w:line="240" w:lineRule="auto"/>
        <w:rPr>
          <w:rFonts w:ascii="Traditional Arabic" w:eastAsia="Helvetica" w:hAnsi="Traditional Arabic" w:cs="Traditional Arabic"/>
          <w:kern w:val="0"/>
          <w:sz w:val="36"/>
          <w:szCs w:val="36"/>
          <w:rtl/>
          <w:lang w:val="fr-FR" w:eastAsia="fr-FR" w:bidi="ar-DZ"/>
          <w14:ligatures w14:val="none"/>
        </w:rPr>
      </w:pPr>
      <w:r w:rsidRPr="00355C12">
        <w:rPr>
          <w:rFonts w:ascii="Traditional Arabic" w:eastAsia="Arial Unicode MS" w:hAnsi="Traditional Arabic" w:cs="Traditional Arabic"/>
          <w:kern w:val="0"/>
          <w:sz w:val="36"/>
          <w:szCs w:val="36"/>
          <w:rtl/>
          <w:lang w:val="ar-SA" w:eastAsia="fr-FR"/>
          <w14:ligatures w14:val="none"/>
        </w:rPr>
        <w:t>- لا، ما ترجع لــ (الإنصاف)، ترجع إلى (مسائل الإمام أحمد)، ويجمعها كتاب (الجامع لعلوم الإمام أحمد</w:t>
      </w:r>
      <w:r w:rsidRPr="00355C12">
        <w:rPr>
          <w:rFonts w:ascii="Traditional Arabic" w:eastAsia="Arial Unicode MS" w:hAnsi="Traditional Arabic" w:cs="Traditional Arabic" w:hint="cs"/>
          <w:kern w:val="0"/>
          <w:sz w:val="36"/>
          <w:szCs w:val="36"/>
          <w:rtl/>
          <w:lang w:val="ar-SA" w:eastAsia="fr-FR"/>
          <w14:ligatures w14:val="none"/>
        </w:rPr>
        <w:t>).</w:t>
      </w:r>
    </w:p>
    <w:p w14:paraId="0A0A4688"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إذا أردت أن تقف على الروايات والأوجه المتعددة في المسألة في المذهب، ترجع إلى (الإنصاف) للمرداوي.</w:t>
      </w:r>
    </w:p>
    <w:p w14:paraId="47407A6A" w14:textId="77777777" w:rsidR="00463186" w:rsidRPr="00355C12" w:rsidRDefault="00463186" w:rsidP="00463186">
      <w:pPr>
        <w:bidi/>
        <w:spacing w:after="0" w:line="240" w:lineRule="auto"/>
        <w:rPr>
          <w:rFonts w:ascii="Traditional Arabic" w:eastAsia="Arial Unicode MS" w:hAnsi="Traditional Arabic" w:cs="Traditional Arabic"/>
          <w:kern w:val="0"/>
          <w:sz w:val="36"/>
          <w:szCs w:val="36"/>
          <w:rtl/>
          <w:lang w:val="ar-SA" w:eastAsia="zh-CN"/>
          <w14:ligatures w14:val="none"/>
        </w:rPr>
      </w:pPr>
      <w:r w:rsidRPr="00355C12">
        <w:rPr>
          <w:rFonts w:ascii="Traditional Arabic" w:eastAsia="Arial Unicode MS" w:hAnsi="Traditional Arabic" w:cs="Traditional Arabic"/>
          <w:kern w:val="0"/>
          <w:sz w:val="36"/>
          <w:szCs w:val="36"/>
          <w:rtl/>
          <w:lang w:val="ar-SA" w:eastAsia="zh-CN"/>
          <w14:ligatures w14:val="none"/>
        </w:rPr>
        <w:t>إذا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أردت</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تقف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على</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أدلة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المذهب،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وكيف</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أجابوا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عن</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أدلّة</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المذاهب</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الأخرى؟ لا،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المُقنع</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ما</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فيه</w:t>
      </w:r>
      <w:r w:rsidRPr="00355C12">
        <w:rPr>
          <w:rFonts w:ascii="Traditional Arabic" w:eastAsia="SimSun" w:hAnsi="Traditional Arabic" w:cs="Traditional Arabic"/>
          <w:kern w:val="0"/>
          <w:sz w:val="36"/>
          <w:szCs w:val="36"/>
          <w:rtl/>
          <w:lang w:val="ar-SA" w:eastAsia="zh-CN"/>
          <w14:ligatures w14:val="none"/>
        </w:rPr>
        <w:t xml:space="preserve"> </w:t>
      </w:r>
      <w:r w:rsidRPr="00355C12">
        <w:rPr>
          <w:rFonts w:ascii="Traditional Arabic" w:eastAsia="Arial Unicode MS" w:hAnsi="Traditional Arabic" w:cs="Traditional Arabic"/>
          <w:kern w:val="0"/>
          <w:sz w:val="36"/>
          <w:szCs w:val="36"/>
          <w:rtl/>
          <w:lang w:val="ar-SA" w:eastAsia="zh-CN"/>
          <w14:ligatures w14:val="none"/>
        </w:rPr>
        <w:t>أدلّة</w:t>
      </w:r>
      <w:r w:rsidRPr="00355C12">
        <w:rPr>
          <w:rFonts w:ascii="Traditional Arabic" w:eastAsia="SimSun" w:hAnsi="Traditional Arabic" w:cs="Traditional Arabic"/>
          <w:kern w:val="0"/>
          <w:sz w:val="36"/>
          <w:szCs w:val="36"/>
          <w:rtl/>
          <w:lang w:val="ar-SA" w:eastAsia="zh-CN"/>
          <w14:ligatures w14:val="none"/>
        </w:rPr>
        <w:t>.</w:t>
      </w:r>
    </w:p>
    <w:p w14:paraId="0FA51864"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lastRenderedPageBreak/>
        <w:t>- ترجع إلى (المُغني) لابن قُدامة.</w:t>
      </w:r>
    </w:p>
    <w:p w14:paraId="4BA56CAC"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t>- ترجع إلى (الشَّرح الكبير) لابن أبي عمر.</w:t>
      </w:r>
    </w:p>
    <w:p w14:paraId="2446F31B"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t>- ترجع أيضًا إلى (الممتع في شرح المُقنِع) لابن المنجّى.</w:t>
      </w:r>
    </w:p>
    <w:p w14:paraId="50E90682"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t xml:space="preserve">- من الكتب أيضًا المفيدة في أدلّة المذهب كتاب ابن الجوزي (التَّحقيق لأحاديث التعليق). </w:t>
      </w:r>
    </w:p>
    <w:p w14:paraId="16AB8FCE"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t>- وكذلك كتاب (التعليقة) للقاضي أبي يعلى.</w:t>
      </w:r>
    </w:p>
    <w:p w14:paraId="4EB89EDD" w14:textId="77777777" w:rsidR="00463186" w:rsidRPr="00355C12" w:rsidRDefault="00463186" w:rsidP="00463186">
      <w:pPr>
        <w:bidi/>
        <w:spacing w:after="0" w:line="240" w:lineRule="auto"/>
        <w:rPr>
          <w:rFonts w:ascii="Traditional Arabic" w:eastAsia="Arial Unicode MS" w:hAnsi="Traditional Arabic" w:cs="Traditional Arabic"/>
          <w:color w:val="000000"/>
          <w:kern w:val="0"/>
          <w:sz w:val="36"/>
          <w:szCs w:val="36"/>
          <w:rtl/>
          <w:lang w:val="ar-SA" w:eastAsia="fr-FR"/>
          <w14:ligatures w14:val="none"/>
        </w:rPr>
      </w:pPr>
      <w:r w:rsidRPr="00355C12">
        <w:rPr>
          <w:rFonts w:ascii="Traditional Arabic" w:eastAsia="Arial Unicode MS" w:hAnsi="Traditional Arabic" w:cs="Traditional Arabic"/>
          <w:color w:val="000000"/>
          <w:kern w:val="0"/>
          <w:sz w:val="36"/>
          <w:szCs w:val="36"/>
          <w:rtl/>
          <w:lang w:val="ar-SA" w:eastAsia="fr-FR"/>
          <w14:ligatures w14:val="none"/>
        </w:rPr>
        <w:t xml:space="preserve">- وكتاب (الانتصار) للقاضي الخطّاب الكلوَذاني رحمه الله تعالى. </w:t>
      </w:r>
    </w:p>
    <w:p w14:paraId="1BB353A3"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r w:rsidRPr="00355C12">
        <w:rPr>
          <w:rFonts w:ascii="Traditional Arabic" w:eastAsia="Times New Roman" w:hAnsi="Traditional Arabic" w:cs="Traditional Arabic"/>
          <w:color w:val="0D0D0D"/>
          <w:kern w:val="0"/>
          <w:sz w:val="36"/>
          <w:szCs w:val="36"/>
          <w:rtl/>
          <w14:ligatures w14:val="none"/>
        </w:rPr>
        <w:t>هذا ما يتعلَّق بكتب الحنابلة، والمراحل التي مرَّ بها مذهب الإمام أحمد رحمه الله تعالى؛ ونسأل الله سبحانه وتعالى أن يجعل ما تعلَّمناه علمًا نافعًا ولوجهه خالصًا، وصلّى الله وسلّم على نبيّنا محمّد وعلى آله وصحبه أجمعين</w:t>
      </w:r>
      <w:r>
        <w:rPr>
          <w:rFonts w:ascii="Traditional Arabic" w:eastAsia="Times New Roman" w:hAnsi="Traditional Arabic" w:cs="Traditional Arabic" w:hint="cs"/>
          <w:color w:val="0D0D0D"/>
          <w:kern w:val="0"/>
          <w:sz w:val="36"/>
          <w:szCs w:val="36"/>
          <w:rtl/>
          <w14:ligatures w14:val="none"/>
        </w:rPr>
        <w:t>.</w:t>
      </w:r>
    </w:p>
    <w:p w14:paraId="499C5567"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0D852B4F"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48DB35D6"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1CAD3F2A"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3D5D01BA"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341823BF"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1D2034CC"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77964ADA"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5BC277BE"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4E789940"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039C154E"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15E9F7C7"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4BD347BD"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0373EB37" w14:textId="77777777" w:rsidR="00463186" w:rsidRDefault="00463186" w:rsidP="00463186">
      <w:pPr>
        <w:bidi/>
        <w:rPr>
          <w:rFonts w:ascii="Traditional Arabic" w:eastAsia="Times New Roman" w:hAnsi="Traditional Arabic" w:cs="Traditional Arabic"/>
          <w:color w:val="0D0D0D"/>
          <w:kern w:val="0"/>
          <w:sz w:val="36"/>
          <w:szCs w:val="36"/>
          <w:rtl/>
          <w14:ligatures w14:val="none"/>
        </w:rPr>
      </w:pPr>
    </w:p>
    <w:p w14:paraId="2C7201B9" w14:textId="77777777" w:rsidR="007E0E96" w:rsidRPr="00463186" w:rsidRDefault="007E0E96" w:rsidP="00463186"/>
    <w:sectPr w:rsidR="007E0E96" w:rsidRPr="00463186"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437"/>
    <w:multiLevelType w:val="hybridMultilevel"/>
    <w:tmpl w:val="9BCEC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4A03DA"/>
    <w:multiLevelType w:val="multilevel"/>
    <w:tmpl w:val="EA267C5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F45DE"/>
    <w:multiLevelType w:val="hybridMultilevel"/>
    <w:tmpl w:val="0F3E373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2E44029"/>
    <w:multiLevelType w:val="hybridMultilevel"/>
    <w:tmpl w:val="2F08AFF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1B61E8"/>
    <w:multiLevelType w:val="multilevel"/>
    <w:tmpl w:val="988A61CE"/>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31C8D"/>
    <w:multiLevelType w:val="hybridMultilevel"/>
    <w:tmpl w:val="78968A8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4030801"/>
    <w:multiLevelType w:val="hybridMultilevel"/>
    <w:tmpl w:val="8916A6B6"/>
    <w:lvl w:ilvl="0" w:tplc="9E3A8B5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37445"/>
    <w:multiLevelType w:val="hybridMultilevel"/>
    <w:tmpl w:val="7E7607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F5A8C"/>
    <w:multiLevelType w:val="multilevel"/>
    <w:tmpl w:val="02A0E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78644D"/>
    <w:multiLevelType w:val="hybridMultilevel"/>
    <w:tmpl w:val="CF8CA3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9F6855"/>
    <w:multiLevelType w:val="hybridMultilevel"/>
    <w:tmpl w:val="9B8262BC"/>
    <w:lvl w:ilvl="0" w:tplc="3DEAA2C6">
      <w:start w:val="1"/>
      <w:numFmt w:val="bullet"/>
      <w:lvlText w:val=""/>
      <w:lvlJc w:val="left"/>
      <w:pPr>
        <w:ind w:left="360" w:hanging="360"/>
      </w:pPr>
      <w:rPr>
        <w:rFonts w:ascii="Symbol" w:hAnsi="Symbol" w:hint="default"/>
      </w:rPr>
    </w:lvl>
    <w:lvl w:ilvl="1" w:tplc="9E3A8B50">
      <w:numFmt w:val="bullet"/>
      <w:lvlText w:val="-"/>
      <w:lvlJc w:val="left"/>
      <w:pPr>
        <w:ind w:left="0" w:hanging="360"/>
      </w:pPr>
      <w:rPr>
        <w:rFonts w:ascii="Traditional Arabic" w:eastAsia="Times New Roman" w:hAnsi="Traditional Arabic" w:cs="Traditional Arabic"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394BB5"/>
    <w:multiLevelType w:val="multilevel"/>
    <w:tmpl w:val="31B413FE"/>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2" w15:restartNumberingAfterBreak="0">
    <w:nsid w:val="5C074A40"/>
    <w:multiLevelType w:val="hybridMultilevel"/>
    <w:tmpl w:val="6D08676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D490204"/>
    <w:multiLevelType w:val="hybridMultilevel"/>
    <w:tmpl w:val="DF624EB8"/>
    <w:lvl w:ilvl="0" w:tplc="45E0F1CC">
      <w:start w:val="1"/>
      <w:numFmt w:val="bullet"/>
      <w:lvlText w:val=""/>
      <w:lvlJc w:val="left"/>
      <w:pPr>
        <w:ind w:left="360" w:hanging="360"/>
      </w:pPr>
      <w:rPr>
        <w:rFonts w:ascii="Wingdings" w:hAnsi="Wingdings" w:hint="default"/>
        <w:sz w:val="36"/>
        <w:szCs w:val="36"/>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4" w15:restartNumberingAfterBreak="0">
    <w:nsid w:val="5EA653B7"/>
    <w:multiLevelType w:val="hybridMultilevel"/>
    <w:tmpl w:val="A8F0785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E05016C"/>
    <w:multiLevelType w:val="multilevel"/>
    <w:tmpl w:val="88C8CB1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0E04D4"/>
    <w:multiLevelType w:val="hybridMultilevel"/>
    <w:tmpl w:val="B4A4B06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78103698">
    <w:abstractNumId w:val="8"/>
  </w:num>
  <w:num w:numId="2" w16cid:durableId="1435202718">
    <w:abstractNumId w:val="15"/>
  </w:num>
  <w:num w:numId="3" w16cid:durableId="1175336920">
    <w:abstractNumId w:val="4"/>
  </w:num>
  <w:num w:numId="4" w16cid:durableId="175117535">
    <w:abstractNumId w:val="1"/>
  </w:num>
  <w:num w:numId="5" w16cid:durableId="431320103">
    <w:abstractNumId w:val="11"/>
  </w:num>
  <w:num w:numId="6" w16cid:durableId="1889219846">
    <w:abstractNumId w:val="13"/>
  </w:num>
  <w:num w:numId="7" w16cid:durableId="1932854785">
    <w:abstractNumId w:val="10"/>
  </w:num>
  <w:num w:numId="8" w16cid:durableId="1315993153">
    <w:abstractNumId w:val="9"/>
  </w:num>
  <w:num w:numId="9" w16cid:durableId="2017263813">
    <w:abstractNumId w:val="0"/>
  </w:num>
  <w:num w:numId="10" w16cid:durableId="1700545812">
    <w:abstractNumId w:val="7"/>
  </w:num>
  <w:num w:numId="11" w16cid:durableId="1085809410">
    <w:abstractNumId w:val="6"/>
  </w:num>
  <w:num w:numId="12" w16cid:durableId="124588902">
    <w:abstractNumId w:val="12"/>
  </w:num>
  <w:num w:numId="13" w16cid:durableId="1477071267">
    <w:abstractNumId w:val="2"/>
  </w:num>
  <w:num w:numId="14" w16cid:durableId="177740138">
    <w:abstractNumId w:val="5"/>
  </w:num>
  <w:num w:numId="15" w16cid:durableId="62528973">
    <w:abstractNumId w:val="16"/>
  </w:num>
  <w:num w:numId="16" w16cid:durableId="56100422">
    <w:abstractNumId w:val="14"/>
  </w:num>
  <w:num w:numId="17" w16cid:durableId="1092509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8A"/>
    <w:rsid w:val="000D0BCE"/>
    <w:rsid w:val="00245993"/>
    <w:rsid w:val="00463186"/>
    <w:rsid w:val="004A28B7"/>
    <w:rsid w:val="004C46D1"/>
    <w:rsid w:val="004F2572"/>
    <w:rsid w:val="00547888"/>
    <w:rsid w:val="00552DDF"/>
    <w:rsid w:val="006D5224"/>
    <w:rsid w:val="007E0E96"/>
    <w:rsid w:val="00A6051B"/>
    <w:rsid w:val="00A63010"/>
    <w:rsid w:val="00B8498A"/>
    <w:rsid w:val="00CB1844"/>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BA92F1-36D1-444E-9865-772FE7A6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3186"/>
    <w:pPr>
      <w:bidi w:val="0"/>
    </w:pPr>
    <w:rPr>
      <w:kern w:val="2"/>
    </w:rPr>
  </w:style>
  <w:style w:type="paragraph" w:styleId="1">
    <w:name w:val="heading 1"/>
    <w:basedOn w:val="a"/>
    <w:next w:val="a"/>
    <w:link w:val="1Char"/>
    <w:uiPriority w:val="9"/>
    <w:qFormat/>
    <w:rsid w:val="00B84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84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8498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8498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8498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849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849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849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849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8498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8498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8498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8498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8498A"/>
    <w:rPr>
      <w:rFonts w:eastAsiaTheme="majorEastAsia" w:cstheme="majorBidi"/>
      <w:color w:val="2F5496" w:themeColor="accent1" w:themeShade="BF"/>
    </w:rPr>
  </w:style>
  <w:style w:type="character" w:customStyle="1" w:styleId="6Char">
    <w:name w:val="عنوان 6 Char"/>
    <w:basedOn w:val="a0"/>
    <w:link w:val="6"/>
    <w:uiPriority w:val="9"/>
    <w:semiHidden/>
    <w:rsid w:val="00B8498A"/>
    <w:rPr>
      <w:rFonts w:eastAsiaTheme="majorEastAsia" w:cstheme="majorBidi"/>
      <w:i/>
      <w:iCs/>
      <w:color w:val="595959" w:themeColor="text1" w:themeTint="A6"/>
    </w:rPr>
  </w:style>
  <w:style w:type="character" w:customStyle="1" w:styleId="7Char">
    <w:name w:val="عنوان 7 Char"/>
    <w:basedOn w:val="a0"/>
    <w:link w:val="7"/>
    <w:uiPriority w:val="9"/>
    <w:semiHidden/>
    <w:rsid w:val="00B8498A"/>
    <w:rPr>
      <w:rFonts w:eastAsiaTheme="majorEastAsia" w:cstheme="majorBidi"/>
      <w:color w:val="595959" w:themeColor="text1" w:themeTint="A6"/>
    </w:rPr>
  </w:style>
  <w:style w:type="character" w:customStyle="1" w:styleId="8Char">
    <w:name w:val="عنوان 8 Char"/>
    <w:basedOn w:val="a0"/>
    <w:link w:val="8"/>
    <w:uiPriority w:val="9"/>
    <w:semiHidden/>
    <w:rsid w:val="00B8498A"/>
    <w:rPr>
      <w:rFonts w:eastAsiaTheme="majorEastAsia" w:cstheme="majorBidi"/>
      <w:i/>
      <w:iCs/>
      <w:color w:val="272727" w:themeColor="text1" w:themeTint="D8"/>
    </w:rPr>
  </w:style>
  <w:style w:type="character" w:customStyle="1" w:styleId="9Char">
    <w:name w:val="عنوان 9 Char"/>
    <w:basedOn w:val="a0"/>
    <w:link w:val="9"/>
    <w:uiPriority w:val="9"/>
    <w:semiHidden/>
    <w:rsid w:val="00B8498A"/>
    <w:rPr>
      <w:rFonts w:eastAsiaTheme="majorEastAsia" w:cstheme="majorBidi"/>
      <w:color w:val="272727" w:themeColor="text1" w:themeTint="D8"/>
    </w:rPr>
  </w:style>
  <w:style w:type="paragraph" w:styleId="a3">
    <w:name w:val="Title"/>
    <w:basedOn w:val="a"/>
    <w:next w:val="a"/>
    <w:link w:val="Char"/>
    <w:uiPriority w:val="10"/>
    <w:qFormat/>
    <w:rsid w:val="00B84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849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498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8498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8498A"/>
    <w:pPr>
      <w:spacing w:before="160"/>
      <w:jc w:val="center"/>
    </w:pPr>
    <w:rPr>
      <w:i/>
      <w:iCs/>
      <w:color w:val="404040" w:themeColor="text1" w:themeTint="BF"/>
    </w:rPr>
  </w:style>
  <w:style w:type="character" w:customStyle="1" w:styleId="Char1">
    <w:name w:val="اقتباس Char"/>
    <w:basedOn w:val="a0"/>
    <w:link w:val="a5"/>
    <w:uiPriority w:val="29"/>
    <w:rsid w:val="00B8498A"/>
    <w:rPr>
      <w:i/>
      <w:iCs/>
      <w:color w:val="404040" w:themeColor="text1" w:themeTint="BF"/>
    </w:rPr>
  </w:style>
  <w:style w:type="paragraph" w:styleId="a6">
    <w:name w:val="List Paragraph"/>
    <w:basedOn w:val="a"/>
    <w:uiPriority w:val="34"/>
    <w:qFormat/>
    <w:rsid w:val="00B8498A"/>
    <w:pPr>
      <w:ind w:left="720"/>
      <w:contextualSpacing/>
    </w:pPr>
  </w:style>
  <w:style w:type="character" w:styleId="a7">
    <w:name w:val="Intense Emphasis"/>
    <w:basedOn w:val="a0"/>
    <w:uiPriority w:val="21"/>
    <w:qFormat/>
    <w:rsid w:val="00B8498A"/>
    <w:rPr>
      <w:i/>
      <w:iCs/>
      <w:color w:val="2F5496" w:themeColor="accent1" w:themeShade="BF"/>
    </w:rPr>
  </w:style>
  <w:style w:type="paragraph" w:styleId="a8">
    <w:name w:val="Intense Quote"/>
    <w:basedOn w:val="a"/>
    <w:next w:val="a"/>
    <w:link w:val="Char2"/>
    <w:uiPriority w:val="30"/>
    <w:qFormat/>
    <w:rsid w:val="00B84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8498A"/>
    <w:rPr>
      <w:i/>
      <w:iCs/>
      <w:color w:val="2F5496" w:themeColor="accent1" w:themeShade="BF"/>
    </w:rPr>
  </w:style>
  <w:style w:type="character" w:styleId="a9">
    <w:name w:val="Intense Reference"/>
    <w:basedOn w:val="a0"/>
    <w:uiPriority w:val="32"/>
    <w:qFormat/>
    <w:rsid w:val="00B849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2237</Words>
  <Characters>12753</Characters>
  <Application>Microsoft Office Word</Application>
  <DocSecurity>0</DocSecurity>
  <Lines>106</Lines>
  <Paragraphs>29</Paragraphs>
  <ScaleCrop>false</ScaleCrop>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cp:revision>
  <cp:lastPrinted>2026-06-13T16:21:00Z</cp:lastPrinted>
  <dcterms:created xsi:type="dcterms:W3CDTF">2026-06-13T16:22:00Z</dcterms:created>
  <dcterms:modified xsi:type="dcterms:W3CDTF">2026-06-13T16:22:00Z</dcterms:modified>
</cp:coreProperties>
</file>