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4D1B" w14:textId="77777777" w:rsidR="00CA3DFA" w:rsidRPr="00592892" w:rsidRDefault="00CA3DFA" w:rsidP="00CA3DFA">
      <w:pPr>
        <w:keepNext/>
        <w:keepLines/>
        <w:pBdr>
          <w:right w:val="thinThickMediumGap" w:sz="24" w:space="4" w:color="984806"/>
        </w:pBdr>
        <w:shd w:val="clear" w:color="auto" w:fill="D68568"/>
        <w:spacing w:after="0" w:line="240" w:lineRule="auto"/>
        <w:jc w:val="both"/>
        <w:outlineLvl w:val="0"/>
        <w:rPr>
          <w:rFonts w:ascii="Traditional Arabic" w:eastAsia="Calibri" w:hAnsi="Traditional Arabic" w:cs="Traditional Arabic"/>
          <w:b/>
          <w:bCs/>
          <w:color w:val="FFFFFF" w:themeColor="background1"/>
          <w:sz w:val="44"/>
          <w:szCs w:val="44"/>
          <w:rtl/>
          <w:lang w:val="en-GB"/>
        </w:rPr>
      </w:pPr>
      <w:bookmarkStart w:id="0" w:name="_Toc198206239"/>
      <w:bookmarkStart w:id="1" w:name="_Toc198346247"/>
      <w:r w:rsidRPr="00592892">
        <w:rPr>
          <w:rFonts w:ascii="Traditional Arabic" w:eastAsia="Calibri" w:hAnsi="Traditional Arabic" w:cs="Traditional Arabic" w:hint="cs"/>
          <w:b/>
          <w:bCs/>
          <w:color w:val="FFFFFF" w:themeColor="background1"/>
          <w:sz w:val="44"/>
          <w:szCs w:val="44"/>
          <w:rtl/>
        </w:rPr>
        <w:t xml:space="preserve">مصادر </w:t>
      </w:r>
      <w:r>
        <w:rPr>
          <w:rFonts w:ascii="Traditional Arabic" w:eastAsia="Calibri" w:hAnsi="Traditional Arabic" w:cs="Traditional Arabic" w:hint="cs"/>
          <w:b/>
          <w:bCs/>
          <w:color w:val="FFFFFF" w:themeColor="background1"/>
          <w:sz w:val="44"/>
          <w:szCs w:val="44"/>
          <w:rtl/>
          <w:lang w:val="en-GB"/>
        </w:rPr>
        <w:t>التلقي|01</w:t>
      </w:r>
      <w:bookmarkEnd w:id="0"/>
      <w:bookmarkEnd w:id="1"/>
    </w:p>
    <w:p w14:paraId="1EED034A" w14:textId="77777777" w:rsidR="00CA3DFA" w:rsidRPr="00C82054" w:rsidRDefault="00CA3DFA" w:rsidP="00CA3DFA">
      <w:pPr>
        <w:pStyle w:val="ad"/>
        <w:jc w:val="both"/>
        <w:rPr>
          <w:rtl/>
        </w:rPr>
      </w:pPr>
      <w:bookmarkStart w:id="2" w:name="_Toc198206240"/>
      <w:bookmarkStart w:id="3" w:name="_Toc198346248"/>
      <w:r w:rsidRPr="00592892">
        <w:rPr>
          <w:rFonts w:hint="cs"/>
          <w:rtl/>
          <w:lang w:val="ar-SA"/>
        </w:rPr>
        <w:t>مقدمة</w:t>
      </w:r>
      <w:bookmarkEnd w:id="2"/>
      <w:bookmarkEnd w:id="3"/>
    </w:p>
    <w:p w14:paraId="05A3F8B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الحمد لله رب العالمين والصلاة والسلام على أشرف الأنبياء والمرسلين نبينا محمد وعلى آله وصحبه أجمعين. </w:t>
      </w:r>
    </w:p>
    <w:p w14:paraId="7E8A2FBE" w14:textId="77777777" w:rsidR="00CA3DFA"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أما بعد: نستعين بالله ونبتدأ أول محاضرة من هذا البرنامج، أسأل الله سبحانه وتعالى أن يعيننا وأن يبارك لنا وأن يتقبّل منّا ومنكم صالح الأعمال.</w:t>
      </w:r>
    </w:p>
    <w:p w14:paraId="165677F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p>
    <w:p w14:paraId="0E4641BD" w14:textId="77777777" w:rsidR="00CA3DFA" w:rsidRPr="00C82054" w:rsidRDefault="00CA3DFA" w:rsidP="00CA3DFA">
      <w:pPr>
        <w:pStyle w:val="ad"/>
        <w:jc w:val="both"/>
        <w:rPr>
          <w:rtl/>
        </w:rPr>
      </w:pPr>
      <w:bookmarkStart w:id="4" w:name="_Toc198206241"/>
      <w:bookmarkStart w:id="5" w:name="_Toc198346249"/>
      <w:r w:rsidRPr="00592892">
        <w:rPr>
          <w:rFonts w:hint="cs"/>
          <w:rtl/>
          <w:lang w:val="ar-SA"/>
        </w:rPr>
        <w:t>التأثر والتأثير بين أبواب العلوم</w:t>
      </w:r>
      <w:bookmarkEnd w:id="4"/>
      <w:bookmarkEnd w:id="5"/>
    </w:p>
    <w:p w14:paraId="3854A9C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أول مستوى هو مصادر التلقي ومداخل العلوم، ومصادر التلقي هو بابٌ منهجيٌّ بامتياز.</w:t>
      </w:r>
    </w:p>
    <w:p w14:paraId="23031BE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وأبواب العلوم وأبواب المعارف على قسمين:</w:t>
      </w:r>
    </w:p>
    <w:p w14:paraId="49514AA0" w14:textId="77777777" w:rsidR="00CA3DFA" w:rsidRPr="00592892" w:rsidRDefault="00CA3DFA" w:rsidP="00CA3DFA">
      <w:pPr>
        <w:numPr>
          <w:ilvl w:val="0"/>
          <w:numId w:val="23"/>
        </w:numPr>
        <w:spacing w:after="0" w:line="240" w:lineRule="auto"/>
        <w:contextualSpacing/>
        <w:jc w:val="both"/>
        <w:rPr>
          <w:rFonts w:ascii="Traditional Arabic" w:eastAsia="Calibri" w:hAnsi="Traditional Arabic" w:cs="Traditional Arabic"/>
          <w:sz w:val="36"/>
          <w:szCs w:val="36"/>
          <w:rtl/>
        </w:rPr>
      </w:pPr>
      <w:r>
        <w:rPr>
          <w:rFonts w:ascii="Traditional Arabic" w:eastAsia="Calibri" w:hAnsi="Traditional Arabic" w:cs="Traditional Arabic" w:hint="cs"/>
          <w:sz w:val="36"/>
          <w:szCs w:val="36"/>
          <w:rtl/>
        </w:rPr>
        <w:t xml:space="preserve"> </w:t>
      </w:r>
      <w:r w:rsidRPr="00592892">
        <w:rPr>
          <w:rFonts w:ascii="Traditional Arabic" w:eastAsia="Calibri" w:hAnsi="Traditional Arabic" w:cs="Traditional Arabic"/>
          <w:sz w:val="36"/>
          <w:szCs w:val="36"/>
          <w:rtl/>
        </w:rPr>
        <w:t>أبواب منهجية يترتّب عليها فروع وتفاصيل كثيرة جدًا.</w:t>
      </w:r>
    </w:p>
    <w:p w14:paraId="4EA8A554" w14:textId="77777777" w:rsidR="00CA3DFA" w:rsidRPr="00592892" w:rsidRDefault="00CA3DFA" w:rsidP="00CA3DFA">
      <w:pPr>
        <w:numPr>
          <w:ilvl w:val="0"/>
          <w:numId w:val="23"/>
        </w:numPr>
        <w:spacing w:after="0" w:line="240" w:lineRule="auto"/>
        <w:contextualSpacing/>
        <w:jc w:val="both"/>
        <w:rPr>
          <w:rFonts w:ascii="Traditional Arabic" w:eastAsia="Calibri" w:hAnsi="Traditional Arabic" w:cs="Traditional Arabic"/>
          <w:sz w:val="36"/>
          <w:szCs w:val="36"/>
        </w:rPr>
      </w:pPr>
      <w:r>
        <w:rPr>
          <w:rFonts w:ascii="Traditional Arabic" w:eastAsia="Calibri" w:hAnsi="Traditional Arabic" w:cs="Traditional Arabic" w:hint="cs"/>
          <w:sz w:val="36"/>
          <w:szCs w:val="36"/>
          <w:rtl/>
          <w:lang w:bidi="fa-IR"/>
        </w:rPr>
        <w:t xml:space="preserve"> </w:t>
      </w:r>
      <w:r w:rsidRPr="00592892">
        <w:rPr>
          <w:rFonts w:ascii="Traditional Arabic" w:eastAsia="Calibri" w:hAnsi="Traditional Arabic" w:cs="Traditional Arabic"/>
          <w:sz w:val="36"/>
          <w:szCs w:val="36"/>
          <w:rtl/>
          <w:lang w:bidi="fa-IR"/>
        </w:rPr>
        <w:t>و</w:t>
      </w:r>
      <w:r w:rsidRPr="00592892">
        <w:rPr>
          <w:rFonts w:ascii="Traditional Arabic" w:eastAsia="Calibri" w:hAnsi="Traditional Arabic" w:cs="Traditional Arabic"/>
          <w:sz w:val="36"/>
          <w:szCs w:val="36"/>
          <w:rtl/>
        </w:rPr>
        <w:t>أبواب فرعية تفصيلية لا تؤثّر على غيرها، وإنّما متعلّقة بنفسها أو أفرادها فقط.</w:t>
      </w:r>
    </w:p>
    <w:p w14:paraId="36DB731D" w14:textId="77777777" w:rsidR="00CA3DFA" w:rsidRPr="00592892" w:rsidRDefault="00CA3DFA" w:rsidP="00CA3DFA">
      <w:pPr>
        <w:spacing w:after="0" w:line="240" w:lineRule="auto"/>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مرّةً أخرى، أبواب العلوم الإسلامية والشرعية على قسمين:</w:t>
      </w:r>
    </w:p>
    <w:p w14:paraId="1BDBF315" w14:textId="77777777" w:rsidR="00CA3DFA" w:rsidRPr="00592892" w:rsidRDefault="00CA3DFA" w:rsidP="00CA3DFA">
      <w:pPr>
        <w:numPr>
          <w:ilvl w:val="0"/>
          <w:numId w:val="24"/>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أبواب منهجيّة من صفتها ومن شأنها أنها تؤثّر في غيرها من العلوم وفي غيرها من الأبواب وممكن تؤثّر على عقلية نفسها، عقلية المتلقّي عقلية المتفاعل مع المعلومة.</w:t>
      </w:r>
    </w:p>
    <w:p w14:paraId="60093469" w14:textId="77777777" w:rsidR="00CA3DFA" w:rsidRPr="00592892" w:rsidRDefault="00CA3DFA" w:rsidP="00CA3DFA">
      <w:pPr>
        <w:numPr>
          <w:ilvl w:val="0"/>
          <w:numId w:val="24"/>
        </w:numPr>
        <w:spacing w:after="0" w:line="240" w:lineRule="auto"/>
        <w:contextualSpacing/>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الباب الثاني هو بابٌ فرعيّ تفصيليّ يتفاعل مع معلومة جزئية ويتعلق بها فقط ولا يرتبط بغيرها.</w:t>
      </w:r>
    </w:p>
    <w:p w14:paraId="5C2C7A6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ولا يحتاج الأمر إلى توضيح وتأكيد إلى أنّ الباب الأول أهم من الباب الثاني، ولا يحتاج إلى توضيح أيضًا إلى أنّ الباب الأول مؤثّر في الباب الثاني.</w:t>
      </w:r>
    </w:p>
    <w:p w14:paraId="3161C97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طيب، سؤال: هل يؤثر الباب الثاني في الباب الأول؟ </w:t>
      </w:r>
    </w:p>
    <w:p w14:paraId="0F79DB1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تأثير الباب الأول في الثاني واضح، هل الباب الثاني يؤثر في الأول؟</w:t>
      </w:r>
    </w:p>
    <w:p w14:paraId="50D65EBD" w14:textId="77777777" w:rsidR="00CA3DFA" w:rsidRPr="00592892" w:rsidRDefault="00CA3DFA" w:rsidP="00CA3DFA">
      <w:pPr>
        <w:numPr>
          <w:ilvl w:val="0"/>
          <w:numId w:val="25"/>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إجابة غير مسموعة.</w:t>
      </w:r>
    </w:p>
    <w:p w14:paraId="4AFD55A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صح، الباب الثاني يؤثّر في الأول من جهة أنه كلما اتسعت قاعدته أمكن الاستمداد من مجموعهِ لتكوين بعض القواعد المنهجيّة في الباب الأول.</w:t>
      </w:r>
    </w:p>
    <w:p w14:paraId="73CB84B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تعرفون علم القواعد الفقهية أليس كذلك؟ </w:t>
      </w:r>
    </w:p>
    <w:p w14:paraId="61B032C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علم القواعد الفقهية فكرته قائمة على هذا المعنى، وهو النّظر في مجموعة من الفروع الفقهية ومن ثم استخراج قاعدة جامعة لها.</w:t>
      </w:r>
    </w:p>
    <w:p w14:paraId="3F9900B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مثلًا: اليقين لا يزول بالشك؛ هذه كلمة لم يقلها النبي ﷺ، ولكنها كلمة متفّقٌ عليها بين المدارس الإسلامية وعلماء المسلمين.</w:t>
      </w:r>
    </w:p>
    <w:p w14:paraId="6BBC5E9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طيب من أين أُتيَ بهذه الكلمة وجُعلت قانونًا فقهيًا؟ هذه الآن قاعدة منهجيّة، من أين أُتيَ بها؟ إذا لم تكن آية أو حديثًا فمن أين أتي بها؟ أُتيَ بها من مجموع الفروع والتفاصيل التي تفاعلوا معها بطريقة معينة فاستخرجوا منها هذه القاعدة الكلية.</w:t>
      </w:r>
    </w:p>
    <w:p w14:paraId="3484B97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هذه فكرة التأثر والتأثير بين العلوم المنهجية وبين العلوم الفرعية التفصيلية.</w:t>
      </w:r>
    </w:p>
    <w:p w14:paraId="62CBED8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الباب اليوم، باب مصادر التلقي هو بابٌ منهجيٌّ بامتياز، وتأثيره ليس فقط في بعض التفاصيل أو بعض الفروع، بل تأثيره الأساسيّ في بوابة التلقّي المعرفي لديك؛ يعني أنتَ كمتلقٍ للمعرفة لديك بوابات إما أن تفتحها لنوع من المعارف وإما أن تغلقها أمام نوع من المعارف. أليس كذلك؟</w:t>
      </w:r>
    </w:p>
    <w:p w14:paraId="446387E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الآن تعلم السحر معرفة ولا ليس معرفة؟</w:t>
      </w:r>
      <w:r w:rsidRPr="00592892">
        <w:rPr>
          <w:rFonts w:ascii="Traditional Arabic" w:eastAsia="Calibri" w:hAnsi="Traditional Arabic" w:cs="Traditional Arabic"/>
          <w:sz w:val="36"/>
          <w:szCs w:val="36"/>
          <w:rtl/>
        </w:rPr>
        <w:br/>
        <w:t>إجابة الطلاب: معرفة.</w:t>
      </w:r>
    </w:p>
    <w:p w14:paraId="3962073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معرفة صح -بغض النظر صحيحة أم خاطئة- هي معرفة، أنتَ الآن لديك بوابة مغلقة أمام هذه المعرفة، أليس ذلك؟</w:t>
      </w:r>
    </w:p>
    <w:p w14:paraId="00BC398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أنتَ لستَ قابلًا أو مستعًدا لأن تتعلّم علوم الكهانة والسحر، هذه اسمها بوابة أغلقتها أمام معرفة أو باب من المعارف.</w:t>
      </w:r>
    </w:p>
    <w:p w14:paraId="4FF6BFE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هناك اتجاهات كثيرة جدًا في العالم -خاصة في العالم الغربي- لديها بوابات أغلقتها أمام معارف كثيرة جدًا، ليست من جنس معارف السحر وغيره، وإنما من جنس معارف أخرى أنت تعترف بها وتؤمن بها وتقيم عليها كثيرا من العلوم، ولكن لأنّ العقل المنهجي لديهم لا يستقبل هذه النوع من المعارف فلم يفتحوا البوابة أصلًا، فخسروا كلّ ما يتعلق بالمعارف المرتبطة بهذا الباب.</w:t>
      </w:r>
    </w:p>
    <w:p w14:paraId="482C3FE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مثلًا من لا يعترف إلا بالنزعة المادية أو بالعلوم المادية التي لا تثبت إلا بالتجربة، تقول له خبر، قال الله سبحانه وتعالى، قال الرسول، قال مدري مين، الباب هذا عنده مغلق، ويمكن يسميها هذه كلها علوم زائفة ليست قابلة للاختبار، ليست قابلة للتجر</w:t>
      </w:r>
      <w:r>
        <w:rPr>
          <w:rFonts w:ascii="Traditional Arabic" w:eastAsia="Calibri" w:hAnsi="Traditional Arabic" w:cs="Traditional Arabic" w:hint="cs"/>
          <w:sz w:val="36"/>
          <w:szCs w:val="36"/>
          <w:rtl/>
        </w:rPr>
        <w:t>بة</w:t>
      </w:r>
      <w:r w:rsidRPr="00592892">
        <w:rPr>
          <w:rFonts w:ascii="Traditional Arabic" w:eastAsia="Calibri" w:hAnsi="Traditional Arabic" w:cs="Traditional Arabic"/>
          <w:sz w:val="36"/>
          <w:szCs w:val="36"/>
          <w:rtl/>
        </w:rPr>
        <w:t xml:space="preserve">؛ طيب أنتَ عندك جنة ونار </w:t>
      </w:r>
      <w:r w:rsidRPr="00592892">
        <w:rPr>
          <w:rFonts w:ascii="Traditional Arabic" w:eastAsia="Calibri" w:hAnsi="Traditional Arabic" w:cs="Traditional Arabic"/>
          <w:sz w:val="36"/>
          <w:szCs w:val="36"/>
          <w:rtl/>
        </w:rPr>
        <w:lastRenderedPageBreak/>
        <w:t xml:space="preserve">وجن وملائكة وعندك عالم كثير أنت مؤمن فيه وأشراط الساعة، هذا كله مغلق عنده البوابة، لذلك من الخطأ حين تأتي لشخص مثل هذا تقول له: "إلا ثبتت هذه المعجزة"، هو لا يعترف </w:t>
      </w:r>
      <w:r w:rsidRPr="00592892">
        <w:rPr>
          <w:rFonts w:ascii="Traditional Arabic" w:eastAsia="Calibri" w:hAnsi="Traditional Arabic" w:cs="Traditional Arabic" w:hint="cs"/>
          <w:sz w:val="36"/>
          <w:szCs w:val="36"/>
          <w:rtl/>
        </w:rPr>
        <w:t>بالبواب</w:t>
      </w:r>
      <w:r w:rsidRPr="00592892">
        <w:rPr>
          <w:rFonts w:ascii="Traditional Arabic" w:eastAsia="Calibri" w:hAnsi="Traditional Arabic" w:cs="Traditional Arabic" w:hint="eastAsia"/>
          <w:sz w:val="36"/>
          <w:szCs w:val="36"/>
          <w:rtl/>
        </w:rPr>
        <w:t>ة</w:t>
      </w:r>
      <w:r w:rsidRPr="00592892">
        <w:rPr>
          <w:rFonts w:ascii="Traditional Arabic" w:eastAsia="Calibri" w:hAnsi="Traditional Arabic" w:cs="Traditional Arabic"/>
          <w:sz w:val="36"/>
          <w:szCs w:val="36"/>
          <w:rtl/>
        </w:rPr>
        <w:t xml:space="preserve"> أصلًا التي تدخل منها المعلومة الجزئية. واضح الفكرة؟</w:t>
      </w:r>
    </w:p>
    <w:p w14:paraId="649B8CE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طبعًا هم يعرفون هذه الفكرة فيقومون بمغالطات أحيانًا، ريتشارد دوكنز مثًلا لما كان يناقش أحدهم، قال له: أنت مصدق أن هناك شخصًا قبل 1400 سنة ركب على حصان وطار في السماء -قصده رحلة الإسراء والمعراج- هذه مغالطة الآن، هو أصلًا سواء طار ولا ما طار، سواء القضية معجزة من باب آخر، هو لن يصدق بأيّ منها، هو مشكلته ليست في الطيران وليست في الحصان ولا في غيره، المشكلة عنده أنّ هذا الباب كله ينتمي إلى نوع من المعارف هو أغلق أمامه البوابة فلا يُدخل منها شيئًا. واضح؟</w:t>
      </w:r>
    </w:p>
    <w:p w14:paraId="3E7A596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هذا اسمه مصادر التلقي؛ ما المصادر المعتبرة لديك حتى تتلقى منها المعارف والعلوم، وهذه قضية خطيرة جدًا جدًا والكلام فيها له تفاريع كثيرة ولذلك نحن بدأنا بهذا الموضوع، هذا الموضوع يترتب عليه أنه أنت غدًا تمر بك أحاديث.</w:t>
      </w:r>
    </w:p>
    <w:p w14:paraId="76C4C78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تعرفون هناك البعض لديهم إشكالات تجاه الأحاديث النبوية هل هي مصدر معرفي أم لا، هذا الباب إذا ما أغلقته من البداية ورتبت أمورك في مصادر المعرفة من البداية بعد 10 سنوات تأتي إلى بعض المعلومات التي بنيتها فتقول: "هل أخبار الآحاد ممكن تكون حجة في العقيدة؟ أم لا تكون حجة في العقيدة؟" </w:t>
      </w:r>
    </w:p>
    <w:p w14:paraId="7627F46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وين يا أبو الشباب هذه في البداية أول خطوة ليس بعد 10 سنوات بعد ما تكون بنيت أشياء كثيرة جدًا تبدأ تراجع علومك كلها وتقول: "أنا الذي أخذتها خلال 10 سنوات هل هي كانت صح أم أنها لم تكن </w:t>
      </w:r>
      <w:r w:rsidRPr="00592892">
        <w:rPr>
          <w:rFonts w:ascii="Traditional Arabic" w:eastAsia="Calibri" w:hAnsi="Traditional Arabic" w:cs="Traditional Arabic" w:hint="cs"/>
          <w:sz w:val="36"/>
          <w:szCs w:val="36"/>
          <w:rtl/>
        </w:rPr>
        <w:t>صح؟</w:t>
      </w:r>
      <w:r w:rsidRPr="00592892">
        <w:rPr>
          <w:rFonts w:ascii="Traditional Arabic" w:eastAsia="Calibri" w:hAnsi="Traditional Arabic" w:cs="Traditional Arabic"/>
          <w:sz w:val="36"/>
          <w:szCs w:val="36"/>
          <w:rtl/>
        </w:rPr>
        <w:t>"، مع الأسف هذا الذي يحصل في كثير من النطاقات. لا، منهجيًا أول شيء تضبط مصادر المعرفة، ما هو مصدر واضح وما هو مصدر غير واضح؟</w:t>
      </w:r>
    </w:p>
    <w:p w14:paraId="75D7728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دعونا نرجع لتجربة سريعة مرّت بأحد علماء المسلمين في التاريخ الإسلامي كان الإشكال فيها في ضبط المصادر المعرفية وإن كان من العلماء الأجلّاء الكبار، وهو الإمام أبو حامد الغزالي -الإمام أبو حامد الغزالي لا يحتاج نقاش في منزلته العلمية وشهرته ومعرفته- ولكنه مرّ في مرحلة من مراحله نتيجة مجموعة من الظروف بمراجعة كاملة شمولية لأصوله ومنطلقاته حتى وصل إلى المراجعة في مصادر التلقي، ومصادر التلقي على قسمين سنذكرها بعد قليل.</w:t>
      </w:r>
    </w:p>
    <w:p w14:paraId="6551628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 xml:space="preserve">الإمام أبو حامد الغزالي وصل إلى القسم الأول الأضعف وانكسر عنده، فوصل للثاني الذي هو الحماية أصلًا، الذي هو الحس والعقل والخير، فحصل عنده التباس في هذه فوقع في حالة نفسية صعبة جدًا، فقد معها كل شيء متعلق بالمعارف وفقد معها حتى كثير من الاستقرار النفسي، وجلس أربعين </w:t>
      </w:r>
      <w:r w:rsidRPr="00592892">
        <w:rPr>
          <w:rFonts w:ascii="Traditional Arabic" w:eastAsia="Calibri" w:hAnsi="Traditional Arabic" w:cs="Traditional Arabic" w:hint="cs"/>
          <w:sz w:val="36"/>
          <w:szCs w:val="36"/>
          <w:rtl/>
        </w:rPr>
        <w:t>يوم تقريبًا</w:t>
      </w:r>
      <w:r w:rsidRPr="00592892">
        <w:rPr>
          <w:rFonts w:ascii="Traditional Arabic" w:eastAsia="Calibri" w:hAnsi="Traditional Arabic" w:cs="Traditional Arabic"/>
          <w:sz w:val="36"/>
          <w:szCs w:val="36"/>
          <w:rtl/>
        </w:rPr>
        <w:t xml:space="preserve"> في حالة تيه وحيرة كبيرة جدًا ولم يخرج منها بحلّ معرفي، لم يكن هناك نتيجة معرفية أو أحد متخصص أو كتاب معين قرأه بل خرج منها بما قال هو أنه: "نور قذفه الله في قلبي"، رجع مرة أخرى واستعاد الفكرة.</w:t>
      </w:r>
    </w:p>
    <w:p w14:paraId="7E3EE6B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البعض يطرح تجربة أبو حامد الغزالي على أنها تجربة جميلة تدلّ على شفافية النفس والروح والقدرة على مراجعة المسلّمات والاستعداد لإعادة النظر </w:t>
      </w:r>
      <w:r w:rsidRPr="00592892">
        <w:rPr>
          <w:rFonts w:ascii="Traditional Arabic" w:eastAsia="Calibri" w:hAnsi="Traditional Arabic" w:cs="Traditional Arabic" w:hint="cs"/>
          <w:sz w:val="36"/>
          <w:szCs w:val="36"/>
          <w:rtl/>
        </w:rPr>
        <w:t>فيما</w:t>
      </w:r>
      <w:r w:rsidRPr="00592892">
        <w:rPr>
          <w:rFonts w:ascii="Traditional Arabic" w:eastAsia="Calibri" w:hAnsi="Traditional Arabic" w:cs="Traditional Arabic"/>
          <w:sz w:val="36"/>
          <w:szCs w:val="36"/>
          <w:rtl/>
        </w:rPr>
        <w:t xml:space="preserve"> كان مسلّمًا، هذا كلام جميل من الناحية العاطفية نقول إنه حتى بعد فترة مستعد يراجع، لكن من الناحية المعرفية مشكل وأبو حامد الغزالي نفسه –رحمه الله- لم يطرحه على أنه "شوفوا تجربتي" بل طرحه على أنه أزمة وقع فيها، طرحها على طريقة أزمة وأنه لم يخرج منها إلا بإنقاذ إلهي.</w:t>
      </w:r>
    </w:p>
    <w:p w14:paraId="4E268B8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الفكرة أنه كثيرًا ما يقع الإنسان في إشكالات متعلقة بمصادر التلقي ومصادر المعرفة ولا ينتبه إليها إلا مستقبلًا وأحيانًا لا ينتبه إليها إلا بعد أن يكون أغلق بوابات أساسية قد لا يستطيع فتحها بعد ذلك.</w:t>
      </w:r>
    </w:p>
    <w:p w14:paraId="37C3434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نأخذ مثال ثاني -</w:t>
      </w:r>
      <w:r w:rsidRPr="00592892">
        <w:rPr>
          <w:rFonts w:ascii="Traditional Arabic" w:eastAsia="Calibri" w:hAnsi="Traditional Arabic" w:cs="Traditional Arabic" w:hint="cs"/>
          <w:sz w:val="36"/>
          <w:szCs w:val="36"/>
          <w:rtl/>
        </w:rPr>
        <w:t>يمكن تسجلوا</w:t>
      </w:r>
      <w:r w:rsidRPr="00592892">
        <w:rPr>
          <w:rFonts w:ascii="Traditional Arabic" w:eastAsia="Calibri" w:hAnsi="Traditional Arabic" w:cs="Traditional Arabic"/>
          <w:sz w:val="36"/>
          <w:szCs w:val="36"/>
          <w:rtl/>
        </w:rPr>
        <w:t xml:space="preserve"> رؤوس الأمثلة لأنها ليست اعتباطية-: داخل التراث الإسلامي المعتزلة مثلًا ينكرون رؤية الله يوم القيامة أو في الآخرة بشكل عام، لما أنت تجي تناقشه وتقول له أن الله سبحانه وتعالى قال: </w:t>
      </w:r>
      <w:r w:rsidRPr="00592892">
        <w:rPr>
          <w:rFonts w:ascii="Traditional Arabic" w:eastAsia="Calibri" w:hAnsi="Traditional Arabic" w:cs="Traditional Arabic"/>
          <w:color w:val="385623" w:themeColor="accent6" w:themeShade="80"/>
          <w:sz w:val="36"/>
          <w:szCs w:val="36"/>
          <w:rtl/>
        </w:rPr>
        <w:t>{وُجُوهٌ يَوْمَئِذٍ نَاصِرَةً * إلى ربها ناظرة}</w:t>
      </w:r>
      <w:r w:rsidRPr="00592892">
        <w:rPr>
          <w:rFonts w:ascii="Traditional Arabic" w:eastAsia="Calibri" w:hAnsi="Traditional Arabic" w:cs="Traditional Arabic"/>
          <w:sz w:val="36"/>
          <w:szCs w:val="36"/>
          <w:vertAlign w:val="superscript"/>
          <w:rtl/>
        </w:rPr>
        <w:footnoteReference w:id="1"/>
      </w:r>
      <w:r w:rsidRPr="00592892">
        <w:rPr>
          <w:rFonts w:ascii="Traditional Arabic" w:eastAsia="Calibri" w:hAnsi="Traditional Arabic" w:cs="Traditional Arabic"/>
          <w:sz w:val="36"/>
          <w:szCs w:val="36"/>
          <w:rtl/>
        </w:rPr>
        <w:t>،</w:t>
      </w:r>
    </w:p>
    <w:p w14:paraId="58F821E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لما تقول له أيما شئت من الأدلة من الأحاديث من الآيات أيًا كان، هو لديه مصدر معرفي -ليس معلومة جزئية- بل بوابة للتلقي أغلق أمامها قَبول ما يعارضها، اعتبر هذه البوابة أساسية، فأنت لو أتيت له بما شئت من الأدلة هو لن يقتنع ولكن هو مسلم فلن يرضى لنفسه أن يردّ القرآن الكريم مثلًا، فلأن المصدر المعرفي الذي استقى منه يؤدي إلى هذه النتيجة، فسينظر إلى المصدر القرآني كمصدر ثاني -هو لن يقول أنه مصدر ثاني لكن فعليًا وعمليًا هو مصدر ثاني- لذلك ستجده يؤوّل الآيات القرآنية بما يتوافق مع النتيجة التي وصل إليها من المصدر الخارجي الذي استقى منه. واضح الفكرة؟</w:t>
      </w:r>
    </w:p>
    <w:p w14:paraId="423A70F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 xml:space="preserve">فيقول لك مثلًا: </w:t>
      </w:r>
      <w:r w:rsidRPr="00592892">
        <w:rPr>
          <w:rFonts w:ascii="Traditional Arabic" w:eastAsia="Calibri" w:hAnsi="Traditional Arabic" w:cs="Traditional Arabic"/>
          <w:color w:val="385623" w:themeColor="accent6" w:themeShade="80"/>
          <w:sz w:val="36"/>
          <w:szCs w:val="36"/>
          <w:rtl/>
        </w:rPr>
        <w:t>{وُجُوهٌ يَوْمَئِذٍ نَاصِرَةً * إلى ربها ناظرة}</w:t>
      </w:r>
      <w:r w:rsidRPr="00592892">
        <w:rPr>
          <w:rFonts w:ascii="Traditional Arabic" w:eastAsia="Calibri" w:hAnsi="Traditional Arabic" w:cs="Traditional Arabic"/>
          <w:sz w:val="36"/>
          <w:szCs w:val="36"/>
          <w:rtl/>
        </w:rPr>
        <w:t>، إلى ربها ناظرة: أي منتظرة.</w:t>
      </w:r>
    </w:p>
    <w:p w14:paraId="570C94D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تقول له: "ناظر يأتي بمعنى منتظر، لكن إذا عُدِّي بإلى لازم يكون نظر وليس انتظار فهو لازم يخرج من هذه القضية. </w:t>
      </w:r>
    </w:p>
    <w:p w14:paraId="18B6BF2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تعال دعنا نتكاشف سويًا –واحد معتزلي- نجلس سويًا دعنا نتكاشف، أنت أسست النتيجة التي وصلت إليها والتي بناءً عليها أوّلت كل هذه الآيات والأحاديث أو رددت الأحاديث وأوًلت الآيات، دعنا نتكاشف هذه النتيجة التي وصلت إليها، وصلت إليها بناء على نصّ قرآني أسس لديك هذه النتيجة؟ أو وصلت إليها بناءً على منظومة معرفية خارجية فلسفية تقول أنّ الله يجب ألا يرى حتى تستقيم مع </w:t>
      </w:r>
      <w:r w:rsidRPr="00592892">
        <w:rPr>
          <w:rFonts w:ascii="Traditional Arabic" w:eastAsia="Calibri" w:hAnsi="Traditional Arabic" w:cs="Traditional Arabic" w:hint="cs"/>
          <w:sz w:val="36"/>
          <w:szCs w:val="36"/>
          <w:rtl/>
        </w:rPr>
        <w:t>منظومتك؟</w:t>
      </w:r>
      <w:r w:rsidRPr="00592892">
        <w:rPr>
          <w:rFonts w:ascii="Traditional Arabic" w:eastAsia="Calibri" w:hAnsi="Traditional Arabic" w:cs="Traditional Arabic"/>
          <w:sz w:val="36"/>
          <w:szCs w:val="36"/>
          <w:rtl/>
        </w:rPr>
        <w:t>"</w:t>
      </w:r>
    </w:p>
    <w:p w14:paraId="35D09DE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الجواب الثاني طبعًا، أما لو كان المصدر الأساسي هو القضية الأولى التي هي قضية نصّ قرآني فالأمر سهل جدًا، أن يتم النقاش في هذه القضية، هذا الآن مثال ثاني والأمثلة كثيرة جدًا جدًا توقظنا إلى أن كثير من الخلافات أساسها ومصدرها ليس في الفروع، ليس في الاستدلال الجزئي بآية معينة أو بحديث معين، وإنما في المنظومة المعرفية التي يكون منها الإنسان معرفته.</w:t>
      </w:r>
    </w:p>
    <w:p w14:paraId="1F46731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لذلك اعجبني أحد الأئمة الراصدين رصدًا دقيقًا للطوائف والخلافات الإسلامية لما جعل مركزية الإشكال في انحراف الطوائف الإسلامية هو الخلاف في آيات سورة الحجرات: </w:t>
      </w:r>
      <w:r w:rsidRPr="00592892">
        <w:rPr>
          <w:rFonts w:ascii="Traditional Arabic" w:eastAsia="Calibri" w:hAnsi="Traditional Arabic" w:cs="Traditional Arabic"/>
          <w:color w:val="385623" w:themeColor="accent6" w:themeShade="80"/>
          <w:sz w:val="36"/>
          <w:szCs w:val="36"/>
          <w:rtl/>
        </w:rPr>
        <w:t>{يا أيها الذِينَ آمَنُوا لَا تُقَدِّمُوا بَيْنَ يَدَيِ اللَّهِ وَرَسُولِهِ وَاتَّقُوا الله إِنَّ اللَّهَ سَمِيعٌ عَلِيمٌ * يَا أَيُّهَا الَّذِينَ آمَنُوا لا تَرْفَعُوا أَصْوَاتَكُمْ فَوْقَ صَوْتِ النَّبِي وَلَا تَجْهَرُوا لَهُ بِالْقَوْلِ كَجَهْرِ بَعْضِكُمْ لِبَعْضٍ}</w:t>
      </w:r>
      <w:r w:rsidRPr="00592892">
        <w:rPr>
          <w:rFonts w:ascii="Traditional Arabic" w:eastAsia="Calibri" w:hAnsi="Traditional Arabic" w:cs="Traditional Arabic"/>
          <w:sz w:val="36"/>
          <w:szCs w:val="36"/>
          <w:vertAlign w:val="superscript"/>
          <w:rtl/>
        </w:rPr>
        <w:footnoteReference w:id="2"/>
      </w:r>
      <w:r w:rsidRPr="00592892">
        <w:rPr>
          <w:rFonts w:ascii="Traditional Arabic" w:eastAsia="Calibri" w:hAnsi="Traditional Arabic" w:cs="Traditional Arabic"/>
          <w:sz w:val="36"/>
          <w:szCs w:val="36"/>
          <w:rtl/>
        </w:rPr>
        <w:t>.</w:t>
      </w:r>
    </w:p>
    <w:p w14:paraId="6CBB3BA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فإذا كان هذا في الجهر الصوتي العادي فما بالكم بمن يجهر برأيه وقوله ومذهبه واتجاهه وتياره ضاربًا عرض الحائط بكلام النبي ﷺ وما جاء به، فهذا من رفع الصوت فوق صوت النبي ﷺ والنتيجة خطيرة </w:t>
      </w:r>
      <w:r w:rsidRPr="00592892">
        <w:rPr>
          <w:rFonts w:ascii="Traditional Arabic" w:eastAsia="Calibri" w:hAnsi="Traditional Arabic" w:cs="Traditional Arabic"/>
          <w:color w:val="385623" w:themeColor="accent6" w:themeShade="80"/>
          <w:sz w:val="36"/>
          <w:szCs w:val="36"/>
          <w:rtl/>
        </w:rPr>
        <w:t xml:space="preserve">{لا ترفعوا أصْوَاتَكُمْ فَوْقَ صَوْتِ النَّبِي وَلَا تَجْهَرُوا لَهُ بِالْقَوْلِ كَجَهْرِ بَعْضِكُمْ لِبَعْضٍ أَن تَحْبَطَ أَعْمَالُكُمْ وَأَنتُمْ لَا تَشْعُرُونَ} </w:t>
      </w:r>
      <w:r w:rsidRPr="00592892">
        <w:rPr>
          <w:rFonts w:ascii="Traditional Arabic" w:eastAsia="Calibri" w:hAnsi="Traditional Arabic" w:cs="Traditional Arabic"/>
          <w:sz w:val="36"/>
          <w:szCs w:val="36"/>
          <w:rtl/>
        </w:rPr>
        <w:t>النتيجة خطيرة يمكن يصير فيها حبوط للعمل.</w:t>
      </w:r>
    </w:p>
    <w:p w14:paraId="65ED971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فالفكرة مرة أخرى هي في ضرورة ضبط مصادر التلقي من البداية حتى لا يقع الإنسان في إشكال في الطريق ويضطر إلى مراجعات قد لا تكون سديدة في كثير من الأحيان.</w:t>
      </w:r>
    </w:p>
    <w:p w14:paraId="66CA4A8F" w14:textId="77777777" w:rsidR="00CA3DFA" w:rsidRDefault="00CA3DFA" w:rsidP="00CA3DFA">
      <w:pPr>
        <w:spacing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هذه مقدمة الآن وسأذكر الآن نقطة مهمة جدًا وهي مصادر التلقي، نعوّن الآن عنوان: ما المقصود بمصادر التلقي؟</w:t>
      </w:r>
    </w:p>
    <w:p w14:paraId="799B3DCA" w14:textId="77777777" w:rsidR="00CA3DFA" w:rsidRPr="00592892" w:rsidRDefault="00CA3DFA" w:rsidP="00CA3DFA">
      <w:pPr>
        <w:spacing w:line="240" w:lineRule="auto"/>
        <w:jc w:val="both"/>
        <w:rPr>
          <w:rFonts w:ascii="Traditional Arabic" w:eastAsia="Calibri" w:hAnsi="Traditional Arabic" w:cs="Traditional Arabic"/>
          <w:sz w:val="36"/>
          <w:szCs w:val="36"/>
          <w:rtl/>
        </w:rPr>
      </w:pPr>
    </w:p>
    <w:p w14:paraId="539E7986" w14:textId="77777777" w:rsidR="00CA3DFA" w:rsidRPr="00592892" w:rsidRDefault="00CA3DFA" w:rsidP="00CA3DFA">
      <w:pPr>
        <w:pStyle w:val="ad"/>
        <w:jc w:val="both"/>
        <w:rPr>
          <w:rtl/>
          <w:lang w:val="ar-SA"/>
        </w:rPr>
      </w:pPr>
      <w:bookmarkStart w:id="6" w:name="_Toc198206242"/>
      <w:bookmarkStart w:id="7" w:name="_Toc198346250"/>
      <w:r w:rsidRPr="00592892">
        <w:rPr>
          <w:rFonts w:hint="cs"/>
          <w:rtl/>
          <w:lang w:val="ar-SA"/>
        </w:rPr>
        <w:t>ما المقصود بمصادر التلقي؟</w:t>
      </w:r>
      <w:bookmarkEnd w:id="6"/>
      <w:bookmarkEnd w:id="7"/>
    </w:p>
    <w:p w14:paraId="01A8EF5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تنقسم مصادر التلقي إلى قسمين:</w:t>
      </w:r>
    </w:p>
    <w:p w14:paraId="48F3628E" w14:textId="77777777" w:rsidR="00CA3DFA" w:rsidRPr="00592892" w:rsidRDefault="00CA3DFA" w:rsidP="00CA3DFA">
      <w:pPr>
        <w:numPr>
          <w:ilvl w:val="0"/>
          <w:numId w:val="25"/>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القسم الأول: يمكن أن نسميه مصادر المعرفة.</w:t>
      </w:r>
    </w:p>
    <w:p w14:paraId="3C18BC07" w14:textId="77777777" w:rsidR="00CA3DFA" w:rsidRPr="00592892" w:rsidRDefault="00CA3DFA" w:rsidP="00CA3DFA">
      <w:pPr>
        <w:numPr>
          <w:ilvl w:val="0"/>
          <w:numId w:val="25"/>
        </w:numPr>
        <w:spacing w:after="0" w:line="240" w:lineRule="auto"/>
        <w:contextualSpacing/>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والقسم الثاني: يمكن أن نسميه مصادر التلقي الشرعية.</w:t>
      </w:r>
    </w:p>
    <w:p w14:paraId="1BF220B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من الأعمّ؟</w:t>
      </w:r>
    </w:p>
    <w:p w14:paraId="32DD49C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مصادر المعرفة هو الأعمّ.</w:t>
      </w:r>
    </w:p>
    <w:p w14:paraId="6E64D79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الفرق بين أقسام مصادر التلقي</w:t>
      </w:r>
    </w:p>
    <w:p w14:paraId="2DB0D7A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ما الفرق بينه وبين مصادر التلقي الشرعية؟</w:t>
      </w:r>
    </w:p>
    <w:p w14:paraId="744E539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الثانية خصوصيتها بالشرع.</w:t>
      </w:r>
    </w:p>
    <w:p w14:paraId="7BEAE3C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الأولى عامة.</w:t>
      </w:r>
    </w:p>
    <w:p w14:paraId="7D326F8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مصادر التلقي الشرعية جزء من مصادر المعرفة العامة.</w:t>
      </w:r>
    </w:p>
    <w:p w14:paraId="12ECE36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جميل، أيضًا؟</w:t>
      </w:r>
    </w:p>
    <w:p w14:paraId="24DCFF8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القسم الأول يتيح بوابة معرفية يأتي منها الصواب والخطأ -المهم أنها معرفة- أما البوابة الثانية فلا يأتي منها إلا ما هو صحيح.</w:t>
      </w:r>
    </w:p>
    <w:p w14:paraId="4D42887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رائع.</w:t>
      </w:r>
    </w:p>
    <w:p w14:paraId="0C7B566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المصدر الثاني رباني.</w:t>
      </w:r>
    </w:p>
    <w:p w14:paraId="72AEF80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مصادر التلقي محدودة ومصادر المعرفة واسعة.</w:t>
      </w:r>
    </w:p>
    <w:p w14:paraId="3D6DDE0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مصادر المعرفة العامة لا تحتاج إلى مستند شرعي وإنما هي عامّة فطرية، أما الثانية فتحتاج إلى مستند شرعي هو الذي جعلها معتمدة شرعًا.</w:t>
      </w:r>
    </w:p>
    <w:p w14:paraId="3AEAFF3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مصادر التلقي الشرعية هي مصادر نقلية وليست نتيجة عن تفكير معيّن بينما مصادر المعرفة هي جزء من القطرة والتفكير.</w:t>
      </w:r>
    </w:p>
    <w:p w14:paraId="644DD0E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طريقة التعامل مع المصادر الشرعية التسليم.</w:t>
      </w:r>
    </w:p>
    <w:p w14:paraId="1854D5D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الشيخ: المصادر الشرعية لا يكون فيها رد وقبول وبحث؟ </w:t>
      </w:r>
    </w:p>
    <w:p w14:paraId="099B4B8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إجابة الطلاب: البحث في دلالتها.</w:t>
      </w:r>
    </w:p>
    <w:p w14:paraId="25AC5D8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 xml:space="preserve">الشيخ: قبل البحث في دلالاتها هل يمكن أن يُبحث </w:t>
      </w:r>
      <w:r w:rsidRPr="00592892">
        <w:rPr>
          <w:rFonts w:ascii="Traditional Arabic" w:eastAsia="Calibri" w:hAnsi="Traditional Arabic" w:cs="Traditional Arabic" w:hint="cs"/>
          <w:sz w:val="36"/>
          <w:szCs w:val="36"/>
          <w:rtl/>
        </w:rPr>
        <w:t>فيما</w:t>
      </w:r>
      <w:r w:rsidRPr="00592892">
        <w:rPr>
          <w:rFonts w:ascii="Traditional Arabic" w:eastAsia="Calibri" w:hAnsi="Traditional Arabic" w:cs="Traditional Arabic"/>
          <w:sz w:val="36"/>
          <w:szCs w:val="36"/>
          <w:rtl/>
        </w:rPr>
        <w:t xml:space="preserve"> ينتمي إلى فضاء القسم الثاني الذي هو مصادر التلقي الشرعية، هل يمكن أن يبحث في فضائه شيء مرتبط بالقبول والرد؟</w:t>
      </w:r>
    </w:p>
    <w:p w14:paraId="608C7FF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أحد الطلاب: نعم، الأمور المجمَع عليها لا خلاف فيها، ومعظم خلاف الأئمة في فهم النص، فتجد الحديث واحدًا والأئمة الأربعة يختلفون فيه وغيرهم.</w:t>
      </w:r>
    </w:p>
    <w:p w14:paraId="09173AD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لاحظ، أنا أتكلم الآن عن مصادر التلقي وليس عن فهم هذه المصادر.</w:t>
      </w:r>
    </w:p>
    <w:p w14:paraId="5B38545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أحد الطلاب: لكن مصدر التلقي الشرعي لو قلنا القرآن والسنة ثم الصحابة ثم الإجماع، لكن لو قلنا إنه بلا خلاف أو</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يجب التسليم فستلغي الفهم.</w:t>
      </w:r>
    </w:p>
    <w:p w14:paraId="1B0792F3" w14:textId="77777777" w:rsidR="00CA3DFA" w:rsidRPr="00592892" w:rsidRDefault="00CA3DFA" w:rsidP="00CA3DFA">
      <w:pPr>
        <w:spacing w:after="0" w:line="240" w:lineRule="auto"/>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الشيخ: لا الفهم مقام آخر، أكيد أنه مصدر التلقي سنتعامل معه بفهم وله قواعده وأصول الفقه إلى آخره؛ لكن أتكلم فقط بمجرد اعتبار هذا المصدر مصدرًا، هل يمكن أن يُقابل بقضية القبول والرد؟</w:t>
      </w:r>
    </w:p>
    <w:p w14:paraId="0C9D40D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الطلاب: نعم يُقابل.</w:t>
      </w:r>
    </w:p>
    <w:p w14:paraId="07CDDD7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يُقابل ليس من جهة أصل المصدر لكن من جهة أفراده، أي هل تحقق في الفرد المنتمي لهذا المصدر أنه ثابت فعلا عن المصدر أو لا. فإن قلنا أنه من مصادر التلقي السنة النبوية، فمجال القبول والرد هو في البحث في أفراد الأحاديث هل تنتمي فعلا إلى النبي أو لا. واضح؟</w:t>
      </w:r>
    </w:p>
    <w:p w14:paraId="7FB5D1C7" w14:textId="77777777" w:rsidR="00CA3DFA" w:rsidRPr="005369B8" w:rsidRDefault="00CA3DFA" w:rsidP="00CA3DFA">
      <w:pPr>
        <w:pStyle w:val="a6"/>
        <w:numPr>
          <w:ilvl w:val="0"/>
          <w:numId w:val="31"/>
        </w:numPr>
        <w:spacing w:after="0" w:line="240" w:lineRule="auto"/>
        <w:jc w:val="both"/>
        <w:rPr>
          <w:rFonts w:ascii="Traditional Arabic" w:eastAsia="Calibri" w:hAnsi="Traditional Arabic" w:cs="Traditional Arabic"/>
          <w:b/>
          <w:bCs/>
          <w:sz w:val="36"/>
          <w:szCs w:val="36"/>
          <w:rtl/>
        </w:rPr>
      </w:pPr>
      <w:r w:rsidRPr="005369B8">
        <w:rPr>
          <w:rFonts w:ascii="Traditional Arabic" w:eastAsia="Calibri" w:hAnsi="Traditional Arabic" w:cs="Traditional Arabic"/>
          <w:b/>
          <w:bCs/>
          <w:sz w:val="36"/>
          <w:szCs w:val="36"/>
          <w:rtl/>
        </w:rPr>
        <w:t>القسم الأول: مصادر المعرفة العامة</w:t>
      </w:r>
    </w:p>
    <w:p w14:paraId="7D3DBE4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مصادر المعرفة العامة ثلاثة مصادر أساسية، وإن كان يمكن أن يضاف إليها بعض </w:t>
      </w:r>
      <w:r w:rsidRPr="00592892">
        <w:rPr>
          <w:rFonts w:ascii="Traditional Arabic" w:eastAsia="Calibri" w:hAnsi="Traditional Arabic" w:cs="Traditional Arabic" w:hint="cs"/>
          <w:sz w:val="36"/>
          <w:szCs w:val="36"/>
          <w:rtl/>
        </w:rPr>
        <w:t>الأمور</w:t>
      </w:r>
      <w:r w:rsidRPr="00592892">
        <w:rPr>
          <w:rFonts w:ascii="Traditional Arabic" w:eastAsia="Calibri" w:hAnsi="Traditional Arabic" w:cs="Traditional Arabic" w:hint="eastAsia"/>
          <w:sz w:val="36"/>
          <w:szCs w:val="36"/>
          <w:rtl/>
        </w:rPr>
        <w:t>،</w:t>
      </w:r>
      <w:r w:rsidRPr="00592892">
        <w:rPr>
          <w:rFonts w:ascii="Traditional Arabic" w:eastAsia="Calibri" w:hAnsi="Traditional Arabic" w:cs="Traditional Arabic"/>
          <w:sz w:val="36"/>
          <w:szCs w:val="36"/>
          <w:rtl/>
        </w:rPr>
        <w:t xml:space="preserve"> ولكن هذه الأساسية:</w:t>
      </w:r>
    </w:p>
    <w:p w14:paraId="44BA3EF4" w14:textId="77777777" w:rsidR="00CA3DFA" w:rsidRPr="00592892" w:rsidRDefault="00CA3DFA" w:rsidP="00CA3DFA">
      <w:pPr>
        <w:numPr>
          <w:ilvl w:val="0"/>
          <w:numId w:val="26"/>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المصدر الأول: الحس.</w:t>
      </w:r>
    </w:p>
    <w:p w14:paraId="380DEC49" w14:textId="77777777" w:rsidR="00CA3DFA" w:rsidRPr="00592892" w:rsidRDefault="00CA3DFA" w:rsidP="00CA3DFA">
      <w:pPr>
        <w:numPr>
          <w:ilvl w:val="0"/>
          <w:numId w:val="26"/>
        </w:numPr>
        <w:spacing w:after="0" w:line="240" w:lineRule="auto"/>
        <w:contextualSpacing/>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المصدر الثاني: العقل.</w:t>
      </w:r>
    </w:p>
    <w:p w14:paraId="092E779A" w14:textId="77777777" w:rsidR="00CA3DFA" w:rsidRPr="00592892" w:rsidRDefault="00CA3DFA" w:rsidP="00CA3DFA">
      <w:pPr>
        <w:numPr>
          <w:ilvl w:val="0"/>
          <w:numId w:val="26"/>
        </w:numPr>
        <w:spacing w:after="0" w:line="240" w:lineRule="auto"/>
        <w:contextualSpacing/>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المصر الثالث: الخبر.</w:t>
      </w:r>
    </w:p>
    <w:p w14:paraId="56AF029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مع التفاصيل سيظهر لنا: والفطرة؟ فممكن أن نضيفها في التفاصيل العقلية: التفاصيل المتعلقة بالفطرة، لكن إزالة للالتباس يمكن أن ينبه: أربعة –بتنبيه- الفطرة.</w:t>
      </w:r>
    </w:p>
    <w:p w14:paraId="13027AA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يمكن أن نجعله مصدرًا مستقلًا وممكن جعلها مصدرًا</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مرتبطًا بقضية العقل.</w:t>
      </w:r>
    </w:p>
    <w:p w14:paraId="61280373" w14:textId="77777777" w:rsidR="00CA3DFA" w:rsidRPr="005369B8" w:rsidRDefault="00CA3DFA" w:rsidP="00CA3DFA">
      <w:pPr>
        <w:pStyle w:val="a6"/>
        <w:numPr>
          <w:ilvl w:val="0"/>
          <w:numId w:val="32"/>
        </w:numPr>
        <w:spacing w:after="0" w:line="240" w:lineRule="auto"/>
        <w:jc w:val="both"/>
        <w:rPr>
          <w:rFonts w:ascii="Traditional Arabic" w:eastAsia="Calibri" w:hAnsi="Traditional Arabic" w:cs="Traditional Arabic"/>
          <w:b/>
          <w:bCs/>
          <w:sz w:val="36"/>
          <w:szCs w:val="36"/>
          <w:rtl/>
        </w:rPr>
      </w:pPr>
      <w:r w:rsidRPr="005369B8">
        <w:rPr>
          <w:rFonts w:ascii="Traditional Arabic" w:eastAsia="Calibri" w:hAnsi="Traditional Arabic" w:cs="Traditional Arabic"/>
          <w:b/>
          <w:bCs/>
          <w:sz w:val="36"/>
          <w:szCs w:val="36"/>
          <w:rtl/>
        </w:rPr>
        <w:t>القسم الثاني: مصادر التلقي الشرعية</w:t>
      </w:r>
    </w:p>
    <w:p w14:paraId="5719481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مصادر التلقّي الشرعية ما هي؟</w:t>
      </w:r>
    </w:p>
    <w:p w14:paraId="7FF06B9B" w14:textId="77777777" w:rsidR="00CA3DFA" w:rsidRPr="00592892" w:rsidRDefault="00CA3DFA" w:rsidP="00CA3DFA">
      <w:pPr>
        <w:numPr>
          <w:ilvl w:val="0"/>
          <w:numId w:val="27"/>
        </w:numPr>
        <w:spacing w:after="0" w:line="240" w:lineRule="auto"/>
        <w:contextualSpacing/>
        <w:jc w:val="both"/>
        <w:rPr>
          <w:rFonts w:ascii="Traditional Arabic" w:eastAsia="Calibri" w:hAnsi="Traditional Arabic" w:cs="Traditional Arabic"/>
          <w:sz w:val="36"/>
          <w:szCs w:val="36"/>
          <w:rtl/>
        </w:rPr>
      </w:pPr>
      <w:r>
        <w:rPr>
          <w:rFonts w:ascii="Traditional Arabic" w:eastAsia="Calibri" w:hAnsi="Traditional Arabic" w:cs="Traditional Arabic" w:hint="cs"/>
          <w:sz w:val="36"/>
          <w:szCs w:val="36"/>
          <w:rtl/>
        </w:rPr>
        <w:lastRenderedPageBreak/>
        <w:t xml:space="preserve"> </w:t>
      </w:r>
      <w:r w:rsidRPr="00592892">
        <w:rPr>
          <w:rFonts w:ascii="Traditional Arabic" w:eastAsia="Calibri" w:hAnsi="Traditional Arabic" w:cs="Traditional Arabic"/>
          <w:sz w:val="36"/>
          <w:szCs w:val="36"/>
          <w:rtl/>
        </w:rPr>
        <w:t>الكتاب.</w:t>
      </w:r>
    </w:p>
    <w:p w14:paraId="455D08CD" w14:textId="77777777" w:rsidR="00CA3DFA" w:rsidRPr="00592892" w:rsidRDefault="00CA3DFA" w:rsidP="00CA3DFA">
      <w:pPr>
        <w:numPr>
          <w:ilvl w:val="0"/>
          <w:numId w:val="27"/>
        </w:numPr>
        <w:spacing w:after="0" w:line="240" w:lineRule="auto"/>
        <w:contextualSpacing/>
        <w:jc w:val="both"/>
        <w:rPr>
          <w:rFonts w:ascii="Traditional Arabic" w:eastAsia="Calibri" w:hAnsi="Traditional Arabic" w:cs="Traditional Arabic"/>
          <w:sz w:val="36"/>
          <w:szCs w:val="36"/>
        </w:rPr>
      </w:pPr>
      <w:r>
        <w:rPr>
          <w:rFonts w:ascii="Traditional Arabic" w:eastAsia="Calibri" w:hAnsi="Traditional Arabic" w:cs="Traditional Arabic" w:hint="cs"/>
          <w:sz w:val="36"/>
          <w:szCs w:val="36"/>
          <w:rtl/>
        </w:rPr>
        <w:t xml:space="preserve"> </w:t>
      </w:r>
      <w:r w:rsidRPr="00592892">
        <w:rPr>
          <w:rFonts w:ascii="Traditional Arabic" w:eastAsia="Calibri" w:hAnsi="Traditional Arabic" w:cs="Traditional Arabic"/>
          <w:sz w:val="36"/>
          <w:szCs w:val="36"/>
          <w:rtl/>
        </w:rPr>
        <w:t>السنة.</w:t>
      </w:r>
    </w:p>
    <w:p w14:paraId="1D27851B" w14:textId="77777777" w:rsidR="00CA3DFA" w:rsidRPr="00592892" w:rsidRDefault="00CA3DFA" w:rsidP="00CA3DFA">
      <w:pPr>
        <w:numPr>
          <w:ilvl w:val="0"/>
          <w:numId w:val="27"/>
        </w:numPr>
        <w:spacing w:after="0" w:line="240" w:lineRule="auto"/>
        <w:contextualSpacing/>
        <w:jc w:val="both"/>
        <w:rPr>
          <w:rFonts w:ascii="Traditional Arabic" w:eastAsia="Calibri" w:hAnsi="Traditional Arabic" w:cs="Traditional Arabic"/>
          <w:sz w:val="36"/>
          <w:szCs w:val="36"/>
        </w:rPr>
      </w:pPr>
      <w:r>
        <w:rPr>
          <w:rFonts w:ascii="Traditional Arabic" w:eastAsia="Calibri" w:hAnsi="Traditional Arabic" w:cs="Traditional Arabic" w:hint="cs"/>
          <w:sz w:val="36"/>
          <w:szCs w:val="36"/>
          <w:rtl/>
        </w:rPr>
        <w:t xml:space="preserve"> </w:t>
      </w:r>
      <w:r w:rsidRPr="00592892">
        <w:rPr>
          <w:rFonts w:ascii="Traditional Arabic" w:eastAsia="Calibri" w:hAnsi="Traditional Arabic" w:cs="Traditional Arabic"/>
          <w:sz w:val="36"/>
          <w:szCs w:val="36"/>
          <w:rtl/>
        </w:rPr>
        <w:t>الإجماع.</w:t>
      </w:r>
    </w:p>
    <w:p w14:paraId="102A0E1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القياس.</w:t>
      </w:r>
    </w:p>
    <w:p w14:paraId="386C35F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القياس في الحقيقة ليس مصدرًا للتلقي، القياس وسيلة إثبات للأحكام ولكنه ليس مصدر تلقي.</w:t>
      </w:r>
    </w:p>
    <w:p w14:paraId="2A5E3C5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شرع من قبلنا.</w:t>
      </w:r>
    </w:p>
    <w:p w14:paraId="7C3E7F2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حتى شرع من قبلنا لا تستطيع أن تقول أنه مصدر تلقّي مستقلّ، ل</w:t>
      </w:r>
      <w:r>
        <w:rPr>
          <w:rFonts w:ascii="Traditional Arabic" w:eastAsia="Calibri" w:hAnsi="Traditional Arabic" w:cs="Traditional Arabic" w:hint="cs"/>
          <w:sz w:val="36"/>
          <w:szCs w:val="36"/>
          <w:rtl/>
        </w:rPr>
        <w:t>أ</w:t>
      </w:r>
      <w:r w:rsidRPr="00592892">
        <w:rPr>
          <w:rFonts w:ascii="Traditional Arabic" w:eastAsia="Calibri" w:hAnsi="Traditional Arabic" w:cs="Traditional Arabic"/>
          <w:sz w:val="36"/>
          <w:szCs w:val="36"/>
          <w:rtl/>
        </w:rPr>
        <w:t>نه في الأخير شرع من قبلنا شرع لنا إذا جاء عن</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طريق شرعنا.</w:t>
      </w:r>
    </w:p>
    <w:p w14:paraId="04A0939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عمل الصحابة.</w:t>
      </w:r>
    </w:p>
    <w:p w14:paraId="1F4B107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وعمل الصحابة إذا كان مفردًا فليس مصدر تلقي متفق عليه، فهناك خلاف كبير بين الأئمة في اعتباره.</w:t>
      </w:r>
    </w:p>
    <w:p w14:paraId="1DC2EAA4" w14:textId="77777777" w:rsidR="00CA3DFA" w:rsidRPr="00592892" w:rsidRDefault="00CA3DFA" w:rsidP="00CA3DFA">
      <w:pPr>
        <w:spacing w:after="0" w:line="240" w:lineRule="auto"/>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 xml:space="preserve">الكتاب والسنة والإجماع الثابت، حتى الإجماع هناك نقاش </w:t>
      </w:r>
      <w:r w:rsidRPr="00592892">
        <w:rPr>
          <w:rFonts w:ascii="Traditional Arabic" w:eastAsia="Calibri" w:hAnsi="Traditional Arabic" w:cs="Traditional Arabic" w:hint="cs"/>
          <w:sz w:val="36"/>
          <w:szCs w:val="36"/>
          <w:rtl/>
        </w:rPr>
        <w:t>فيما</w:t>
      </w:r>
      <w:r w:rsidRPr="00592892">
        <w:rPr>
          <w:rFonts w:ascii="Traditional Arabic" w:eastAsia="Calibri" w:hAnsi="Traditional Arabic" w:cs="Traditional Arabic"/>
          <w:sz w:val="36"/>
          <w:szCs w:val="36"/>
          <w:rtl/>
        </w:rPr>
        <w:t xml:space="preserve"> الذي يثبت وما الذي لا يثبت، الأساس هو الكتاب والسنة لكن الإجماع فقط يُذكر لأنه صار له مفردات ونتائج واضحة يمكن الاستفادة منها على المستوى التفصيلي.</w:t>
      </w:r>
    </w:p>
    <w:p w14:paraId="59B04767" w14:textId="77777777" w:rsidR="00CA3DFA" w:rsidRPr="00592892" w:rsidRDefault="00CA3DFA" w:rsidP="00CA3DFA">
      <w:pPr>
        <w:spacing w:after="0" w:line="240" w:lineRule="auto"/>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الآن عندما نقول أن مصادر المعرفة خبر وحسّ وعقل وفطرة ثم مصادر التلقّي الشرعية (كتاب سنة، إجماع).</w:t>
      </w:r>
    </w:p>
    <w:p w14:paraId="5AB0329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ما هي علاقة (كتاب والسنة، والإجماع) بــ (الحس والخبر والعقل)؟</w:t>
      </w:r>
    </w:p>
    <w:p w14:paraId="3492254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أجوبة غير مسموعة.</w:t>
      </w:r>
    </w:p>
    <w:p w14:paraId="65ACB46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سأسأل السؤال بطريقة أخرى، هل يوجد حكم شرعي استقلّ العقل بتقريره بتشريعه؟</w:t>
      </w:r>
    </w:p>
    <w:p w14:paraId="2D92130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لا، لا يوجد.</w:t>
      </w:r>
    </w:p>
    <w:p w14:paraId="57F01F0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لكن هل يوجد حكم شرعي يعارض </w:t>
      </w:r>
      <w:r w:rsidRPr="00592892">
        <w:rPr>
          <w:rFonts w:ascii="Traditional Arabic" w:eastAsia="Calibri" w:hAnsi="Traditional Arabic" w:cs="Traditional Arabic" w:hint="cs"/>
          <w:sz w:val="36"/>
          <w:szCs w:val="36"/>
          <w:rtl/>
        </w:rPr>
        <w:t>العقل؟</w:t>
      </w:r>
      <w:r w:rsidRPr="00592892">
        <w:rPr>
          <w:rFonts w:ascii="Traditional Arabic" w:eastAsia="Calibri" w:hAnsi="Traditional Arabic" w:cs="Traditional Arabic"/>
          <w:sz w:val="36"/>
          <w:szCs w:val="36"/>
          <w:rtl/>
        </w:rPr>
        <w:t xml:space="preserve"> لا.</w:t>
      </w:r>
    </w:p>
    <w:p w14:paraId="31E3073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وبالتالي العلاقة بين الشرع والعقل هو العنوان الثاني: العلاقة بين مصادر المعرفة ومصادر التلقي، هذان العنوانان هو الأساسيان في لقاء اليوم.</w:t>
      </w:r>
    </w:p>
    <w:p w14:paraId="6D98A13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سؤال: من يثبت وجود الله وهو في منطقة نائية دون أن يبلغه الشرع القرآن والسنة، هل يعتبر هذا استدلال؟</w:t>
      </w:r>
    </w:p>
    <w:p w14:paraId="136EC6AE" w14:textId="77777777" w:rsidR="00CA3DFA"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الشيخ: هذا يعتبر استدلالًا، ولكن هذا استدلالًا فيما قبل ما يؤسس البنيان الشرعي، هو لا شك أنه أمر شرعي باعتبار أصل صحيح، ولكن القصد أنه لا يوجد حكم في تفاصيل الشريعة الإسلامية يعني فيما داخل البنيان الشرعي، يعني فيما بعد الاعتراف الله بالوحدانية ولمحمد </w:t>
      </w:r>
      <w:r w:rsidRPr="00592892">
        <w:rPr>
          <w:rFonts w:ascii="Traditional Arabic" w:eastAsia="Calibri" w:hAnsi="Traditional Arabic" w:cs="Traditional Arabic" w:hint="cs"/>
          <w:sz w:val="36"/>
          <w:szCs w:val="36"/>
          <w:rtl/>
        </w:rPr>
        <w:t>ﷺ بالرسالة</w:t>
      </w:r>
      <w:r w:rsidRPr="00592892">
        <w:rPr>
          <w:rFonts w:ascii="Traditional Arabic" w:eastAsia="Calibri" w:hAnsi="Traditional Arabic" w:cs="Traditional Arabic"/>
          <w:sz w:val="36"/>
          <w:szCs w:val="36"/>
          <w:rtl/>
        </w:rPr>
        <w:t>، لا يوجد بعد ذلك استقلالية عنهما. هذه هي الفكرة.</w:t>
      </w:r>
    </w:p>
    <w:p w14:paraId="1BC8BE2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p>
    <w:p w14:paraId="7F32C550" w14:textId="77777777" w:rsidR="00CA3DFA" w:rsidRPr="00C82054" w:rsidRDefault="00CA3DFA" w:rsidP="00CA3DFA">
      <w:pPr>
        <w:pStyle w:val="ad"/>
        <w:jc w:val="both"/>
        <w:rPr>
          <w:rtl/>
        </w:rPr>
      </w:pPr>
      <w:bookmarkStart w:id="8" w:name="_Toc198206243"/>
      <w:bookmarkStart w:id="9" w:name="_Toc198346251"/>
      <w:r w:rsidRPr="00592892">
        <w:rPr>
          <w:rFonts w:hint="cs"/>
          <w:rtl/>
          <w:lang w:val="ar-SA"/>
        </w:rPr>
        <w:t>محاور المحاضرة</w:t>
      </w:r>
      <w:bookmarkEnd w:id="8"/>
      <w:bookmarkEnd w:id="9"/>
    </w:p>
    <w:p w14:paraId="59C8794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إذن لدينا عنوانان أساسيان اليوم:</w:t>
      </w:r>
    </w:p>
    <w:p w14:paraId="7AE1BCA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العنوان الأول: ما هي مصادر المعرفة ومصادر التلقي، وطبعًا تحتها عناوين.</w:t>
      </w:r>
    </w:p>
    <w:p w14:paraId="410F82C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ثم العنوان الثاني: ما العلاقة بين المصادر، لأنّ العلاقة بينهما مهمة جدًا، طبعًا العلاقة بين كل قسم والعلاقة</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بين القسمين.</w:t>
      </w:r>
    </w:p>
    <w:p w14:paraId="0B17D433" w14:textId="77777777" w:rsidR="00CA3DFA" w:rsidRPr="00592892" w:rsidRDefault="00CA3DFA" w:rsidP="00CA3DFA">
      <w:pPr>
        <w:numPr>
          <w:ilvl w:val="0"/>
          <w:numId w:val="28"/>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نبدأ بالأول الذي هو مصادر المعرفة ومصادر التلقي.</w:t>
      </w:r>
    </w:p>
    <w:p w14:paraId="2C3450D7" w14:textId="77777777" w:rsidR="00CA3DFA" w:rsidRPr="007A6E4F" w:rsidRDefault="00CA3DFA" w:rsidP="00CA3DFA">
      <w:pPr>
        <w:pStyle w:val="a6"/>
        <w:numPr>
          <w:ilvl w:val="0"/>
          <w:numId w:val="33"/>
        </w:numPr>
        <w:spacing w:after="0" w:line="240" w:lineRule="auto"/>
        <w:jc w:val="both"/>
        <w:rPr>
          <w:rFonts w:ascii="Traditional Arabic" w:eastAsia="Calibri" w:hAnsi="Traditional Arabic" w:cs="Traditional Arabic"/>
          <w:sz w:val="36"/>
          <w:szCs w:val="36"/>
          <w:rtl/>
        </w:rPr>
      </w:pPr>
      <w:r w:rsidRPr="007A6E4F">
        <w:rPr>
          <w:rFonts w:ascii="Traditional Arabic" w:eastAsia="Calibri" w:hAnsi="Traditional Arabic" w:cs="Traditional Arabic"/>
          <w:sz w:val="36"/>
          <w:szCs w:val="36"/>
          <w:rtl/>
        </w:rPr>
        <w:t>القسم الأول: مصادر المعرفة</w:t>
      </w:r>
    </w:p>
    <w:p w14:paraId="6E0E174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النقطة الأولى: نبذة تاريخية ومعرفية سريعة عن مركزية هذا الموضوع وأهميته سواء في السياق العربي أو في</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السياق الغربي.</w:t>
      </w:r>
    </w:p>
    <w:p w14:paraId="2DA0E4F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النقطة الثانية: الإثبات الشرعيّ أو التعامل الشرعيّ مع مصادر المعرفة أو لنقل مصادر المعرفة في ضوء</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الكتاب والسنة.</w:t>
      </w:r>
    </w:p>
    <w:p w14:paraId="107C2169" w14:textId="77777777" w:rsidR="00CA3DFA" w:rsidRPr="007A6E4F" w:rsidRDefault="00CA3DFA" w:rsidP="00CA3DFA">
      <w:pPr>
        <w:pStyle w:val="a6"/>
        <w:numPr>
          <w:ilvl w:val="0"/>
          <w:numId w:val="34"/>
        </w:numPr>
        <w:spacing w:after="0" w:line="240" w:lineRule="auto"/>
        <w:jc w:val="both"/>
        <w:rPr>
          <w:rFonts w:ascii="Traditional Arabic" w:eastAsia="Calibri" w:hAnsi="Traditional Arabic" w:cs="Traditional Arabic"/>
          <w:sz w:val="36"/>
          <w:szCs w:val="36"/>
          <w:rtl/>
        </w:rPr>
      </w:pPr>
      <w:r w:rsidRPr="007A6E4F">
        <w:rPr>
          <w:rFonts w:ascii="Traditional Arabic" w:eastAsia="Calibri" w:hAnsi="Traditional Arabic" w:cs="Traditional Arabic"/>
          <w:sz w:val="36"/>
          <w:szCs w:val="36"/>
          <w:rtl/>
        </w:rPr>
        <w:t>القسم الثاني: مصادر التلقّي الشرعية</w:t>
      </w:r>
    </w:p>
    <w:p w14:paraId="051A788A" w14:textId="77777777" w:rsidR="00CA3DFA" w:rsidRPr="00592892" w:rsidRDefault="00CA3DFA" w:rsidP="00CA3DFA">
      <w:pPr>
        <w:numPr>
          <w:ilvl w:val="0"/>
          <w:numId w:val="29"/>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ذكر هذه المصادر: يعني ما هي، نحن ذكرناها.</w:t>
      </w:r>
    </w:p>
    <w:p w14:paraId="638EECDE" w14:textId="77777777" w:rsidR="00CA3DFA" w:rsidRPr="00592892" w:rsidRDefault="00CA3DFA" w:rsidP="00CA3DFA">
      <w:pPr>
        <w:numPr>
          <w:ilvl w:val="0"/>
          <w:numId w:val="29"/>
        </w:numPr>
        <w:spacing w:after="0" w:line="240" w:lineRule="auto"/>
        <w:contextualSpacing/>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الأمر الثاني: الاستدلال المجمل أو حدود هذه المصادر وعلاقتها بالأحكام.</w:t>
      </w:r>
    </w:p>
    <w:p w14:paraId="7D21FD53" w14:textId="77777777" w:rsidR="00CA3DFA" w:rsidRPr="00592892" w:rsidRDefault="00CA3DFA" w:rsidP="00CA3DFA">
      <w:pPr>
        <w:numPr>
          <w:ilvl w:val="0"/>
          <w:numId w:val="28"/>
        </w:numPr>
        <w:spacing w:after="0" w:line="240" w:lineRule="auto"/>
        <w:contextualSpacing/>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ثم العنوان الثاني: العلاقة بين المصادر (مصادر المعرفة ومصادر التلقي).</w:t>
      </w:r>
    </w:p>
    <w:p w14:paraId="1C0062F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نكتب عنوان: التكامل وماذا في العلاقة؟</w:t>
      </w:r>
    </w:p>
    <w:p w14:paraId="55E0B94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التلازم.</w:t>
      </w:r>
    </w:p>
    <w:p w14:paraId="292FB63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لا.</w:t>
      </w:r>
    </w:p>
    <w:p w14:paraId="266D963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طالب آخر: التوافق.</w:t>
      </w:r>
    </w:p>
    <w:p w14:paraId="5528DE6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التوافق؛ التلازم نوع من التوافق لكنه شيء يترتب عن شيء، أما التوافق قد يكون في توافق نفس الدرجة وليس بالضرورة أن يكون هذا ينتج عن هذا.</w:t>
      </w:r>
    </w:p>
    <w:p w14:paraId="1BE9CDA6" w14:textId="77777777" w:rsidR="00CA3DFA" w:rsidRDefault="00CA3DFA" w:rsidP="00CA3DFA">
      <w:pPr>
        <w:numPr>
          <w:ilvl w:val="0"/>
          <w:numId w:val="28"/>
        </w:numPr>
        <w:spacing w:line="240" w:lineRule="auto"/>
        <w:contextualSpacing/>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ثم العنوان الثالث والأخير: تنبيهات منهجية مهمّة متعلقة بباب مصادر المعرفة والتلقّي.</w:t>
      </w:r>
    </w:p>
    <w:p w14:paraId="738308CE" w14:textId="77777777" w:rsidR="00CA3DFA" w:rsidRPr="00592892" w:rsidRDefault="00CA3DFA" w:rsidP="00CA3DFA">
      <w:pPr>
        <w:spacing w:line="240" w:lineRule="auto"/>
        <w:contextualSpacing/>
        <w:jc w:val="both"/>
        <w:rPr>
          <w:rFonts w:ascii="Traditional Arabic" w:eastAsia="Calibri" w:hAnsi="Traditional Arabic" w:cs="Traditional Arabic"/>
          <w:sz w:val="36"/>
          <w:szCs w:val="36"/>
          <w:rtl/>
        </w:rPr>
      </w:pPr>
    </w:p>
    <w:p w14:paraId="04F5CD30" w14:textId="77777777" w:rsidR="00CA3DFA" w:rsidRPr="00C82054" w:rsidRDefault="00CA3DFA" w:rsidP="00CA3DFA">
      <w:pPr>
        <w:pStyle w:val="ad"/>
        <w:jc w:val="both"/>
        <w:rPr>
          <w:rtl/>
        </w:rPr>
      </w:pPr>
      <w:bookmarkStart w:id="10" w:name="_Toc198206244"/>
      <w:bookmarkStart w:id="11" w:name="_Toc198346252"/>
      <w:r w:rsidRPr="00592892">
        <w:rPr>
          <w:rFonts w:hint="cs"/>
          <w:rtl/>
          <w:lang w:val="ar-SA"/>
        </w:rPr>
        <w:t>مصادر المعرفة ومصادر التلقي</w:t>
      </w:r>
      <w:bookmarkEnd w:id="10"/>
      <w:bookmarkEnd w:id="11"/>
    </w:p>
    <w:p w14:paraId="64CD51C6" w14:textId="77777777" w:rsidR="00CA3DFA" w:rsidRPr="00C82054" w:rsidRDefault="00CA3DFA" w:rsidP="00CA3DFA">
      <w:pPr>
        <w:pStyle w:val="a6"/>
        <w:numPr>
          <w:ilvl w:val="0"/>
          <w:numId w:val="28"/>
        </w:numPr>
        <w:spacing w:after="0" w:line="240" w:lineRule="auto"/>
        <w:jc w:val="both"/>
        <w:rPr>
          <w:rFonts w:ascii="Traditional Arabic" w:eastAsia="Calibri" w:hAnsi="Traditional Arabic" w:cs="Traditional Arabic"/>
          <w:b/>
          <w:bCs/>
          <w:sz w:val="36"/>
          <w:szCs w:val="36"/>
          <w:rtl/>
        </w:rPr>
      </w:pPr>
      <w:r w:rsidRPr="00C82054">
        <w:rPr>
          <w:rFonts w:ascii="Traditional Arabic" w:eastAsia="Calibri" w:hAnsi="Traditional Arabic" w:cs="Traditional Arabic"/>
          <w:b/>
          <w:bCs/>
          <w:sz w:val="36"/>
          <w:szCs w:val="36"/>
          <w:rtl/>
        </w:rPr>
        <w:t>نبذة تاريخية عن مصادر المعرفة</w:t>
      </w:r>
      <w:r w:rsidRPr="00C82054">
        <w:rPr>
          <w:rFonts w:ascii="Traditional Arabic" w:eastAsia="Calibri" w:hAnsi="Traditional Arabic" w:cs="Traditional Arabic" w:hint="cs"/>
          <w:b/>
          <w:bCs/>
          <w:sz w:val="36"/>
          <w:szCs w:val="36"/>
          <w:rtl/>
        </w:rPr>
        <w:t>:</w:t>
      </w:r>
    </w:p>
    <w:p w14:paraId="33C700A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من العلوم البشرية المعروفة التي تنتمي إلى الفضاء الإنساني علم الفلسفة، وعلم الفلسفة علم قديم جدًا من أوائل العلوم التي حفظت لنا إلى اليوم، يعني لو نظرت في تاريخ العلوم، ما العلوم التي يُحفظ لها شيء إلى الآن وتنتمي إلى تاريخ قديم جدًا لقلت الفلسفة، وخاصّةً الفلسفة اليونانية.</w:t>
      </w:r>
    </w:p>
    <w:p w14:paraId="7470094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علم الفلسفة عن ماذا يتحدث وفيما يشتغل؟ سابقًا كان يتحدث عن فضاءات كثيرة جدًا اليوم تمايزت هذه الفضاءات وصارت علومًا مستقلة، يعني مثلًا الرياضيات والهندسة كانت تنتمي إلى الفلسفة، علوم الفيزياء والعلوم الطبيعية كانت تنتمي إلى الفلسفة.</w:t>
      </w:r>
    </w:p>
    <w:p w14:paraId="0922205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من النادر جدًا في التاريخ القديم ألا تجد فيلسوفًا لا يكون طبيبًا لأن هناك تلازم بين الفلسفة والطب، فمثلًا ابن سينا فيلسوف من أكبر الفلاسفة وفي نفس الوقت طبيب، ابن سينا طبعًا فيلسوف المشرق وابن وشد فيلسوف المغرب، ابن رشد كان من أكبر الأطباء وله كتاب من 10 مجلدات في الطب، وذكر في مقدمته كلامًا مهمًّا هو كتبه أصلًا ل</w:t>
      </w:r>
      <w:r>
        <w:rPr>
          <w:rFonts w:ascii="Traditional Arabic" w:eastAsia="Calibri" w:hAnsi="Traditional Arabic" w:cs="Traditional Arabic" w:hint="cs"/>
          <w:sz w:val="36"/>
          <w:szCs w:val="36"/>
          <w:rtl/>
        </w:rPr>
        <w:t>أ</w:t>
      </w:r>
      <w:r w:rsidRPr="00592892">
        <w:rPr>
          <w:rFonts w:ascii="Traditional Arabic" w:eastAsia="Calibri" w:hAnsi="Traditional Arabic" w:cs="Traditional Arabic"/>
          <w:sz w:val="36"/>
          <w:szCs w:val="36"/>
          <w:rtl/>
        </w:rPr>
        <w:t>ولاده وكتب علاقة الطب بالفلسفة.</w:t>
      </w:r>
    </w:p>
    <w:p w14:paraId="7D3ED71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واحدة من الموضوعات الفلسفية التي كان يُشتغل بها سابقًا موضوع المعرفة، الذي هو:</w:t>
      </w:r>
    </w:p>
    <w:p w14:paraId="6ECF278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هل يمكن لنا أن نعرف أو لا يمكن لنا أن نعرف؟ إذا عرفنا هل يمكن أن تكون معارفنا يقينية؟ أو لا مجال لنا للوصول إلا إلى المعارف الشكية أو المعارف الظنية؟</w:t>
      </w:r>
    </w:p>
    <w:p w14:paraId="1C2C8F0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هذا مبحث فلسفي قديم.</w:t>
      </w:r>
    </w:p>
    <w:p w14:paraId="74770A4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إذا قلنا يمكن لنا أن نصل إلى معارف اليقينية، ما المصادر والبوابات التي يمكن أن توصلنا إلى معارف يقينية؟ هل هو الحس أم العقل؟</w:t>
      </w:r>
    </w:p>
    <w:p w14:paraId="15D23BB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هذه القضايا لا تظنوا أنها من القضايا الجديدة، سمعتم بالسفسطائيين صح؟</w:t>
      </w:r>
    </w:p>
    <w:p w14:paraId="3D4A4B2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السفسطائيين هي واحدة من الفرق التي كانت موجودة في اليونان وكانت تُناقش الفلاسفة في إمكانية الوصول إلى المعرفة اليقينية وشككوا في الحسّ كمصدر للمعرفة. </w:t>
      </w:r>
    </w:p>
    <w:p w14:paraId="6632D9C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السفسطائيين عندهم حزمة تشكيكات في إمكانية الوصول إلى اليقين عن طريق الحسّ، حتى البصر المعارف التي تدخل عن طريق البصر ليست يقينية وصاروا طوائف، واحدة من هذه الطرائف اسمها (العندية) وهذه الطائفة موجودة اليوم وليسوا سفسطائيين، موجودة اليوم كثيرًا التي هي (بالنسبة لي) (عندي-عندية): لو قلت له الشيء الفلاني موجود يقول لك بالنسبة لي غير موجود وهكذا، هؤلاء هم السفسطائيين وهم الذين ولّدوا أو حفّزوا أو دفعوا أرسطو لتأسيس علم المنطق، لماذا تأسس علم المنطق؟ لماذا أسس أرسطو علم المنطق؟ أسس علم المنطق لمناقشة أو لتجاوز إشكالية السفسطائية.</w:t>
      </w:r>
    </w:p>
    <w:p w14:paraId="47DAB99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هذا كله تحت أي عنوان؟</w:t>
      </w:r>
    </w:p>
    <w:p w14:paraId="2D0E6BB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المعرفة، وهذه المعرفة كانت تحت أي فضاء أو أي مظلّة؟ الفلسفة.</w:t>
      </w:r>
    </w:p>
    <w:p w14:paraId="1D47E6A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سؤال: هل كانت الأنبياء تعمل في أي فضاء مرتبط بهذه المجالات؟ -بغض النظر عن أي أداء-، هل كانت الأنبياء تعمل في أي نقطة أو قضية مرتبطة بهذا الفضاء؟ </w:t>
      </w:r>
    </w:p>
    <w:p w14:paraId="6A67BEC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طبعًا كانت تشتغل في هذا الفضاء، الأنبياء كانوا يحاربون قضية الشكّ الموجود عند الأمم، وتجد النبي ﷺ نفسه فيما بلغ من القرآن الذمّ على من يقول </w:t>
      </w:r>
      <w:r w:rsidRPr="00592892">
        <w:rPr>
          <w:rFonts w:ascii="Traditional Arabic" w:eastAsia="Calibri" w:hAnsi="Traditional Arabic" w:cs="Traditional Arabic"/>
          <w:color w:val="385623" w:themeColor="accent6" w:themeShade="80"/>
          <w:sz w:val="36"/>
          <w:szCs w:val="36"/>
          <w:rtl/>
        </w:rPr>
        <w:t>{إِنْ نَظُنُّ إِلا ظَنًّا وَمَا نَحْنُ بِمُسْتَيْقِنِينَ}</w:t>
      </w:r>
      <w:r w:rsidRPr="00592892">
        <w:rPr>
          <w:rFonts w:ascii="Traditional Arabic" w:eastAsia="Calibri" w:hAnsi="Traditional Arabic" w:cs="Traditional Arabic"/>
          <w:color w:val="385623" w:themeColor="accent6" w:themeShade="80"/>
          <w:sz w:val="36"/>
          <w:szCs w:val="36"/>
          <w:vertAlign w:val="superscript"/>
          <w:rtl/>
        </w:rPr>
        <w:footnoteReference w:id="3"/>
      </w:r>
      <w:r w:rsidRPr="00592892">
        <w:rPr>
          <w:rFonts w:ascii="Traditional Arabic" w:eastAsia="Calibri" w:hAnsi="Traditional Arabic" w:cs="Traditional Arabic"/>
          <w:sz w:val="36"/>
          <w:szCs w:val="36"/>
          <w:rtl/>
        </w:rPr>
        <w:t>،</w:t>
      </w:r>
      <w:r w:rsidRPr="00592892">
        <w:rPr>
          <w:rFonts w:ascii="Traditional Arabic" w:eastAsia="Calibri" w:hAnsi="Traditional Arabic" w:cs="Traditional Arabic"/>
          <w:color w:val="385623" w:themeColor="accent6" w:themeShade="80"/>
          <w:sz w:val="36"/>
          <w:szCs w:val="36"/>
          <w:rtl/>
        </w:rPr>
        <w:t xml:space="preserve"> {وَيَسْتَنْبِئُونَكَ أَحَقٌّ هُوَ قُلْ إِي وَرَبِّي إِنَّهُ لَحَقٌّ}</w:t>
      </w:r>
      <w:r w:rsidRPr="00592892">
        <w:rPr>
          <w:rFonts w:ascii="Traditional Arabic" w:eastAsia="Calibri" w:hAnsi="Traditional Arabic" w:cs="Traditional Arabic"/>
          <w:color w:val="385623" w:themeColor="accent6" w:themeShade="80"/>
          <w:sz w:val="36"/>
          <w:szCs w:val="36"/>
          <w:vertAlign w:val="superscript"/>
          <w:rtl/>
        </w:rPr>
        <w:footnoteReference w:id="4"/>
      </w:r>
      <w:r w:rsidRPr="00592892">
        <w:rPr>
          <w:rFonts w:ascii="Traditional Arabic" w:eastAsia="Calibri" w:hAnsi="Traditional Arabic" w:cs="Traditional Arabic"/>
          <w:sz w:val="36"/>
          <w:szCs w:val="36"/>
          <w:rtl/>
        </w:rPr>
        <w:t>،</w:t>
      </w:r>
      <w:r w:rsidRPr="00592892">
        <w:rPr>
          <w:rFonts w:ascii="Traditional Arabic" w:eastAsia="Calibri" w:hAnsi="Traditional Arabic" w:cs="Traditional Arabic"/>
          <w:color w:val="385623" w:themeColor="accent6" w:themeShade="80"/>
          <w:sz w:val="36"/>
          <w:szCs w:val="36"/>
          <w:rtl/>
        </w:rPr>
        <w:t xml:space="preserve"> {فَوَرَبِّ السَّمَاءِ وَالأرْضِ إِنَّهُ لَحَقٌّ مِثْلَ مَا أَنَّكُمْ تَنْطِقُونَ}</w:t>
      </w:r>
      <w:r w:rsidRPr="00592892">
        <w:rPr>
          <w:rFonts w:ascii="Traditional Arabic" w:eastAsia="Calibri" w:hAnsi="Traditional Arabic" w:cs="Traditional Arabic"/>
          <w:color w:val="385623" w:themeColor="accent6" w:themeShade="80"/>
          <w:sz w:val="36"/>
          <w:szCs w:val="36"/>
          <w:vertAlign w:val="superscript"/>
          <w:rtl/>
        </w:rPr>
        <w:footnoteReference w:id="5"/>
      </w:r>
      <w:r w:rsidRPr="00592892">
        <w:rPr>
          <w:rFonts w:ascii="Traditional Arabic" w:eastAsia="Calibri" w:hAnsi="Traditional Arabic" w:cs="Traditional Arabic"/>
          <w:sz w:val="36"/>
          <w:szCs w:val="36"/>
          <w:rtl/>
        </w:rPr>
        <w:t>، هذه كلها في نفس فضاء المعرفة، وإنه إمكان الوصول إلى اليقين، إلى آخره من الاستدلالات.</w:t>
      </w:r>
    </w:p>
    <w:p w14:paraId="290F922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نطوي صفحة التاريخ ونأتي إلى عام 1960: ألّف أحد الفلاسفة الإنجليز الكبار (جون لوك) كتاب اسمه (مقالة في الذهن البشري)، هذا الكتاب يعتبره من يكتب في نظرية المعرفة أنه أول كتاب أُلِّف في نظرية المعرفة، وهذا الكلام إذا أردنا أن تأخذه من باب الأمور الاصطلاحية الخاصة ممكن نقول صحيح، لكن إذا أردنا أن نتكلم من الناحية الموضوعية من ناحية المحتوى </w:t>
      </w:r>
      <w:r w:rsidRPr="00592892">
        <w:rPr>
          <w:rFonts w:ascii="Traditional Arabic" w:eastAsia="Calibri" w:hAnsi="Traditional Arabic" w:cs="Traditional Arabic"/>
          <w:sz w:val="36"/>
          <w:szCs w:val="36"/>
          <w:rtl/>
        </w:rPr>
        <w:lastRenderedPageBreak/>
        <w:t>فغير صحيح، لأنّ الكلام عن الأمور المتعلقة بالمعرفة كلام قديم وله في التراث الإسلامي كلام كثير جدًا بمختلف القضايا.</w:t>
      </w:r>
    </w:p>
    <w:p w14:paraId="5567515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في أصول الفقه في البداية تجد الشكّ والظن واليقين، هذه في باب نظرية المعرفة، قضية العقل والنقل ودلالة العقل وإمكانية الاستدلال بالعقل على النقل هذه كلها معرفة.</w:t>
      </w:r>
    </w:p>
    <w:p w14:paraId="77A848A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فالقول بأنّ أول من كتب في نظرية المعرفة هو (جون لوك) هذه غير صحيحة إذا أردنا أنه ما أحد كتب من حيث المحتوى أما إذا أردنا التأليف المستقل الكامل فممكن تجوّزًا اصطلاحًا نقول كتاب جون لوك (مقالة في الذهن البشري).</w:t>
      </w:r>
    </w:p>
    <w:p w14:paraId="0DF8048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اليوم الفلسفة الحديثة في أي فضاء تشتغل أكثر؟</w:t>
      </w:r>
    </w:p>
    <w:p w14:paraId="7ED2DBE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في الوجود.</w:t>
      </w:r>
    </w:p>
    <w:p w14:paraId="7A4B087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لا ليس في الوجود، سابقًا كان في الوجود، اليوم أغلب ما تشتغل فيه الفلسفة في فضاء المعرفة.</w:t>
      </w:r>
    </w:p>
    <w:p w14:paraId="2B912F5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اليوم الخلاف مع الملحدين أكثره في أي باب؟</w:t>
      </w:r>
    </w:p>
    <w:p w14:paraId="7BD1587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في باب المعرفة، ومع الأسف كثير ممن لا يعرف هذا عندما يأتي له شاب لديه إشكالات، فيسأله ما المشكلة لديك؟ قد يقول الإسلام فيه الرجم والقتل وغيرها فيبدأ يتناقش معه في تفاصيل جزئية، غلط!</w:t>
      </w:r>
    </w:p>
    <w:p w14:paraId="293CD5B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وشبهات حول المعجزات مع أنّ قضية المعجزات اليوم ليست قضية مشكلة جدًا، كانت مشكلة في وقت مضى، يعني مثلًا (ديفيد هيوم) كتب مقال في إنكار المعجزات وكان هذا المقال قنبلة وكان له تأثير كبير على ما بعده، وثم انتقل إلى الفضاء الإسلامي. </w:t>
      </w:r>
    </w:p>
    <w:p w14:paraId="1DDF450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ولذلك كانت المسألة المشكلة عند الاسلاميين في أواخر القرن التاسع عشر وفي بداية القرن العشرين هي مسألة المعجزات تحديدًا، ولذلك تجد الرمز الإسلامي الاكبر في تلك المرحلة (محمد </w:t>
      </w:r>
      <w:r w:rsidRPr="00592892">
        <w:rPr>
          <w:rFonts w:ascii="Traditional Arabic" w:eastAsia="Calibri" w:hAnsi="Traditional Arabic" w:cs="Traditional Arabic" w:hint="cs"/>
          <w:sz w:val="36"/>
          <w:szCs w:val="36"/>
          <w:rtl/>
        </w:rPr>
        <w:t>عبدو) كان</w:t>
      </w:r>
      <w:r w:rsidRPr="00592892">
        <w:rPr>
          <w:rFonts w:ascii="Traditional Arabic" w:eastAsia="Calibri" w:hAnsi="Traditional Arabic" w:cs="Traditional Arabic"/>
          <w:sz w:val="36"/>
          <w:szCs w:val="36"/>
          <w:rtl/>
        </w:rPr>
        <w:t xml:space="preserve"> ينكر المعجزات، وكثير من الكُتاب الإسلاميين في تلك المرحلة، تجد مثلًا (حياة محمد) لهيكل فيها إنكار للمعجزات هي كانت القضية المشكلة في تلك المرحلة.</w:t>
      </w:r>
    </w:p>
    <w:p w14:paraId="1967702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على أية حال المشكلة الموجودة اليوم مع الملحدين هي مشكلة متعلقة بالمعرفة، الأساس متعلق بالمعرفة، يأتي الملحد فيقول لك: أنت تعتقد بدين أنا لا أومن بالفضاء أصلًا الذي ينتمي إليه الدين بغض النظر عن تفاصيل الدين، يعني المشكلة الحقيقية عند كثير من الملاحدة -خاصة </w:t>
      </w:r>
      <w:r w:rsidRPr="00592892">
        <w:rPr>
          <w:rFonts w:ascii="Traditional Arabic" w:eastAsia="Calibri" w:hAnsi="Traditional Arabic" w:cs="Traditional Arabic"/>
          <w:sz w:val="36"/>
          <w:szCs w:val="36"/>
          <w:rtl/>
        </w:rPr>
        <w:lastRenderedPageBreak/>
        <w:t>في الغربيين- ليست في تفاصيل الاسلام هو يقول لك طبعًا إرهاب وقتل وغيرها من الأمور، لكن لما ترجع الفرع إلى الأصل وتتناقش معه في الكليات ستجده لا يعترف أصلًا بالأساس الذي اعترفت به بالإسلام.</w:t>
      </w:r>
    </w:p>
    <w:p w14:paraId="3045C5B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تقول لي لماذا هل هم لا يعترفوا بالعقل؟ ما في شك عندنا أن الأدلة الأساسية على صحة الإسلام وعلى صحة النبوة هي أدلة عقلية، لماذا لا يعترفون بالعقل، أليس الملحدين هم أبناء العقل وينادوا بالعقل؟ لا، هذا ظنك، أما في الواقع فكثير منهم لا يعترف بالعقل.</w:t>
      </w:r>
    </w:p>
    <w:p w14:paraId="7FBE862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ما قصدك بعدم اعترافه بالعقل؟ يعني حتى بالشعار، يقول لك أنا لا أعترف بالعقل؟! نعم حتى بالشعار، منهم من يقول لا أعترف أصلًا بشيء اسمه مبادئ عقلية مثل أنّ كل حادث لا بد له من محدث وكل فعل لا بد له من سبب، هو لا يعترف بكل هذه الاشياء، مثل مناقشة الشيخ عبد الله العجيري مع شاب -ليس ملحد- لكن كان يناقش في هذه القضية أنه كيف تقول لي العقل نستدل به على الأشياء وإنما النقاش فقط في الأمور العلمية.</w:t>
      </w:r>
    </w:p>
    <w:p w14:paraId="4B2E228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أذكر أنني تناقشت مع امرأة ملحدة كانت في المدينة عند المسجد النبوي -مع الأسف في هذا المكان- كان النقاش تقريبًا ثلاث ليالي متصلة وكان نقاش طويل جدًا، وأول سؤال سألتها: "هل تعترفين بالعقل كمصدر للمعرفة أم لا؟" هو يمكن سؤال غير معتاد في نقاشات مع الملاحدة لكنه سؤال مهم جدًا، لأنها لو قالت أنها لا تعترف بالعقل كمصدر للمعرفة فأكثر النقاش لن يكون له فائدة، لأنه عندما تتكلم عن وجود الله سبحانه وتعالى سنتكلم بالأدلة العقلية.</w:t>
      </w:r>
    </w:p>
    <w:p w14:paraId="43EF2EB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الخلاصة: من حيث الأهمية القضية ليست قضية فلسفية مجردة تظنون أنها ليست لها أهمية أو هكذا، القضية حقيقية ومهمة ويوجد لها أهمية بالغة في السياق الحالي في النقاش مع الملاحدة ومع الماديين النقاش معهم أساسه في مصادر المعرفة.</w:t>
      </w:r>
    </w:p>
    <w:p w14:paraId="49E1147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نقطة أخرى: في داخل الصفّ الإسلامي في داخل المدارس الإسلامية، هل يوجد مركز</w:t>
      </w:r>
      <w:r>
        <w:rPr>
          <w:rFonts w:ascii="Traditional Arabic" w:eastAsia="Calibri" w:hAnsi="Traditional Arabic" w:cs="Traditional Arabic" w:hint="cs"/>
          <w:sz w:val="36"/>
          <w:szCs w:val="36"/>
          <w:rtl/>
        </w:rPr>
        <w:t>ي</w:t>
      </w:r>
      <w:r w:rsidRPr="00592892">
        <w:rPr>
          <w:rFonts w:ascii="Traditional Arabic" w:eastAsia="Calibri" w:hAnsi="Traditional Arabic" w:cs="Traditional Arabic"/>
          <w:sz w:val="36"/>
          <w:szCs w:val="36"/>
          <w:rtl/>
        </w:rPr>
        <w:t xml:space="preserve">ة وأهمية لنظرية المعرفة أو المصادر المعرفة أو لا؟ يعني مع الملحدين هناك كثير من النقاشات سببها الخلاف في أصل المعرفة يعني هل تعترف بالخبر هل نعترف بالعقل أو لا الآن داخل الصفّ الإسلامي داخل الطوائف الاسلامية، داخل التراث الاسلامي الخلافات الكثيرة التي حصلت </w:t>
      </w:r>
      <w:r w:rsidRPr="00592892">
        <w:rPr>
          <w:rFonts w:ascii="Traditional Arabic" w:eastAsia="Calibri" w:hAnsi="Traditional Arabic" w:cs="Traditional Arabic"/>
          <w:sz w:val="36"/>
          <w:szCs w:val="36"/>
          <w:rtl/>
        </w:rPr>
        <w:lastRenderedPageBreak/>
        <w:t xml:space="preserve">على مرّ التاريخ هل هي خلافات سياسية مجردة؟ هل بعض الخلافات فعلا سبيها معرفي أي متعلق بباب المعرفة بمصادر التلقي أم لا؟ </w:t>
      </w:r>
    </w:p>
    <w:p w14:paraId="5ADB63E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موجود جدًا، صحيح هناك خلافات مصدرها سياسي لكن ذلك مصدر آخر، لكن يوجد كثير من الخلافات مصدرها مصادر المعرفة.</w:t>
      </w:r>
    </w:p>
    <w:p w14:paraId="2D94C87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مثلًا: هل الكشف والإلهام مصدر معرفي معتبر ولا لا؟ يوجد طوائف وفرق في التراث الاسلامي تعتبر الكشف والإلهام مصدرًا للمعرفة، بل ويعتبر عند البعض مصدرًا مقدمًا على الكتاب والسنة: حدثني قلبي، أيا كان المهم عندي حبل اتصال عندي إلهام، عندي أيا كان أستقي منه المعرفة وأبث هذه المعرفة، إذًا حتى داخل الصفّ الإسلامي داخل التراث الإسلامي.</w:t>
      </w:r>
    </w:p>
    <w:p w14:paraId="3FDA9F5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طيب هل العقل أم النقل؟ لما تقول العقل أم النقل أنت تتكلم عن مصادر المعرفة.</w:t>
      </w:r>
    </w:p>
    <w:p w14:paraId="411FDC51" w14:textId="77777777" w:rsidR="00CA3DFA"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وبالتالي القضية ليست فرعية وليست هامشية وليست ترفية وليست تكميلية وإنما هي قضية في صميم الخلافات الإسلامية الإسلامية، والإسلامية الإلحادية.</w:t>
      </w:r>
    </w:p>
    <w:p w14:paraId="7E53F819" w14:textId="77777777" w:rsidR="00CA3DFA" w:rsidRPr="00C82054" w:rsidRDefault="00CA3DFA" w:rsidP="00CA3DFA">
      <w:pPr>
        <w:pStyle w:val="a6"/>
        <w:numPr>
          <w:ilvl w:val="0"/>
          <w:numId w:val="35"/>
        </w:numPr>
        <w:spacing w:after="0" w:line="240" w:lineRule="auto"/>
        <w:jc w:val="both"/>
        <w:rPr>
          <w:rFonts w:ascii="Traditional Arabic" w:eastAsia="Calibri" w:hAnsi="Traditional Arabic" w:cs="Traditional Arabic"/>
          <w:sz w:val="36"/>
          <w:szCs w:val="36"/>
          <w:rtl/>
        </w:rPr>
      </w:pPr>
      <w:r w:rsidRPr="00C82054">
        <w:rPr>
          <w:rFonts w:ascii="Traditional Arabic" w:eastAsia="Times New Roman" w:hAnsi="Traditional Arabic" w:cs="Traditional Arabic" w:hint="cs"/>
          <w:b/>
          <w:bCs/>
          <w:color w:val="0D0D0D"/>
          <w:sz w:val="36"/>
          <w:szCs w:val="36"/>
          <w:rtl/>
        </w:rPr>
        <w:t>مصادر المعرفة في ضوء الكتاب والسنة</w:t>
      </w:r>
    </w:p>
    <w:p w14:paraId="7661CDC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مصادر المعرفة في ضوء الكتاب والسنة</w:t>
      </w:r>
    </w:p>
    <w:p w14:paraId="211FCD9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في شيء من الكتاب والسنة يدل على اعتبار الحس، العقل، الخبر مصدرًا للمعرفة؟ لا أتكلم عن الخبر الخاص الذي هو الوحي وإنما أتكلم بشكل عام.</w:t>
      </w:r>
    </w:p>
    <w:p w14:paraId="5C1FF22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طالب: </w:t>
      </w:r>
      <w:r w:rsidRPr="00592892">
        <w:rPr>
          <w:rFonts w:ascii="Traditional Arabic" w:eastAsia="Calibri" w:hAnsi="Traditional Arabic" w:cs="Traditional Arabic"/>
          <w:color w:val="385623" w:themeColor="accent6" w:themeShade="80"/>
          <w:sz w:val="36"/>
          <w:szCs w:val="36"/>
          <w:rtl/>
        </w:rPr>
        <w:t>{قُلْ سِيرُوا فِي الأرْضِ فَانْظُرُوا}</w:t>
      </w:r>
      <w:r w:rsidRPr="00592892">
        <w:rPr>
          <w:rFonts w:ascii="Traditional Arabic" w:eastAsia="Calibri" w:hAnsi="Traditional Arabic" w:cs="Traditional Arabic"/>
          <w:sz w:val="36"/>
          <w:szCs w:val="36"/>
          <w:vertAlign w:val="superscript"/>
          <w:rtl/>
        </w:rPr>
        <w:footnoteReference w:id="6"/>
      </w:r>
      <w:r w:rsidRPr="00592892">
        <w:rPr>
          <w:rFonts w:ascii="Traditional Arabic" w:eastAsia="Calibri" w:hAnsi="Traditional Arabic" w:cs="Traditional Arabic"/>
          <w:sz w:val="36"/>
          <w:szCs w:val="36"/>
          <w:rtl/>
        </w:rPr>
        <w:t>.</w:t>
      </w:r>
    </w:p>
    <w:p w14:paraId="50998E2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جيد.</w:t>
      </w:r>
    </w:p>
    <w:p w14:paraId="2DEF025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طالب: </w:t>
      </w:r>
      <w:r w:rsidRPr="00592892">
        <w:rPr>
          <w:rFonts w:ascii="Traditional Arabic" w:eastAsia="Calibri" w:hAnsi="Traditional Arabic" w:cs="Traditional Arabic"/>
          <w:color w:val="385623" w:themeColor="accent6" w:themeShade="80"/>
          <w:sz w:val="36"/>
          <w:szCs w:val="36"/>
          <w:rtl/>
        </w:rPr>
        <w:t>{سَنُرِيهِمْ آيَاتِنَا فِي الآفَاقِ وَفِي أَنْفُسِهِمْ}</w:t>
      </w:r>
      <w:r w:rsidRPr="00592892">
        <w:rPr>
          <w:rFonts w:ascii="Traditional Arabic" w:eastAsia="Calibri" w:hAnsi="Traditional Arabic" w:cs="Traditional Arabic"/>
          <w:sz w:val="36"/>
          <w:szCs w:val="36"/>
          <w:vertAlign w:val="superscript"/>
          <w:rtl/>
        </w:rPr>
        <w:footnoteReference w:id="7"/>
      </w:r>
      <w:r w:rsidRPr="00592892">
        <w:rPr>
          <w:rFonts w:ascii="Traditional Arabic" w:eastAsia="Calibri" w:hAnsi="Traditional Arabic" w:cs="Traditional Arabic"/>
          <w:sz w:val="36"/>
          <w:szCs w:val="36"/>
          <w:rtl/>
        </w:rPr>
        <w:t>.</w:t>
      </w:r>
    </w:p>
    <w:p w14:paraId="4538FEA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جميل.</w:t>
      </w:r>
    </w:p>
    <w:p w14:paraId="368EE22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طالب: </w:t>
      </w:r>
      <w:r w:rsidRPr="00592892">
        <w:rPr>
          <w:rFonts w:ascii="Traditional Arabic" w:eastAsia="Calibri" w:hAnsi="Traditional Arabic" w:cs="Traditional Arabic"/>
          <w:color w:val="385623" w:themeColor="accent6" w:themeShade="80"/>
          <w:sz w:val="36"/>
          <w:szCs w:val="36"/>
          <w:rtl/>
        </w:rPr>
        <w:t>{إِنَّ فِي ذَلِكَ لآيَاتٍ لِقَوْمٍ يَعْقِلُونَ}</w:t>
      </w:r>
      <w:r w:rsidRPr="00592892">
        <w:rPr>
          <w:rFonts w:ascii="Traditional Arabic" w:eastAsia="Calibri" w:hAnsi="Traditional Arabic" w:cs="Traditional Arabic"/>
          <w:sz w:val="36"/>
          <w:szCs w:val="36"/>
          <w:vertAlign w:val="superscript"/>
          <w:rtl/>
        </w:rPr>
        <w:footnoteReference w:id="8"/>
      </w:r>
      <w:r w:rsidRPr="00592892">
        <w:rPr>
          <w:rFonts w:ascii="Traditional Arabic" w:eastAsia="Calibri" w:hAnsi="Traditional Arabic" w:cs="Traditional Arabic"/>
          <w:sz w:val="36"/>
          <w:szCs w:val="36"/>
          <w:rtl/>
        </w:rPr>
        <w:t>.</w:t>
      </w:r>
    </w:p>
    <w:p w14:paraId="2285D71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جميل، هل في آية مركزية تدل على اعتبار مصادر المعرفة الأساسية؟</w:t>
      </w:r>
    </w:p>
    <w:p w14:paraId="0398812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هناك آية أظنها والله أعلم أنها أدلّ آية على مصادر المعرفة.</w:t>
      </w:r>
    </w:p>
    <w:p w14:paraId="0CA007D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 xml:space="preserve">طالب: </w:t>
      </w:r>
      <w:r w:rsidRPr="00592892">
        <w:rPr>
          <w:rFonts w:ascii="Traditional Arabic" w:eastAsia="Calibri" w:hAnsi="Traditional Arabic" w:cs="Traditional Arabic"/>
          <w:color w:val="984806"/>
          <w:sz w:val="36"/>
          <w:szCs w:val="36"/>
          <w:rtl/>
        </w:rPr>
        <w:t>{إِنَّ السَّمْعَ وَالْبَصَرَ وَالْفُؤَادَ}</w:t>
      </w:r>
      <w:r w:rsidRPr="00592892">
        <w:rPr>
          <w:rFonts w:ascii="Traditional Arabic" w:eastAsia="Calibri" w:hAnsi="Traditional Arabic" w:cs="Traditional Arabic"/>
          <w:sz w:val="36"/>
          <w:szCs w:val="36"/>
          <w:vertAlign w:val="superscript"/>
          <w:rtl/>
        </w:rPr>
        <w:footnoteReference w:id="9"/>
      </w:r>
      <w:r w:rsidRPr="00592892">
        <w:rPr>
          <w:rFonts w:ascii="Traditional Arabic" w:eastAsia="Calibri" w:hAnsi="Traditional Arabic" w:cs="Traditional Arabic"/>
          <w:sz w:val="36"/>
          <w:szCs w:val="36"/>
          <w:rtl/>
        </w:rPr>
        <w:t>.</w:t>
      </w:r>
    </w:p>
    <w:p w14:paraId="725AA0C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جميل، هي قريبة لكن ليست هي.</w:t>
      </w:r>
    </w:p>
    <w:p w14:paraId="19D7811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طالب: </w:t>
      </w:r>
      <w:r w:rsidRPr="00592892">
        <w:rPr>
          <w:rFonts w:ascii="Traditional Arabic" w:eastAsia="Calibri" w:hAnsi="Traditional Arabic" w:cs="Traditional Arabic"/>
          <w:color w:val="984806"/>
          <w:sz w:val="36"/>
          <w:szCs w:val="36"/>
          <w:rtl/>
        </w:rPr>
        <w:t>{</w:t>
      </w:r>
      <w:r w:rsidRPr="00592892">
        <w:rPr>
          <w:rFonts w:ascii="Traditional Arabic" w:eastAsia="Calibri" w:hAnsi="Traditional Arabic" w:cs="Traditional Arabic"/>
          <w:color w:val="984806"/>
          <w:sz w:val="30"/>
          <w:szCs w:val="36"/>
          <w:rtl/>
        </w:rPr>
        <w:t>وَمَا آتَاكُمُ الرَّسُولُ فَخُذُوهُ</w:t>
      </w:r>
      <w:r w:rsidRPr="00592892">
        <w:rPr>
          <w:rFonts w:ascii="Traditional Arabic" w:eastAsia="Calibri" w:hAnsi="Traditional Arabic" w:cs="Traditional Arabic"/>
          <w:color w:val="984806"/>
          <w:sz w:val="36"/>
          <w:szCs w:val="36"/>
          <w:rtl/>
        </w:rPr>
        <w:t>}</w:t>
      </w:r>
      <w:r w:rsidRPr="00592892">
        <w:rPr>
          <w:rFonts w:ascii="Traditional Arabic" w:eastAsia="Calibri" w:hAnsi="Traditional Arabic" w:cs="Traditional Arabic"/>
          <w:sz w:val="36"/>
          <w:szCs w:val="36"/>
          <w:vertAlign w:val="superscript"/>
          <w:rtl/>
        </w:rPr>
        <w:footnoteReference w:id="10"/>
      </w:r>
      <w:r w:rsidRPr="00592892">
        <w:rPr>
          <w:rFonts w:ascii="Traditional Arabic" w:eastAsia="Calibri" w:hAnsi="Traditional Arabic" w:cs="Traditional Arabic"/>
          <w:sz w:val="36"/>
          <w:szCs w:val="36"/>
          <w:rtl/>
        </w:rPr>
        <w:t>.</w:t>
      </w:r>
    </w:p>
    <w:p w14:paraId="7B7FEDD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هي في القسم الثاني التي هي مصادر التلقي.</w:t>
      </w:r>
    </w:p>
    <w:p w14:paraId="75D49B4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ميزة الآية أنها ذكرت العلم، خاصة أننا قلنا أن مصادر المعرفة قبل مصادر التلقي التي يأتي فيها قضية الاستدلال العقلي على وجود الله هذه مصادر المعرفة ثم ندخل مصادر التلقي.</w:t>
      </w:r>
    </w:p>
    <w:p w14:paraId="785535E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color w:val="385623" w:themeColor="accent6" w:themeShade="80"/>
          <w:sz w:val="36"/>
          <w:szCs w:val="36"/>
          <w:rtl/>
        </w:rPr>
        <w:t xml:space="preserve">{وَاللَّهُ أَخْرَجَكُمْ مِنْ بُطُونِ أُمَّهَاتِكُمْ لا تَعْلَمُونَ شَيْئًا} </w:t>
      </w:r>
      <w:r w:rsidRPr="00592892">
        <w:rPr>
          <w:rFonts w:ascii="Traditional Arabic" w:eastAsia="Calibri" w:hAnsi="Traditional Arabic" w:cs="Traditional Arabic"/>
          <w:sz w:val="36"/>
          <w:szCs w:val="36"/>
          <w:rtl/>
        </w:rPr>
        <w:t xml:space="preserve">انظروا مصادر المعرفة، </w:t>
      </w:r>
      <w:r w:rsidRPr="00592892">
        <w:rPr>
          <w:rFonts w:ascii="Traditional Arabic" w:eastAsia="Calibri" w:hAnsi="Traditional Arabic" w:cs="Traditional Arabic"/>
          <w:color w:val="385623" w:themeColor="accent6" w:themeShade="80"/>
          <w:sz w:val="36"/>
          <w:szCs w:val="36"/>
          <w:rtl/>
        </w:rPr>
        <w:t>{وَجَعَلَ لَكُمُ السَّمْعَ وَالأبْصَارَ وَالأفْئِدَةَ لَعَلَّكُمْ تَشْكُرُونَ}</w:t>
      </w:r>
      <w:r w:rsidRPr="00592892">
        <w:rPr>
          <w:rFonts w:ascii="Traditional Arabic" w:eastAsia="Calibri" w:hAnsi="Traditional Arabic" w:cs="Traditional Arabic"/>
          <w:sz w:val="36"/>
          <w:szCs w:val="36"/>
          <w:vertAlign w:val="superscript"/>
          <w:rtl/>
        </w:rPr>
        <w:footnoteReference w:id="11"/>
      </w:r>
      <w:r w:rsidRPr="00592892">
        <w:rPr>
          <w:rFonts w:ascii="Traditional Arabic" w:eastAsia="Calibri" w:hAnsi="Traditional Arabic" w:cs="Traditional Arabic"/>
          <w:sz w:val="36"/>
          <w:szCs w:val="36"/>
          <w:rtl/>
        </w:rPr>
        <w:t xml:space="preserve">، لاحظوا الربط بين لا تعلمون شيئًا (جهلة) ثم يذكر مصادر المعرفة، لاحظوا الآية هنا لا تتكلم عن العجز من حيث القدرة أنه لا تقدرون على شيء هذه آيات أخرى تدل عليها، لكن هنا عن العلم </w:t>
      </w:r>
      <w:r w:rsidRPr="00592892">
        <w:rPr>
          <w:rFonts w:ascii="Traditional Arabic" w:eastAsia="Calibri" w:hAnsi="Traditional Arabic" w:cs="Traditional Arabic"/>
          <w:color w:val="385623" w:themeColor="accent6" w:themeShade="80"/>
          <w:sz w:val="36"/>
          <w:szCs w:val="36"/>
          <w:rtl/>
        </w:rPr>
        <w:t>{وَاللَّهُ أَخْرَجَكُمْ مِنْ بُطُونِ أُمَّهَاتِكُمْ لا تَعْلَمُونَ شَيْئًا}</w:t>
      </w:r>
      <w:r w:rsidRPr="00592892">
        <w:rPr>
          <w:rFonts w:ascii="Traditional Arabic" w:eastAsia="Calibri" w:hAnsi="Traditional Arabic" w:cs="Traditional Arabic"/>
          <w:sz w:val="36"/>
          <w:szCs w:val="36"/>
          <w:rtl/>
        </w:rPr>
        <w:t>،</w:t>
      </w:r>
      <w:r w:rsidRPr="00592892">
        <w:rPr>
          <w:rFonts w:ascii="Traditional Arabic" w:eastAsia="Calibri" w:hAnsi="Traditional Arabic" w:cs="Traditional Arabic"/>
          <w:color w:val="385623" w:themeColor="accent6" w:themeShade="80"/>
          <w:sz w:val="36"/>
          <w:szCs w:val="36"/>
          <w:rtl/>
        </w:rPr>
        <w:t xml:space="preserve"> {وَجَعَلَ لَكُمُ السَّمْعَ وَالْأَبْصَارَ وَالْأَفْئِدَة} </w:t>
      </w:r>
      <w:r w:rsidRPr="00592892">
        <w:rPr>
          <w:rFonts w:ascii="Traditional Arabic" w:eastAsia="Calibri" w:hAnsi="Traditional Arabic" w:cs="Traditional Arabic"/>
          <w:sz w:val="36"/>
          <w:szCs w:val="36"/>
          <w:rtl/>
        </w:rPr>
        <w:t>كأدوات للمعرفة. واضح؟</w:t>
      </w:r>
    </w:p>
    <w:p w14:paraId="7800B8C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ومن الآيات الجميلة في الاستدلال على هذا المعنى في ختام سورة السجدة: </w:t>
      </w:r>
      <w:r w:rsidRPr="00592892">
        <w:rPr>
          <w:rFonts w:ascii="Traditional Arabic" w:eastAsia="Calibri" w:hAnsi="Traditional Arabic" w:cs="Traditional Arabic"/>
          <w:color w:val="385623" w:themeColor="accent6" w:themeShade="80"/>
          <w:sz w:val="36"/>
          <w:szCs w:val="36"/>
          <w:rtl/>
        </w:rPr>
        <w:t xml:space="preserve">{أَوَلَمْ يَهْدِ لَهُمْ كَمْ أَهْلَكْنَا مِنْ قَبْلِهِمْ مِنَ الْقُرُونِ يَمْشُونَ فِي مَسَاكِنِهِمْ إِنَّ فِي ذَلِكَ لآيَاتٍ أَفَلا يَسْمَعُونَ} </w:t>
      </w:r>
      <w:r w:rsidRPr="00592892">
        <w:rPr>
          <w:rFonts w:ascii="Traditional Arabic" w:eastAsia="Calibri" w:hAnsi="Traditional Arabic" w:cs="Traditional Arabic"/>
          <w:sz w:val="36"/>
          <w:szCs w:val="36"/>
          <w:rtl/>
        </w:rPr>
        <w:t xml:space="preserve">رركزوا يسمعون، </w:t>
      </w:r>
      <w:r w:rsidRPr="00592892">
        <w:rPr>
          <w:rFonts w:ascii="Traditional Arabic" w:eastAsia="Calibri" w:hAnsi="Traditional Arabic" w:cs="Traditional Arabic"/>
          <w:color w:val="385623" w:themeColor="accent6" w:themeShade="80"/>
          <w:sz w:val="36"/>
          <w:szCs w:val="36"/>
          <w:rtl/>
        </w:rPr>
        <w:t>{أَوَلَمْ يَرَوْا أَنَّا نَسُوقُ الْمَاءَ إِلَى الأرْضِ الْجُرُزِ فَنُخْرِجُ بِهِ زَرْعًا تَأْكُلُ مِنْهُ أَنْعَامُهُمْ وَأَنْفُسُهُمْ أَفَلا يُبْصِرُونَ}</w:t>
      </w:r>
      <w:r w:rsidRPr="00592892">
        <w:rPr>
          <w:rFonts w:ascii="Traditional Arabic" w:eastAsia="Calibri" w:hAnsi="Traditional Arabic" w:cs="Traditional Arabic"/>
          <w:color w:val="385623" w:themeColor="accent6" w:themeShade="80"/>
          <w:sz w:val="36"/>
          <w:szCs w:val="36"/>
          <w:vertAlign w:val="superscript"/>
          <w:rtl/>
        </w:rPr>
        <w:footnoteReference w:id="12"/>
      </w:r>
      <w:r w:rsidRPr="00592892">
        <w:rPr>
          <w:rFonts w:ascii="Traditional Arabic" w:eastAsia="Calibri" w:hAnsi="Traditional Arabic" w:cs="Traditional Arabic"/>
          <w:sz w:val="36"/>
          <w:szCs w:val="36"/>
          <w:rtl/>
        </w:rPr>
        <w:t xml:space="preserve">، لاحظوا التنويع بين مصدري المعرفة ذلك المصدر المتعلق بالتاريخ بالخبر </w:t>
      </w:r>
      <w:r w:rsidRPr="00592892">
        <w:rPr>
          <w:rFonts w:ascii="Traditional Arabic" w:eastAsia="Calibri" w:hAnsi="Traditional Arabic" w:cs="Traditional Arabic"/>
          <w:color w:val="385623" w:themeColor="accent6" w:themeShade="80"/>
          <w:sz w:val="36"/>
          <w:szCs w:val="36"/>
          <w:rtl/>
        </w:rPr>
        <w:t>{أَفَلا يَسْمَعُونَ}</w:t>
      </w:r>
      <w:r w:rsidRPr="00592892">
        <w:rPr>
          <w:rFonts w:ascii="Traditional Arabic" w:eastAsia="Calibri" w:hAnsi="Traditional Arabic" w:cs="Traditional Arabic"/>
          <w:sz w:val="36"/>
          <w:szCs w:val="36"/>
          <w:rtl/>
        </w:rPr>
        <w:t xml:space="preserve"> السمع مصدر معرفي متعلق بالخبر من قبل.</w:t>
      </w:r>
    </w:p>
    <w:p w14:paraId="4EBE760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والثانية </w:t>
      </w:r>
      <w:r w:rsidRPr="00592892">
        <w:rPr>
          <w:rFonts w:ascii="Traditional Arabic" w:eastAsia="Calibri" w:hAnsi="Traditional Arabic" w:cs="Traditional Arabic"/>
          <w:color w:val="385623" w:themeColor="accent6" w:themeShade="80"/>
          <w:sz w:val="36"/>
          <w:szCs w:val="36"/>
          <w:rtl/>
        </w:rPr>
        <w:t xml:space="preserve">{أَوَلَمْ يَرَوْا أَنَّا نَسُوقُ الماء إلى الأَرْضِ الْجُرْزِ ... أَفَلَا يُبْصِرُونَ} </w:t>
      </w:r>
      <w:r w:rsidRPr="00592892">
        <w:rPr>
          <w:rFonts w:ascii="Traditional Arabic" w:eastAsia="Calibri" w:hAnsi="Traditional Arabic" w:cs="Traditional Arabic"/>
          <w:sz w:val="36"/>
          <w:szCs w:val="36"/>
          <w:rtl/>
        </w:rPr>
        <w:t>صار البصر مصدر من مصادر المعرفة.</w:t>
      </w:r>
    </w:p>
    <w:p w14:paraId="7BC1BCA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هذا غير النصوص الكثيرة التي تدل على اعتبار العقل مصدرًا للمعرفة، حتى الآية الأولى </w:t>
      </w:r>
      <w:r w:rsidRPr="00592892">
        <w:rPr>
          <w:rFonts w:ascii="Traditional Arabic" w:eastAsia="Calibri" w:hAnsi="Traditional Arabic" w:cs="Traditional Arabic"/>
          <w:color w:val="385623" w:themeColor="accent6" w:themeShade="80"/>
          <w:sz w:val="36"/>
          <w:szCs w:val="36"/>
          <w:rtl/>
        </w:rPr>
        <w:t>{وَالْأَفْئِدَة}</w:t>
      </w:r>
      <w:r w:rsidRPr="00592892">
        <w:rPr>
          <w:rFonts w:ascii="Traditional Arabic" w:eastAsia="Calibri" w:hAnsi="Traditional Arabic" w:cs="Traditional Arabic"/>
          <w:sz w:val="36"/>
          <w:szCs w:val="36"/>
          <w:rtl/>
        </w:rPr>
        <w:t>.</w:t>
      </w:r>
    </w:p>
    <w:p w14:paraId="526E7C8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هذا فيما يتعلق بإشارة سريعة إلى مصادر المعرفة في ضوء الشريعة.</w:t>
      </w:r>
    </w:p>
    <w:p w14:paraId="73AB18D5" w14:textId="77777777" w:rsidR="00CA3DFA" w:rsidRPr="00BC1494" w:rsidRDefault="00CA3DFA" w:rsidP="00CA3DFA">
      <w:pPr>
        <w:pStyle w:val="a6"/>
        <w:numPr>
          <w:ilvl w:val="0"/>
          <w:numId w:val="36"/>
        </w:numPr>
        <w:spacing w:after="0" w:line="240" w:lineRule="auto"/>
        <w:jc w:val="both"/>
        <w:rPr>
          <w:rFonts w:ascii="Traditional Arabic" w:eastAsia="Calibri" w:hAnsi="Traditional Arabic" w:cs="Traditional Arabic"/>
          <w:b/>
          <w:bCs/>
          <w:sz w:val="36"/>
          <w:szCs w:val="36"/>
          <w:rtl/>
        </w:rPr>
      </w:pPr>
      <w:r w:rsidRPr="00BC1494">
        <w:rPr>
          <w:rFonts w:ascii="Traditional Arabic" w:eastAsia="Calibri" w:hAnsi="Traditional Arabic" w:cs="Traditional Arabic"/>
          <w:b/>
          <w:bCs/>
          <w:sz w:val="36"/>
          <w:szCs w:val="36"/>
          <w:rtl/>
        </w:rPr>
        <w:t>القسم الثاني</w:t>
      </w:r>
      <w:r w:rsidRPr="00BC1494">
        <w:rPr>
          <w:rFonts w:ascii="Traditional Arabic" w:eastAsia="Calibri" w:hAnsi="Traditional Arabic" w:cs="Traditional Arabic"/>
          <w:b/>
          <w:bCs/>
          <w:sz w:val="36"/>
          <w:szCs w:val="36"/>
        </w:rPr>
        <w:t>:</w:t>
      </w:r>
      <w:r w:rsidRPr="00BC1494">
        <w:rPr>
          <w:rFonts w:ascii="Traditional Arabic" w:eastAsia="Calibri" w:hAnsi="Traditional Arabic" w:cs="Traditional Arabic"/>
          <w:b/>
          <w:bCs/>
          <w:sz w:val="36"/>
          <w:szCs w:val="36"/>
          <w:rtl/>
        </w:rPr>
        <w:t xml:space="preserve"> مصادر التلقي الشرعية</w:t>
      </w:r>
    </w:p>
    <w:p w14:paraId="05E49786" w14:textId="77777777" w:rsidR="00CA3DFA" w:rsidRPr="00592892" w:rsidRDefault="00CA3DFA" w:rsidP="00CA3DFA">
      <w:pPr>
        <w:spacing w:after="0" w:line="240" w:lineRule="auto"/>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lastRenderedPageBreak/>
        <w:t>مصادر التلقي الشرعية</w:t>
      </w:r>
      <w:r w:rsidRPr="00592892">
        <w:rPr>
          <w:rFonts w:ascii="Traditional Arabic" w:eastAsia="Calibri" w:hAnsi="Traditional Arabic" w:cs="Traditional Arabic"/>
          <w:sz w:val="36"/>
          <w:szCs w:val="36"/>
        </w:rPr>
        <w:t xml:space="preserve"> </w:t>
      </w:r>
      <w:r w:rsidRPr="00592892">
        <w:rPr>
          <w:rFonts w:ascii="Traditional Arabic" w:eastAsia="Calibri" w:hAnsi="Traditional Arabic" w:cs="Traditional Arabic"/>
          <w:sz w:val="36"/>
          <w:szCs w:val="36"/>
          <w:rtl/>
        </w:rPr>
        <w:t>ذكرت ما يتعلق بأهميتها قبل قليل.</w:t>
      </w:r>
    </w:p>
    <w:p w14:paraId="2D9591C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حدود هذه المصادر وعلاقتها بالأحكام، حدودها من حيث تثبيتها، ومن حيث حدود ما يمكن أن يستدلَ بها. من حيث تثبيتها يعني من حيث إثبات صحتها هذا سيكون له إن شاء الله المحاضرتان القادمتان يعني المحاضرة رقم اثنين ورقم ثلاثة ستكون في تثبيت مصادر التلقي الشرعية.</w:t>
      </w:r>
    </w:p>
    <w:p w14:paraId="5E06253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لكن حدودها من حيث ما تفيد من العلم، هذه قاعدة مهمة جدًا: دائمًا حدود العلم المتلقى من مصدر مرتبط بمدى حدود علم صاحب المصدر: حدود ما يُستفاد من العلم من مصدرٍ ما مرتبط بحدود العلم لدى صاحب المصدر، فإذا كان صاحب المصدر مطلق العلم فما يمكن أن يستفاد من العلم من هذا المصدر باب مطلق مفتوح بقدر ما يعطيك ذاك المصدر من علم، أما إذا كان مصدر العلم محدودًا فما يمكن أن يستفاد منه من معلومات أيضاً تكون محدودة.</w:t>
      </w:r>
    </w:p>
    <w:p w14:paraId="2CCE38A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وبهذا الاعتبار أيهما أعمّ، مصادر المعرفة أم مصادر التلقي؟</w:t>
      </w:r>
    </w:p>
    <w:p w14:paraId="7E5FFC5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 مصادر التلقي. </w:t>
      </w:r>
    </w:p>
    <w:p w14:paraId="43606CB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سؤال عام الآن: أيهما أعمّ، مصادر المعرفة أم مصادر التلقي؟</w:t>
      </w:r>
    </w:p>
    <w:p w14:paraId="6538BED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مصادر المعرفة، لأنه يستفاد منها في قضايا دينية وغير دينية وإلى آخره وهي مفتوحة، وفيها صواب وفيها خطأ.</w:t>
      </w:r>
    </w:p>
    <w:p w14:paraId="4CFD333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باعتبار حدود ما يمكن أن يُعلَم أيهما أعم، مصادر المعرفة أم مصادر التلقي؟</w:t>
      </w:r>
    </w:p>
    <w:p w14:paraId="28A19B6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مصادر التلقي، لأنها مرتبطة بمصدر إلى مطلق العلم.</w:t>
      </w:r>
    </w:p>
    <w:p w14:paraId="5AD42FB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وبالتالي من مصادر المعرفة المجردة لا يمكن أن تعرف تفاصيل الجنة والنار، ولا يمكن أن تعرف أسماء الله وصفاته، اللهم إلا بعض الصفات يمكن أن تعرفها من الاستدلال العقلي الذي هو مثلاً: أن تستدل على صفة الحكمة، أن تستدل على صفة القوة، أن تستدل على صفة الحياة بناءً على ما تراه من المخلوقات هذا ممكن عقلاً مجردًا لكن لا يمكن أن تعرف مثلاً </w:t>
      </w:r>
      <w:r w:rsidRPr="00592892">
        <w:rPr>
          <w:rFonts w:ascii="Traditional Arabic" w:eastAsia="Calibri" w:hAnsi="Traditional Arabic" w:cs="Traditional Arabic"/>
          <w:color w:val="385623" w:themeColor="accent6" w:themeShade="80"/>
          <w:sz w:val="36"/>
          <w:szCs w:val="36"/>
          <w:rtl/>
        </w:rPr>
        <w:t>{الرَّحْمَنُ عَلَى الْعَرْشِ اسْتَوَى}</w:t>
      </w:r>
      <w:r w:rsidRPr="00592892">
        <w:rPr>
          <w:rFonts w:ascii="Traditional Arabic" w:eastAsia="Calibri" w:hAnsi="Traditional Arabic" w:cs="Traditional Arabic"/>
          <w:sz w:val="36"/>
          <w:szCs w:val="36"/>
          <w:vertAlign w:val="superscript"/>
          <w:rtl/>
        </w:rPr>
        <w:footnoteReference w:id="13"/>
      </w:r>
      <w:r w:rsidRPr="00592892">
        <w:rPr>
          <w:rFonts w:ascii="Traditional Arabic" w:eastAsia="Calibri" w:hAnsi="Traditional Arabic" w:cs="Traditional Arabic"/>
          <w:sz w:val="36"/>
          <w:szCs w:val="36"/>
          <w:rtl/>
        </w:rPr>
        <w:t xml:space="preserve">، هذه لا يمكن أن تعرفها بالعقل المجرد هذه تعرفها من هنا، لا يمكن أن تعرف: </w:t>
      </w:r>
      <w:r w:rsidRPr="00592892">
        <w:rPr>
          <w:rFonts w:ascii="Traditional Arabic" w:eastAsia="Calibri" w:hAnsi="Traditional Arabic" w:cs="Traditional Arabic"/>
          <w:color w:val="385623" w:themeColor="accent6" w:themeShade="80"/>
          <w:sz w:val="36"/>
          <w:szCs w:val="36"/>
          <w:rtl/>
        </w:rPr>
        <w:t>{وَجَاءَ رَبُّكَ وَالْمَلَكُ صَفًّا صَفًّا * وَجِيءَ يَوْمَئِذٍ بِجَهَنَّمَ}</w:t>
      </w:r>
      <w:r w:rsidRPr="00592892">
        <w:rPr>
          <w:rFonts w:ascii="Traditional Arabic" w:eastAsia="Calibri" w:hAnsi="Traditional Arabic" w:cs="Traditional Arabic"/>
          <w:sz w:val="36"/>
          <w:szCs w:val="36"/>
          <w:vertAlign w:val="superscript"/>
          <w:rtl/>
        </w:rPr>
        <w:footnoteReference w:id="14"/>
      </w:r>
      <w:r w:rsidRPr="00592892">
        <w:rPr>
          <w:rFonts w:ascii="Traditional Arabic" w:eastAsia="Calibri" w:hAnsi="Traditional Arabic" w:cs="Traditional Arabic"/>
          <w:sz w:val="36"/>
          <w:szCs w:val="36"/>
          <w:rtl/>
        </w:rPr>
        <w:t xml:space="preserve"> إلى آخره.</w:t>
      </w:r>
    </w:p>
    <w:p w14:paraId="1936484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هذا المصدر المعرفي الحس والعقل والخبر -الخبر المطلق- ليس الخبر الشرعي لا يفيدك معرفة تفصيلية بالعالم الغيبي.</w:t>
      </w:r>
    </w:p>
    <w:p w14:paraId="527FC7B9" w14:textId="77777777" w:rsidR="00CA3DFA"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hint="cs"/>
          <w:sz w:val="36"/>
          <w:szCs w:val="36"/>
          <w:rtl/>
        </w:rPr>
        <w:t>لذلك مصادر التلقي أعمَ من مصادر المعرفة باعتبار حدود ما يمكن أن يُعلم، وان كانت مصادر المعرفة أعمّ من مصادر التلقي بالاعتبار العام.</w:t>
      </w:r>
    </w:p>
    <w:p w14:paraId="0B1DEEA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p>
    <w:p w14:paraId="165A6753" w14:textId="77777777" w:rsidR="00CA3DFA" w:rsidRPr="00592892" w:rsidRDefault="00CA3DFA" w:rsidP="00CA3DFA">
      <w:pPr>
        <w:pStyle w:val="ad"/>
        <w:jc w:val="both"/>
        <w:rPr>
          <w:rtl/>
          <w:lang w:val="ar-SA"/>
        </w:rPr>
      </w:pPr>
      <w:bookmarkStart w:id="12" w:name="_Toc198206245"/>
      <w:bookmarkStart w:id="13" w:name="_Toc198346253"/>
      <w:r w:rsidRPr="00592892">
        <w:rPr>
          <w:rFonts w:hint="cs"/>
          <w:rtl/>
          <w:lang w:val="ar-SA"/>
        </w:rPr>
        <w:t>العلاقة بين مصادر المعرفة ومصادر التلقي</w:t>
      </w:r>
      <w:bookmarkEnd w:id="12"/>
      <w:bookmarkEnd w:id="13"/>
    </w:p>
    <w:p w14:paraId="253A940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النقطة التي بعدها: العلاقة بين مصادر المعرفة وم</w:t>
      </w:r>
      <w:r>
        <w:rPr>
          <w:rFonts w:ascii="Traditional Arabic" w:eastAsia="Calibri" w:hAnsi="Traditional Arabic" w:cs="Traditional Arabic" w:hint="cs"/>
          <w:sz w:val="36"/>
          <w:szCs w:val="36"/>
          <w:rtl/>
        </w:rPr>
        <w:t>ص</w:t>
      </w:r>
      <w:r w:rsidRPr="00592892">
        <w:rPr>
          <w:rFonts w:ascii="Traditional Arabic" w:eastAsia="Calibri" w:hAnsi="Traditional Arabic" w:cs="Traditional Arabic"/>
          <w:sz w:val="36"/>
          <w:szCs w:val="36"/>
          <w:rtl/>
        </w:rPr>
        <w:t xml:space="preserve">ادر التلقي، هذه نقطة مهمة جدًا. </w:t>
      </w:r>
    </w:p>
    <w:p w14:paraId="534D7ED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كثير من الإشكالات التي حصلت في التاريخ الإسلامي بين الطوائف الإسلامية هي بسبب عدم تقنين العلاقة بين مصادر المعرفة ومصادر </w:t>
      </w:r>
      <w:r w:rsidRPr="00592892">
        <w:rPr>
          <w:rFonts w:ascii="Traditional Arabic" w:eastAsia="Calibri" w:hAnsi="Traditional Arabic" w:cs="Traditional Arabic" w:hint="cs"/>
          <w:sz w:val="36"/>
          <w:szCs w:val="36"/>
          <w:rtl/>
        </w:rPr>
        <w:t>التلقي</w:t>
      </w:r>
      <w:r w:rsidRPr="00592892">
        <w:rPr>
          <w:rFonts w:ascii="Traditional Arabic" w:eastAsia="Calibri" w:hAnsi="Traditional Arabic" w:cs="Traditional Arabic"/>
          <w:sz w:val="36"/>
          <w:szCs w:val="36"/>
          <w:rtl/>
        </w:rPr>
        <w:t xml:space="preserve"> أو بين مصادر </w:t>
      </w:r>
      <w:r w:rsidRPr="00592892">
        <w:rPr>
          <w:rFonts w:ascii="Traditional Arabic" w:eastAsia="Calibri" w:hAnsi="Traditional Arabic" w:cs="Traditional Arabic" w:hint="cs"/>
          <w:sz w:val="36"/>
          <w:szCs w:val="36"/>
          <w:rtl/>
        </w:rPr>
        <w:t>التلقي</w:t>
      </w:r>
      <w:r w:rsidRPr="00592892">
        <w:rPr>
          <w:rFonts w:ascii="Traditional Arabic" w:eastAsia="Calibri" w:hAnsi="Traditional Arabic" w:cs="Traditional Arabic"/>
          <w:sz w:val="36"/>
          <w:szCs w:val="36"/>
          <w:rtl/>
        </w:rPr>
        <w:t xml:space="preserve"> فيما بينها.</w:t>
      </w:r>
    </w:p>
    <w:p w14:paraId="5F082E6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مثلاً: أليس من أكبر الخلافات التي حصلت في التاريخ الإسلامي هي خلاف العقل والنقل؟ وأنه إذا تعارض العقل والنقل ما الذي يُقدَّم؟ هل يقدَّ العقل أم يقدَّ النقل؟ هذه قضية أخذت مئات السنين في النقاش والجدل وما ترتب عليها من أمور.</w:t>
      </w:r>
    </w:p>
    <w:p w14:paraId="57E95B5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مثلًا: الكشف والإلهام، هل هو مقدَّ على النصوص التفصيلية أم لا؟ هذه أيضا على الأقل بالنسبة لبعض الطوائف أخذت حظًا كبيرًا من النظر.</w:t>
      </w:r>
    </w:p>
    <w:p w14:paraId="2E6219B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ضبط العلاقة بين مصادر المعرفة ومصادر التلقي قضية منهجية من بداية طريق الإنسان المعرفي يجب أن يضبطها وتكون واضحة لديه.</w:t>
      </w:r>
    </w:p>
    <w:p w14:paraId="04810D5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العقل أم النقل؟ أم كلاهما؟ أم هذا ثم هذا، أم هذا ثم هذا، هذه قضية يجب أن تضبط من البداية.</w:t>
      </w:r>
    </w:p>
    <w:p w14:paraId="65E8D116" w14:textId="77777777" w:rsidR="00CA3DFA" w:rsidRPr="00592892" w:rsidRDefault="00CA3DFA" w:rsidP="00CA3DFA">
      <w:pPr>
        <w:spacing w:after="0" w:line="240" w:lineRule="auto"/>
        <w:ind w:left="360" w:hanging="360"/>
        <w:contextualSpacing/>
        <w:jc w:val="both"/>
        <w:outlineLvl w:val="2"/>
        <w:rPr>
          <w:rFonts w:ascii="Traditional Arabic" w:eastAsia="Times New Roman" w:hAnsi="Traditional Arabic" w:cs="Traditional Arabic"/>
          <w:b/>
          <w:bCs/>
          <w:color w:val="0D0D0D"/>
          <w:sz w:val="36"/>
          <w:szCs w:val="36"/>
          <w:rtl/>
        </w:rPr>
      </w:pPr>
      <w:bookmarkStart w:id="14" w:name="_Toc198206246"/>
      <w:bookmarkStart w:id="15" w:name="_Toc198346254"/>
      <w:r w:rsidRPr="00592892">
        <w:rPr>
          <w:rFonts w:ascii="Traditional Arabic" w:eastAsia="Times New Roman" w:hAnsi="Traditional Arabic" w:cs="Traditional Arabic" w:hint="cs"/>
          <w:b/>
          <w:bCs/>
          <w:color w:val="0D0D0D"/>
          <w:sz w:val="36"/>
          <w:szCs w:val="36"/>
          <w:rtl/>
        </w:rPr>
        <w:t>العلاقة بين مصدري العقل والنقل</w:t>
      </w:r>
      <w:bookmarkEnd w:id="14"/>
      <w:bookmarkEnd w:id="15"/>
    </w:p>
    <w:p w14:paraId="2FAA321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إذًا تحتها نقاط، النقطة الأولى: العلاقة بين مصدري العقل والنقل.</w:t>
      </w:r>
    </w:p>
    <w:p w14:paraId="2F4FF12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هل العلاقة بينهما علاقة تكامل أم علاقة توافق؟</w:t>
      </w:r>
    </w:p>
    <w:p w14:paraId="28E21385" w14:textId="77777777" w:rsidR="00CA3DFA" w:rsidRPr="00592892" w:rsidRDefault="00CA3DFA" w:rsidP="00CA3DFA">
      <w:pPr>
        <w:keepNext/>
        <w:spacing w:after="0" w:line="240" w:lineRule="auto"/>
        <w:jc w:val="both"/>
        <w:outlineLvl w:val="3"/>
        <w:rPr>
          <w:rFonts w:ascii="Traditional Arabic" w:eastAsia="Calibri" w:hAnsi="Traditional Arabic" w:cs="Traditional Arabic"/>
          <w:sz w:val="36"/>
          <w:szCs w:val="36"/>
          <w:rtl/>
        </w:rPr>
      </w:pPr>
      <w:r w:rsidRPr="00592892">
        <w:rPr>
          <w:rFonts w:ascii="Traditional Arabic" w:eastAsia="Calibri" w:hAnsi="Traditional Arabic" w:cs="Traditional Arabic" w:hint="cs"/>
          <w:sz w:val="36"/>
          <w:szCs w:val="36"/>
          <w:rtl/>
        </w:rPr>
        <w:t>أول شيء ما معنى التكامل؟</w:t>
      </w:r>
    </w:p>
    <w:p w14:paraId="0413A65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تكمل بعضها.</w:t>
      </w:r>
    </w:p>
    <w:p w14:paraId="00E0327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المقصود بالتكامل: أنهما قد يشتغلان في فضائين مختلفين فتكون المعرفة ناتجة عن مجموع ما اشتغل فيه منهما، وأما التوافق: فيكون في نقاط فيما اشتغل فيه كلاهما في منطقة واحدة، وليس ما اشتغل فيه كل منهما باستقلال.</w:t>
      </w:r>
    </w:p>
    <w:p w14:paraId="33FCCC2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إذًا علاقة التكامل بين المصادر هي </w:t>
      </w:r>
      <w:r w:rsidRPr="00592892">
        <w:rPr>
          <w:rFonts w:ascii="Traditional Arabic" w:eastAsia="Calibri" w:hAnsi="Traditional Arabic" w:cs="Traditional Arabic" w:hint="cs"/>
          <w:sz w:val="36"/>
          <w:szCs w:val="36"/>
          <w:rtl/>
        </w:rPr>
        <w:t>فيما</w:t>
      </w:r>
      <w:r w:rsidRPr="00592892">
        <w:rPr>
          <w:rFonts w:ascii="Traditional Arabic" w:eastAsia="Calibri" w:hAnsi="Traditional Arabic" w:cs="Traditional Arabic"/>
          <w:sz w:val="36"/>
          <w:szCs w:val="36"/>
          <w:rtl/>
        </w:rPr>
        <w:t xml:space="preserve"> اشتغل فيه كل منهما في فضاء يختلف عن الآخر، أليس كذلك؟ وعلاقة التوافق في فيما اشتغل فيه كل منهما في نفس الفضاء.</w:t>
      </w:r>
    </w:p>
    <w:p w14:paraId="0431EF7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المفترض أن أقول: إذا اشتغل النقل في فضاء واشتغل العقل في فضاء آخر، فنأخذ بالفضائين جميعًا لأنّ العلاقة بينهما ليست علاقة نزاع وإنما علاقة تكامل.</w:t>
      </w:r>
    </w:p>
    <w:p w14:paraId="0ABC2C5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إذا اشتغلا في نفس المنطقة، هل نأخذ بالعقل أم بالنقل، أم بكلاهما؟  إذا حصل اشتغال بين العقل والنقل في فضاء واحد، النقل أم العقل؟</w:t>
      </w:r>
    </w:p>
    <w:p w14:paraId="6FFCE23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أجوبة غير مسموعة.</w:t>
      </w:r>
    </w:p>
    <w:p w14:paraId="537F8F2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دائمًا إذا صارت مشكلة أبعِد الناس الطيبين الذين ليس لهم دخل بالمشكلة، الآن العقل والنقل إذا اشتغلوا في منطقة وحدة أكثر القضايا ما فيها تعارض، فبالتالي دعنا نخرج كل نقاط الاتفاق بين العقل والنقل.</w:t>
      </w:r>
    </w:p>
    <w:p w14:paraId="5FA345F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يبقى الآن فقط نقاط معينة يحصل بينها -لا أقول تعارض- وإنما يحصل بينها ما يُقال أو يدعى أو يتوَهم أنه تعارض، إذًا نقطة الخلاف إذا اشتغل العقل والنقل في مركز واحد نقطة الخلاف هي حال التوافق أم حال التعارض؟  نقطة الإشكال حال التعارض.</w:t>
      </w:r>
    </w:p>
    <w:p w14:paraId="15C1336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الآن العقل والنقل حين يشتغل كل منهما في فضاء هذه القضية واضحة صح؟ هذا يشتغل بفضاء وهذا يشتغل بفضاء لا تنازع إذًا تكامل، إذا يمكن أن يفيدني العقل أشياء لم يفد بها الشرع، في مشكلة؟ لا ما في مشكلة. ويمكن أن يفيدني الشرع في أشياء لم يفد بها العقل، في مشكلة؟ لا ما في مشكلة.</w:t>
      </w:r>
    </w:p>
    <w:p w14:paraId="2FDD181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إذًا هذه أول نقطة نزاع أبعدناها في خصام العقل والنقل.</w:t>
      </w:r>
    </w:p>
    <w:p w14:paraId="4FF1C38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طيب فيما يشتغل فيه كلاهما في نفس المنطقة، العقل يعمل هنا والنقل يعمل هنا عندنا حالتان: حالة وفاق وحالة تعارض، حالة الوفاق نفس القسم الأول الحمد لله رب العالمين الأمور تمام، بقي حالة التعارض أو ما يتوهم أنه تعارض.</w:t>
      </w:r>
    </w:p>
    <w:p w14:paraId="08E7137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دعوني أذكر لكم نموذجًا في التاريخ الإسلامي حتى ندرك حجم القضية:</w:t>
      </w:r>
    </w:p>
    <w:p w14:paraId="23E1CA7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الفخر الرازي كتب قانونًا سماه قانونًا كليًا في هذه القضية -نحن الآن لدينا ثلاث صور هو يتكلم عن الحالة الثالثة التي هي حالة التعارض، يشتغلوا مع بعض ويتعارضوا- قال: "إذا تعارض العقل والنقل فالقسمة المنطقية تقول عندنا أربع احتمالات: أن تأخذ بهما جميعًا، أن نردهما جميعًا، أو تقدم النقل على العقل، وتقدم العقل على النقل".</w:t>
      </w:r>
    </w:p>
    <w:p w14:paraId="2822019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هذه أربعة أقسام منطقية. ثم أخذ يفند هذه الأقسام، فيقول: "إذا أخذناهما جميعًا، أخذنا بين متضادين أو متناقضين وهذا لا يكون، وإذا رددناهما جميعًا رفعنا المتناقضين وهذا لا يسوغ، وإذا قدمنا النقل على العقل هذا لا يسوغ لأن العقل هو الذي دلّ على النقل إذا تقدم العقل على النقل"، هذا الآن قانون الرازي.</w:t>
      </w:r>
    </w:p>
    <w:p w14:paraId="3BA3D21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جاء ابن تيمية في كتاب (درء تعارض العقل والنقل) قال له يا ابن الخطيب الري -الذي هو الرازي- أنا عندي مشكلة أصلًا في حصر القسمة المنطقية بأربعة، يوجد أقسام ثانية أنت ما ذكرتها.</w:t>
      </w:r>
    </w:p>
    <w:p w14:paraId="16BF030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قال ابن تيمية: </w:t>
      </w:r>
      <w:r w:rsidRPr="00485401">
        <w:rPr>
          <w:rFonts w:ascii="Traditional Arabic" w:eastAsia="Calibri" w:hAnsi="Traditional Arabic" w:cs="Traditional Arabic" w:hint="cs"/>
          <w:color w:val="4F6228"/>
          <w:sz w:val="36"/>
          <w:szCs w:val="36"/>
          <w:rtl/>
        </w:rPr>
        <w:t>(</w:t>
      </w:r>
      <w:r w:rsidRPr="00592892">
        <w:rPr>
          <w:rFonts w:ascii="Traditional Arabic" w:eastAsia="Calibri" w:hAnsi="Traditional Arabic" w:cs="Traditional Arabic"/>
          <w:color w:val="4F6228"/>
          <w:sz w:val="36"/>
          <w:szCs w:val="36"/>
          <w:rtl/>
        </w:rPr>
        <w:t>قد يكون التعارض ليس بين العقل المطلق والنقل المطلق، أو العقل الصحيح والنقل الصحيح، قد يكون التعارض بين عقل ظني ونقل قطعي أو بين نقل قطعي وعقل ظني وبالتالي نقول: إذا تعارض العقل والنقل يقدم القطعي منهما سواء أكان عقليًا أم نقليًا، وأما أن يكون أن يكونا قطعيين متعارضان فهذا لا يكون</w:t>
      </w:r>
      <w:r w:rsidRPr="00485401">
        <w:rPr>
          <w:rFonts w:ascii="Traditional Arabic" w:eastAsia="Calibri" w:hAnsi="Traditional Arabic" w:cs="Traditional Arabic" w:hint="cs"/>
          <w:color w:val="4F6228"/>
          <w:sz w:val="36"/>
          <w:szCs w:val="36"/>
          <w:rtl/>
        </w:rPr>
        <w:t>)</w:t>
      </w:r>
      <w:r w:rsidRPr="00592892">
        <w:rPr>
          <w:rFonts w:ascii="Traditional Arabic" w:eastAsia="Calibri" w:hAnsi="Traditional Arabic" w:cs="Traditional Arabic"/>
          <w:sz w:val="36"/>
          <w:szCs w:val="36"/>
          <w:vertAlign w:val="superscript"/>
          <w:rtl/>
        </w:rPr>
        <w:footnoteReference w:id="15"/>
      </w:r>
      <w:r w:rsidRPr="00592892">
        <w:rPr>
          <w:rFonts w:ascii="Traditional Arabic" w:eastAsia="Calibri" w:hAnsi="Traditional Arabic" w:cs="Traditional Arabic"/>
          <w:sz w:val="36"/>
          <w:szCs w:val="36"/>
          <w:rtl/>
        </w:rPr>
        <w:t>.</w:t>
      </w:r>
    </w:p>
    <w:p w14:paraId="38E44BD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وهذا القول هو الأصحّ، وهو أنه إذا قيل أو ادعي أن العقل يتعارض مع النقل فالتصرف الصحيح هو التعامل بمبدأ القطعي والظني وتعمم على بقية المصادر، إذا تعارض الحس والنقل الحس والشرع، نظرية علمية ونص قرآني أو نص نبوي يُتعامل معها بنفس المبدأ يقدَّم القطعي على الظني، أما قطعيان فلا يمكن أن يتعارضا.</w:t>
      </w:r>
    </w:p>
    <w:p w14:paraId="293E02D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وهذا ادعاء يعني يمكن أن يطلق بشكل عام ويمكن أن يطلق بشكل تفصيلي، يعني نفسه ابن تيمية في الكتاب أطلقه بالصورتين بالصورة العامة بالصورة التفصيلية.</w:t>
      </w:r>
    </w:p>
    <w:p w14:paraId="4B00EC5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الصورة التفصيلية قال: أعطوني الذي عندكم بالضبط تقولوا أنه قطعي عقلي يتعارض مع قطعي نقلي وأنا أحله.</w:t>
      </w:r>
    </w:p>
    <w:p w14:paraId="7D77C2C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نفس الشي اليوم هاتوا نظرية علمية قطعية، قطعية ليست نسبة صحتها 95% يعني 100% وتعارض نصًا قرآنيًا دلالته قطعية 100%، يوجد نظرية دارون مثلا ليست مئة بالمئة -بغض النظر عن صحتها من خطأها- الآن نفترض أنها صحيحة، لكن كونها صحيحة لا يعني أنها قطعية.</w:t>
      </w:r>
    </w:p>
    <w:p w14:paraId="76796D0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فالعلاقة بين مصادر التلقي الشرعية أو بين المصادر المعرفية من حيث التعارض أو من حيث الاشتغال في نفس المنطقة هي علاقة التوافق، وأما إذا وجد التعارض فيتعامل معه بمبدأ القطعي والظني فيقدَّم العقل القطعي على النقل الظني لا باعتبار كونه عقليًا وإما باعتبار كونه قطعياً؛ ويقدم النقل القطعي على العقل الظني لا باعتبار كونه نقلًا مجردًا وإنما باعتبار كونه قطعيًا.</w:t>
      </w:r>
    </w:p>
    <w:p w14:paraId="2B5923E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فصارت القسمة الرباعي التي ذكرها الرازي غير حاصرة، لأنه يمكن أن يقدم شيء على شيء لا باعتبار كونه عقليًا ولا باعتبار كونه نقليًا وإنما باعتبار كونه قطعيًا أو ظنيًا، وهذه طبعًا عبقرية، الكتاب عشرة مجلدات كله في نقاش أو يحوم حول هذه الفكرة.</w:t>
      </w:r>
    </w:p>
    <w:p w14:paraId="15C4085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على أية حال هذه نقطة مهمة جدًا في العلاقة بين مصادر المعرفة ومصادر التلقي التكامل أو التوافق، عرفنا التكامل أين يشتغل، وعرفنا التوافق أين يشتغل.</w:t>
      </w:r>
    </w:p>
    <w:p w14:paraId="1C81229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سؤال غير مسموع من طالب.</w:t>
      </w:r>
    </w:p>
    <w:p w14:paraId="2118AFA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كانت النقطة الخلافية بين الرازي وبين ابن تيمية في هذا الفضاء، كانت النقطة هي فيما يتعلق بالقضايا العقدية المرتبطة بالأسماء والصفات -أنا لا أريد أن أدخل في هذه المنطقة لكن فقط من باب المثال، ولن أذكر نصًا تفصيليًا- دعنا نأتي إلى قضية المعتزلة وهي تنتمي إلى نفس الفضاء التي ذكرتها قبل قليل، هي قضية أن اعتقاد أن منظومة معرفية معينة تنتمي إلى فضاء العقل لا توصل إلا إلى نتائج قطعية وبهذا الاعتبار قدم العقل على النقل.</w:t>
      </w:r>
    </w:p>
    <w:p w14:paraId="4B18823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فمثلاً الاستدلال على كل ما يتعلق بقانون الصفات الإلهية، ما الذي ينبغي أن يتصف الله به؟ وما الذي ينبغي </w:t>
      </w:r>
      <w:r w:rsidRPr="00592892">
        <w:rPr>
          <w:rFonts w:ascii="Traditional Arabic" w:eastAsia="Calibri" w:hAnsi="Traditional Arabic" w:cs="Traditional Arabic" w:hint="cs"/>
          <w:sz w:val="36"/>
          <w:szCs w:val="36"/>
          <w:rtl/>
        </w:rPr>
        <w:t>ألا</w:t>
      </w:r>
      <w:r w:rsidRPr="00592892">
        <w:rPr>
          <w:rFonts w:ascii="Traditional Arabic" w:eastAsia="Calibri" w:hAnsi="Traditional Arabic" w:cs="Traditional Arabic"/>
          <w:sz w:val="36"/>
          <w:szCs w:val="36"/>
          <w:rtl/>
        </w:rPr>
        <w:t xml:space="preserve"> يتصف به؟ </w:t>
      </w:r>
    </w:p>
    <w:p w14:paraId="0648A0A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المعتزلة مثلًا وصلوا إلى نتائج معينة متعلقة بما يليق بالله وما لا يليق به، هذه النتائج وصلوا إليها بناء على استدلالات عقلية فلسفية معينة. جيد؟</w:t>
      </w:r>
    </w:p>
    <w:p w14:paraId="2B47AEE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هذه نتيجتها مثلًا أنّ القرآن مخلوق، كثير من الناس لا يعرف لماذا صارت فتنة الإمام أحمد وأن القرآن مخلوق هي بهذا الاعتبار، طبعًا في تفسير سياسي آخر لها وهو تفسير غير صحيح ومن ليس مقتنع بعدم صحته يقرأ (التأويل الحداثي للتراث) للشيخ إبراهيم السكران.</w:t>
      </w:r>
    </w:p>
    <w:p w14:paraId="780DF9BB"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لكن هنا هذا الاستدلال ممنهج، يعني طويل جدًا ومبني على مقدمات عقلية كثيرة توصل إلى نتيجة أنه لا ينبغي أن يكون الله متكلمًا، فإذا قلت أن القرآن كلام الله معناه أن الله تكلم به، إذا القرآن مخلوق وليس مُنزلًا.</w:t>
      </w:r>
    </w:p>
    <w:p w14:paraId="4B327A0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هذه الآن نتيجة بالنسبة لهم قطعية، لما تأتي إلى القرآن </w:t>
      </w:r>
      <w:r w:rsidRPr="00592892">
        <w:rPr>
          <w:rFonts w:ascii="Traditional Arabic" w:eastAsia="Calibri" w:hAnsi="Traditional Arabic" w:cs="Traditional Arabic"/>
          <w:color w:val="385623" w:themeColor="accent6" w:themeShade="80"/>
          <w:sz w:val="36"/>
          <w:szCs w:val="36"/>
          <w:rtl/>
        </w:rPr>
        <w:t>{حَتَّى يَسْمَعَ كَلامَ اللَّهِ}</w:t>
      </w:r>
      <w:r w:rsidRPr="00592892">
        <w:rPr>
          <w:rFonts w:ascii="Traditional Arabic" w:eastAsia="Calibri" w:hAnsi="Traditional Arabic" w:cs="Traditional Arabic"/>
          <w:sz w:val="36"/>
          <w:szCs w:val="36"/>
          <w:vertAlign w:val="superscript"/>
          <w:rtl/>
        </w:rPr>
        <w:footnoteReference w:id="16"/>
      </w:r>
      <w:r w:rsidRPr="00592892">
        <w:rPr>
          <w:rFonts w:ascii="Traditional Arabic" w:eastAsia="Calibri" w:hAnsi="Traditional Arabic" w:cs="Traditional Arabic"/>
          <w:sz w:val="36"/>
          <w:szCs w:val="36"/>
          <w:rtl/>
        </w:rPr>
        <w:t xml:space="preserve"> أو الآيات التي فيها أن الله كلم موسى: </w:t>
      </w:r>
      <w:r w:rsidRPr="00592892">
        <w:rPr>
          <w:rFonts w:ascii="Traditional Arabic" w:eastAsia="Calibri" w:hAnsi="Traditional Arabic" w:cs="Traditional Arabic"/>
          <w:color w:val="385623" w:themeColor="accent6" w:themeShade="80"/>
          <w:sz w:val="36"/>
          <w:szCs w:val="36"/>
          <w:rtl/>
        </w:rPr>
        <w:t>{وَكَلَّمَ اللَّهُ مُوسَى تَكْلِيمًا}</w:t>
      </w:r>
      <w:r w:rsidRPr="00592892">
        <w:rPr>
          <w:rFonts w:ascii="Traditional Arabic" w:eastAsia="Calibri" w:hAnsi="Traditional Arabic" w:cs="Traditional Arabic"/>
          <w:sz w:val="36"/>
          <w:szCs w:val="36"/>
          <w:vertAlign w:val="superscript"/>
          <w:rtl/>
        </w:rPr>
        <w:footnoteReference w:id="17"/>
      </w:r>
      <w:r w:rsidRPr="00592892">
        <w:rPr>
          <w:rFonts w:ascii="Traditional Arabic" w:eastAsia="Calibri" w:hAnsi="Traditional Arabic" w:cs="Traditional Arabic"/>
          <w:sz w:val="36"/>
          <w:szCs w:val="36"/>
          <w:rtl/>
        </w:rPr>
        <w:t>.</w:t>
      </w:r>
    </w:p>
    <w:p w14:paraId="6A7FA15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هو الآن يقول لك الدلالات هذه ظنية، فأنا أقدم العقل القطعي الذي هو غير مبني على أدلة قرآنية ولا شيء بل مبني على استدلالات كلامية معينة، أنا أقدم هذه النتيجة على هذه الآيات. طيب القرآن قطعي؟ يرد طبعا القرآن قطعي، لكنه قطعي من حيث الثبوت، لكن من حيث الدلالة ليس قطعياً. إذا أنا مستعد أن أؤول وأتعامل مع كل الآيات التي تتكلم في هذا الفضاء بناءً على مبدأ العقل القطعي.</w:t>
      </w:r>
    </w:p>
    <w:p w14:paraId="3D5CDDF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hint="cs"/>
          <w:sz w:val="36"/>
          <w:szCs w:val="36"/>
          <w:rtl/>
        </w:rPr>
        <w:t>طيب أعطونا الأحاديث التي فيها أن الله تكلم، يقولون لا هنا يأتي موضوع القطعي والظني، يدعون أن هذه النتيجة التي توصلوا لها قطعية والأحاديث ظنية خاصة إذا كانت في العقائد بناءً على قولهم أنها ظنية إذا لا يؤخذ بها.</w:t>
      </w:r>
    </w:p>
    <w:p w14:paraId="2EBD483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هذا مثال على تقديم العقل، عندما حصل نقاش في التراث من مدارس مختلفة، كانت واحدة من المعطيات الأساسية هي أنه: من قال لكم أنّ كل ما ينتمي إلى فضاء العقل فهو قطعي؟ -بغض النظر عن صحته من ضعفه- من قال أنّ النتيجة التي وصلت إليها مبنية على مقدمات قطعية؟ من الذي يقول؟ يقول لك عقلي فتجيبه ومن قال لك أن العقل كل ما ينتجه قطعي. يعني هذا مثال على القضية.</w:t>
      </w:r>
    </w:p>
    <w:p w14:paraId="2E894CBD"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طالب: هل يمكن أن يكون تعارض بين عقلي ظني ونقلي ظني؟</w:t>
      </w:r>
    </w:p>
    <w:p w14:paraId="6451BCC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الشيخ: نعم، وهنا يكون الترجيح بالقرائن.</w:t>
      </w:r>
    </w:p>
    <w:p w14:paraId="2EC53C5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وهذه ذكرها أيضا في درء التعارض، أنه قد يكون التعارض بين ظنيين، فيعمل بالقرائن الخارجية المحيطة، التي هي: ما مقدار الظن هنا؟ وما مقدار الدلالات المحيطة؟ المرجحات دائمًا لها اعتبارات كثيرة.</w:t>
      </w:r>
    </w:p>
    <w:p w14:paraId="5FA8F26E" w14:textId="77777777" w:rsidR="00CA3DFA"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مثلًا في الحديث مثلاً لما يصير في خلاف بين حديثين، مثلًا ابن الصلاح في علوم الحديث يقول: "وجوه الترجيح ستين وجههًا". كثير منها أصلاً راجع إلى قضايا إسنادية تفصيلية فوجوه الترجيح أخرى. لكن إذا تعارض ظنيان يعمل بالقرائن فيرجح أحدهما.</w:t>
      </w:r>
    </w:p>
    <w:p w14:paraId="6F69467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p>
    <w:p w14:paraId="34C141A3" w14:textId="77777777" w:rsidR="00CA3DFA" w:rsidRPr="00592892" w:rsidRDefault="00CA3DFA" w:rsidP="00CA3DFA">
      <w:pPr>
        <w:pStyle w:val="ad"/>
        <w:jc w:val="both"/>
        <w:rPr>
          <w:rtl/>
          <w:lang w:val="ar-SA"/>
        </w:rPr>
      </w:pPr>
      <w:bookmarkStart w:id="16" w:name="_Toc198206247"/>
      <w:bookmarkStart w:id="17" w:name="_Toc198346255"/>
      <w:r w:rsidRPr="00592892">
        <w:rPr>
          <w:rFonts w:hint="cs"/>
          <w:rtl/>
          <w:lang w:val="ar-SA"/>
        </w:rPr>
        <w:t>التنبيهات المنهجية</w:t>
      </w:r>
      <w:bookmarkEnd w:id="16"/>
      <w:bookmarkEnd w:id="17"/>
    </w:p>
    <w:p w14:paraId="74FFCE2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طيب نأتي للتنبيهات المنهجية حتى نختم وبعدين يكون في مجال للنقاش.</w:t>
      </w:r>
    </w:p>
    <w:p w14:paraId="14956486" w14:textId="77777777" w:rsidR="00CA3DFA" w:rsidRPr="00592892" w:rsidRDefault="00CA3DFA" w:rsidP="00CA3DFA">
      <w:pPr>
        <w:numPr>
          <w:ilvl w:val="0"/>
          <w:numId w:val="30"/>
        </w:numPr>
        <w:spacing w:after="0" w:line="240" w:lineRule="auto"/>
        <w:ind w:left="368" w:hanging="368"/>
        <w:contextualSpacing/>
        <w:jc w:val="both"/>
        <w:rPr>
          <w:rFonts w:ascii="Traditional Arabic" w:eastAsia="Calibri" w:hAnsi="Traditional Arabic" w:cs="Traditional Arabic"/>
          <w:sz w:val="36"/>
          <w:szCs w:val="36"/>
          <w:rtl/>
        </w:rPr>
      </w:pPr>
      <w:r>
        <w:rPr>
          <w:rFonts w:ascii="Traditional Arabic" w:eastAsia="Calibri" w:hAnsi="Traditional Arabic" w:cs="Traditional Arabic" w:hint="cs"/>
          <w:b/>
          <w:bCs/>
          <w:sz w:val="36"/>
          <w:szCs w:val="36"/>
          <w:rtl/>
        </w:rPr>
        <w:t xml:space="preserve"> </w:t>
      </w:r>
      <w:r w:rsidRPr="00592892">
        <w:rPr>
          <w:rFonts w:ascii="Traditional Arabic" w:eastAsia="Calibri" w:hAnsi="Traditional Arabic" w:cs="Traditional Arabic"/>
          <w:b/>
          <w:bCs/>
          <w:sz w:val="36"/>
          <w:szCs w:val="36"/>
          <w:rtl/>
        </w:rPr>
        <w:t>التنبيه الأول:</w:t>
      </w:r>
      <w:r w:rsidRPr="00592892">
        <w:rPr>
          <w:rFonts w:ascii="Traditional Arabic" w:eastAsia="Calibri" w:hAnsi="Traditional Arabic" w:cs="Traditional Arabic"/>
          <w:sz w:val="36"/>
          <w:szCs w:val="36"/>
          <w:rtl/>
        </w:rPr>
        <w:t xml:space="preserve"> هو أنّ الإسلام يقرر أنّ وجود المصدر المعرفي الصحيح لا يقتضي امتثال هذه المعرفة من جهة المتلقي.</w:t>
      </w:r>
    </w:p>
    <w:p w14:paraId="423E29F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وهذه قاعدة قد تقول أنها بديهية ولكنها قاعدة أساسية ومهمة وتفسر كثير من الأشياء التي حصلت على مرّ التاريخ وتفسر كثير من الأشياء التي حصلت اليوم.</w:t>
      </w:r>
    </w:p>
    <w:p w14:paraId="65DBE468"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وجود المصدر المعرفي الصحيح لا يقتضي وجود الامتثال لمقتضى هذا المصدر، لما يفيده هذا المصدر، للمعرفة الموجودة في هذا المصدر.</w:t>
      </w:r>
    </w:p>
    <w:p w14:paraId="3FD64C2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ما الذي منع مشركي قريش من أن يتبعوا المصدر المعرفي الأعظم الصحيح المنير الذي كان أمامهم وهو النبي ﷺ؟ </w:t>
      </w:r>
    </w:p>
    <w:p w14:paraId="1B34ADB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لم يكن نقص الحجة، ولم يكن نقص البيان، ولم يكن نقص الأسلوب، ولم يكن الغلظة في الخطاب، وإنما كانت الإشكالية هي وجود موانع ذاتية شخصية تمنع من امتثال الحق. مصدر معرفي موجود أم غير موجود؟ أكمل مصدر معرفي يمكن أن يكون موجود من جهة البشر، ولكن يوجد موانع،</w:t>
      </w:r>
    </w:p>
    <w:p w14:paraId="4EF82F40"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مُدَّ هذا على كل ما تراه حولك. نأخذها بصورة بسيطة جدًا، هل يوجد مدخن اليوم لا يعرف أنّ الدخان مضر؟</w:t>
      </w:r>
    </w:p>
    <w:p w14:paraId="22397CD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lastRenderedPageBreak/>
        <w:t xml:space="preserve">لا يوجد، الأصل أنه الكل يعرف والأصل أنّ تسعة وتسعين بالمئة من المدخنين مقتنعين بأنّ الدخان مضر، يمكن في ناس يقول لك أصلًا مو مضر أنا أتكلم </w:t>
      </w:r>
      <w:r w:rsidRPr="00592892">
        <w:rPr>
          <w:rFonts w:ascii="Traditional Arabic" w:eastAsia="Calibri" w:hAnsi="Traditional Arabic" w:cs="Traditional Arabic" w:hint="cs"/>
          <w:sz w:val="36"/>
          <w:szCs w:val="36"/>
          <w:rtl/>
        </w:rPr>
        <w:t>عمن</w:t>
      </w:r>
      <w:r w:rsidRPr="00592892">
        <w:rPr>
          <w:rFonts w:ascii="Traditional Arabic" w:eastAsia="Calibri" w:hAnsi="Traditional Arabic" w:cs="Traditional Arabic"/>
          <w:sz w:val="36"/>
          <w:szCs w:val="36"/>
          <w:rtl/>
        </w:rPr>
        <w:t xml:space="preserve"> يدخن وهو يعلم أنه مضر.</w:t>
      </w:r>
    </w:p>
    <w:p w14:paraId="1276649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فكرة عدم تركه للتدخين، هل الفكرة إشكالها معرفي يعني عدم المعرفة أم أن إشكالها سلوكي؟ - سلوكي.</w:t>
      </w:r>
    </w:p>
    <w:p w14:paraId="62FD1E89"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هذه القضية مهمة جدًا جدًا في التعامل مع القضايا التي تخالف الحق، ليست المشكلة دائمًا في عدم وضوح المصدر، ليست المشكلة دائمًا في عدم بيان المصدر المشكلة كثيرًا ما تكون هي في المتلقي من جهة الاستعداد أو عدم الاستعداد.</w:t>
      </w:r>
    </w:p>
    <w:p w14:paraId="2389646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والآية القرآنية الملخصة لهذا المعنى قول الله سبحانه وتعالى </w:t>
      </w:r>
      <w:r w:rsidRPr="00592892">
        <w:rPr>
          <w:rFonts w:ascii="Traditional Arabic" w:eastAsia="Calibri" w:hAnsi="Traditional Arabic" w:cs="Traditional Arabic"/>
          <w:color w:val="385623" w:themeColor="accent6" w:themeShade="80"/>
          <w:sz w:val="36"/>
          <w:szCs w:val="36"/>
          <w:rtl/>
        </w:rPr>
        <w:t>{فَإِنْ لَمْ يَسْتَجِيبُوا لَكَ فَاعْلَمْ أَنَّمَا يَتَّبِعُونَ أَهْوَاءَهُمْ}</w:t>
      </w:r>
      <w:r w:rsidRPr="00592892">
        <w:rPr>
          <w:rFonts w:ascii="Traditional Arabic" w:eastAsia="Calibri" w:hAnsi="Traditional Arabic" w:cs="Traditional Arabic"/>
          <w:sz w:val="36"/>
          <w:szCs w:val="36"/>
          <w:vertAlign w:val="superscript"/>
          <w:rtl/>
        </w:rPr>
        <w:footnoteReference w:id="18"/>
      </w:r>
      <w:r w:rsidRPr="00592892">
        <w:rPr>
          <w:rFonts w:ascii="Traditional Arabic" w:eastAsia="Calibri" w:hAnsi="Traditional Arabic" w:cs="Traditional Arabic"/>
          <w:sz w:val="36"/>
          <w:szCs w:val="36"/>
          <w:rtl/>
        </w:rPr>
        <w:t>، أهواءهم هذه كلمة تدخل فيها اتباع الآباء، التقليد والتعصب له، المنزلة والمكانة والجاه والشرف، كلها تدخل تحت كلمة أ</w:t>
      </w:r>
      <w:r w:rsidRPr="00592892">
        <w:rPr>
          <w:rFonts w:ascii="Traditional Arabic" w:eastAsia="Calibri" w:hAnsi="Traditional Arabic" w:cs="Traditional Arabic"/>
          <w:color w:val="385623" w:themeColor="accent6" w:themeShade="80"/>
          <w:sz w:val="36"/>
          <w:szCs w:val="36"/>
          <w:rtl/>
        </w:rPr>
        <w:t>{أَهْوَاءَهُمْ}.</w:t>
      </w:r>
    </w:p>
    <w:p w14:paraId="68DCCBAE"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اليوم نفس الشيء، ليس إلحاد من ألحد، أو انحراف من انحرف، أو إشكال من حصل عنده إشكال، ليس بالضرورة أن يكون بسبب المصدر المعرفي، وإنما قد يكون يسبب الاستعداد.</w:t>
      </w:r>
    </w:p>
    <w:p w14:paraId="797EC85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هل يمكن أن يكون المصدر المعرفي سببًا لابتعاد المتلقي؟ نعم.</w:t>
      </w:r>
    </w:p>
    <w:p w14:paraId="0FD9CF8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هل يمكن أن يكون فتنة؟ نعم</w:t>
      </w:r>
    </w:p>
    <w:p w14:paraId="31FA96C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هل يمكن أن يزيد في الضلالة؟ نعم.</w:t>
      </w:r>
    </w:p>
    <w:p w14:paraId="75762C7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يعني بحسب أسلوبه، بحسب طريقته بحسب بيانه، بحسب إلى آخره.</w:t>
      </w:r>
    </w:p>
    <w:p w14:paraId="519601CA" w14:textId="77777777" w:rsidR="00CA3DFA" w:rsidRPr="00592892" w:rsidRDefault="00CA3DFA" w:rsidP="00CA3DFA">
      <w:pPr>
        <w:numPr>
          <w:ilvl w:val="0"/>
          <w:numId w:val="30"/>
        </w:numPr>
        <w:spacing w:after="0" w:line="240" w:lineRule="auto"/>
        <w:ind w:left="368" w:hanging="368"/>
        <w:contextualSpacing/>
        <w:jc w:val="both"/>
        <w:rPr>
          <w:rFonts w:ascii="Traditional Arabic" w:eastAsia="Calibri" w:hAnsi="Traditional Arabic" w:cs="Traditional Arabic"/>
          <w:b/>
          <w:bCs/>
          <w:sz w:val="36"/>
          <w:szCs w:val="36"/>
          <w:rtl/>
        </w:rPr>
      </w:pPr>
      <w:r>
        <w:rPr>
          <w:rFonts w:ascii="Traditional Arabic" w:eastAsia="Calibri" w:hAnsi="Traditional Arabic" w:cs="Traditional Arabic" w:hint="cs"/>
          <w:b/>
          <w:bCs/>
          <w:sz w:val="36"/>
          <w:szCs w:val="36"/>
          <w:rtl/>
        </w:rPr>
        <w:t xml:space="preserve"> </w:t>
      </w:r>
      <w:r w:rsidRPr="00592892">
        <w:rPr>
          <w:rFonts w:ascii="Traditional Arabic" w:eastAsia="Calibri" w:hAnsi="Traditional Arabic" w:cs="Traditional Arabic"/>
          <w:b/>
          <w:bCs/>
          <w:sz w:val="36"/>
          <w:szCs w:val="36"/>
          <w:rtl/>
        </w:rPr>
        <w:t xml:space="preserve">القاعدة المنهجية الثانية: </w:t>
      </w:r>
      <w:r w:rsidRPr="00592892">
        <w:rPr>
          <w:rFonts w:ascii="Traditional Arabic" w:eastAsia="Calibri" w:hAnsi="Traditional Arabic" w:cs="Traditional Arabic"/>
          <w:sz w:val="36"/>
          <w:szCs w:val="36"/>
          <w:rtl/>
        </w:rPr>
        <w:t>هي أنّ المراهنة في الشريعة فيما يتعلق بالمعرفة هي على العمل والامتثال وليست على مجرد المعرفة.</w:t>
      </w:r>
    </w:p>
    <w:p w14:paraId="02CF93C1" w14:textId="77777777" w:rsidR="00CA3DFA" w:rsidRPr="00592892" w:rsidRDefault="00CA3DFA" w:rsidP="00CA3DFA">
      <w:pPr>
        <w:spacing w:after="0" w:line="240" w:lineRule="auto"/>
        <w:jc w:val="both"/>
        <w:rPr>
          <w:rFonts w:ascii="Traditional Arabic" w:eastAsia="Calibri" w:hAnsi="Traditional Arabic" w:cs="Traditional Arabic"/>
          <w:b/>
          <w:bCs/>
          <w:sz w:val="36"/>
          <w:szCs w:val="36"/>
        </w:rPr>
      </w:pPr>
      <w:r w:rsidRPr="00592892">
        <w:rPr>
          <w:rFonts w:ascii="Traditional Arabic" w:eastAsia="Calibri" w:hAnsi="Traditional Arabic" w:cs="Traditional Arabic"/>
          <w:sz w:val="36"/>
          <w:szCs w:val="36"/>
          <w:rtl/>
        </w:rPr>
        <w:t>التأكيد والمراهنة في الشريعة على قضية امتثال المعرفة وليست على قضية وجود المعرفة، التسليم من ثم الامتثال، العمل التابع عن التسليم.</w:t>
      </w:r>
    </w:p>
    <w:p w14:paraId="7063FFC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بمعنى: بعض الطوائف الإسلامية في التاريخ الإسلامي صرفت جُلّ وقتها في إثبات وجود الله سبحانه وتعالى عن طريق طرق عقلية معينة، وبعضهم حصر قضية الإيمان أو التوحيد في هذا المعنى، لكن هذه النتيجة التي تريد أن تصل إليها بعد كثير من الدراسات إبليس كان وصل لها </w:t>
      </w:r>
      <w:r w:rsidRPr="00592892">
        <w:rPr>
          <w:rFonts w:ascii="Traditional Arabic" w:eastAsia="Calibri" w:hAnsi="Traditional Arabic" w:cs="Traditional Arabic"/>
          <w:sz w:val="36"/>
          <w:szCs w:val="36"/>
          <w:rtl/>
        </w:rPr>
        <w:lastRenderedPageBreak/>
        <w:t>من زمان إبليس، واصل من زمان من قبل ما تخلق إلى أن الله موجود، ولكن إبليس إبليس، ومكانه معروف.</w:t>
      </w:r>
    </w:p>
    <w:p w14:paraId="47580C4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لأنّ القضية ليست المعرفة في الشريعة هي بوابة للعمل، محلها أنها بوابة، محلها أنها وسيلة، محلها أنها طريق إلى؛ أما مجرد الاعتراف بوجود الله أو الاعتراف لنبيه محمد ﷺ بالرسالة فهذا المعنى لا ينجي من النار.</w:t>
      </w:r>
    </w:p>
    <w:p w14:paraId="17DCA763"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المعنى الذي ينجي من النار هو الاتباع </w:t>
      </w:r>
      <w:r w:rsidRPr="00592892">
        <w:rPr>
          <w:rFonts w:ascii="Traditional Arabic" w:eastAsia="Calibri" w:hAnsi="Traditional Arabic" w:cs="Traditional Arabic"/>
          <w:color w:val="385623" w:themeColor="accent6" w:themeShade="80"/>
          <w:sz w:val="36"/>
          <w:szCs w:val="36"/>
          <w:rtl/>
        </w:rPr>
        <w:t>{فَلا وَرَبِّكَ لا يُؤْمِنُونَ حَتَّى يُحَكِّمُوكَ فِيمَا شَجَرَ بَيْنَهُمْ ثُمَّ لا يَجِدُوا فِي أَنْفُسِهِمْ حَرَجًا مِمَّا قَضَيْتَ وَيُسَلِّمُوا تَسْلِيمًا}</w:t>
      </w:r>
      <w:r w:rsidRPr="00592892">
        <w:rPr>
          <w:rFonts w:ascii="Traditional Arabic" w:eastAsia="Calibri" w:hAnsi="Traditional Arabic" w:cs="Traditional Arabic"/>
          <w:color w:val="385623" w:themeColor="accent6" w:themeShade="80"/>
          <w:sz w:val="36"/>
          <w:szCs w:val="36"/>
          <w:vertAlign w:val="superscript"/>
          <w:rtl/>
        </w:rPr>
        <w:footnoteReference w:id="19"/>
      </w:r>
      <w:r w:rsidRPr="00592892">
        <w:rPr>
          <w:rFonts w:ascii="Traditional Arabic" w:eastAsia="Calibri" w:hAnsi="Traditional Arabic" w:cs="Traditional Arabic"/>
          <w:sz w:val="36"/>
          <w:szCs w:val="36"/>
          <w:rtl/>
        </w:rPr>
        <w:t>.</w:t>
      </w:r>
    </w:p>
    <w:p w14:paraId="070E4A6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وفي البخاري حديث أسماء: </w:t>
      </w:r>
      <w:r w:rsidRPr="00592892">
        <w:rPr>
          <w:rFonts w:ascii="Traditional Arabic" w:eastAsia="Calibri" w:hAnsi="Traditional Arabic" w:cs="Traditional Arabic"/>
          <w:color w:val="984806"/>
          <w:sz w:val="36"/>
          <w:szCs w:val="36"/>
          <w:rtl/>
        </w:rPr>
        <w:t>"فَأُوحِيَ إلَيَّ: أنَّكُمْ تُفْتَنُونَ في قُبُورِكُمْ مِثْلَ أوْ قَرِيبَ مِن فِتْنَةِ المَسِيحِ الدَّجَّالِ، يُقَالُ ما عِلْمُكَ بهذا الرَّجُلِ؟ فأمَّا المُؤْمِنُ أوِ المُوقِنُ فيَقولُ: هو مُحَمَّدٌ رَسولُ اللَّهِ، جَاءَنَا بالبَيِّنَاتِ والهُدَى، فأجَبْنَا واتَّبَعْنَا"</w:t>
      </w:r>
      <w:r w:rsidRPr="00592892">
        <w:rPr>
          <w:rFonts w:ascii="Traditional Arabic" w:eastAsia="Calibri" w:hAnsi="Traditional Arabic" w:cs="Traditional Arabic"/>
          <w:sz w:val="36"/>
          <w:szCs w:val="36"/>
          <w:rtl/>
        </w:rPr>
        <w:t xml:space="preserve">. "أجبنا" معرفة تصديق، و"اتبعنا" عمل وسلوك وتسليم، </w:t>
      </w:r>
      <w:r w:rsidRPr="005F2E25">
        <w:rPr>
          <w:rFonts w:ascii="Traditional Arabic" w:eastAsia="Calibri" w:hAnsi="Traditional Arabic" w:cs="Traditional Arabic" w:hint="cs"/>
          <w:color w:val="984806"/>
          <w:sz w:val="36"/>
          <w:szCs w:val="36"/>
          <w:rtl/>
        </w:rPr>
        <w:t>"</w:t>
      </w:r>
      <w:r w:rsidRPr="00592892">
        <w:rPr>
          <w:rFonts w:ascii="Traditional Arabic" w:eastAsia="Calibri" w:hAnsi="Traditional Arabic" w:cs="Traditional Arabic"/>
          <w:color w:val="984806"/>
          <w:sz w:val="36"/>
          <w:szCs w:val="36"/>
          <w:rtl/>
        </w:rPr>
        <w:t>فيُقَالُ: نَمْ صَالِحًا قدْ عَلِمْنَا إنْ كُنْتَ لَمُوقِنًا بهِ"</w:t>
      </w:r>
      <w:r w:rsidRPr="00592892">
        <w:rPr>
          <w:rFonts w:ascii="Traditional Arabic" w:eastAsia="Calibri" w:hAnsi="Traditional Arabic" w:cs="Traditional Arabic"/>
          <w:sz w:val="36"/>
          <w:szCs w:val="36"/>
          <w:vertAlign w:val="superscript"/>
          <w:rtl/>
        </w:rPr>
        <w:footnoteReference w:id="20"/>
      </w:r>
      <w:r w:rsidRPr="00592892">
        <w:rPr>
          <w:rFonts w:ascii="Traditional Arabic" w:eastAsia="Calibri" w:hAnsi="Traditional Arabic" w:cs="Traditional Arabic"/>
          <w:sz w:val="36"/>
          <w:szCs w:val="36"/>
          <w:rtl/>
        </w:rPr>
        <w:t xml:space="preserve"> </w:t>
      </w:r>
      <w:r w:rsidRPr="00592892">
        <w:rPr>
          <w:rFonts w:ascii="Traditional Arabic" w:eastAsia="Calibri" w:hAnsi="Traditional Arabic" w:cs="Traditional Arabic" w:hint="cs"/>
          <w:sz w:val="36"/>
          <w:szCs w:val="36"/>
          <w:rtl/>
        </w:rPr>
        <w:t>أو كما</w:t>
      </w:r>
      <w:r w:rsidRPr="00592892">
        <w:rPr>
          <w:rFonts w:ascii="Traditional Arabic" w:eastAsia="Calibri" w:hAnsi="Traditional Arabic" w:cs="Traditional Arabic"/>
          <w:sz w:val="36"/>
          <w:szCs w:val="36"/>
          <w:rtl/>
        </w:rPr>
        <w:t xml:space="preserve"> قال النبي ﷺ.</w:t>
      </w:r>
    </w:p>
    <w:p w14:paraId="4A48DED4"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فالقضية في الإسلام ليست هي مجرد معرفة، وهذه قضية كما قلت قد تقولون بديهية لكن هي وإن كانت بديهية لكنها قضية في غاية الخطورة والأهمية، ومع الأسف كثير من المدارس العلمية والمعرفية خاصة في الغرب لا تولي أهمية كبرى لهذه القضية.</w:t>
      </w:r>
    </w:p>
    <w:p w14:paraId="6899588F"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هي قضية المعرفة كأنها مجردة إنه أنت ممكن تأخذ شهادة دكتوراة أو شهادة أعلى منها في مجال معرفي معين، ثم ناحية الامتثال العملي هذا منعزل عن القضية المعرفية، وممكن واحد يكون موغل في الشذوذ الجنسي على المستوى العملي والسلوكي وفيلسوف كبير على المستوى النظري، عادي ما في مشكلة عندهم.</w:t>
      </w:r>
    </w:p>
    <w:p w14:paraId="5DE75537"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عندنا في مشكلة، نحن عندنا </w:t>
      </w:r>
      <w:r w:rsidRPr="00592892">
        <w:rPr>
          <w:rFonts w:ascii="Traditional Arabic" w:eastAsia="Calibri" w:hAnsi="Traditional Arabic" w:cs="Traditional Arabic"/>
          <w:color w:val="385623" w:themeColor="accent6" w:themeShade="80"/>
          <w:sz w:val="36"/>
          <w:szCs w:val="36"/>
          <w:rtl/>
        </w:rPr>
        <w:t xml:space="preserve">{وَاتْلُ عَلَيْهِمْ نَبَأَ الَّذِي آتَيْنَاهُ آيَاتِنَا فَانْسَلَخَ مِنْهَا} </w:t>
      </w:r>
      <w:r w:rsidRPr="00592892">
        <w:rPr>
          <w:rFonts w:ascii="Traditional Arabic" w:eastAsia="Calibri" w:hAnsi="Traditional Arabic" w:cs="Traditional Arabic"/>
          <w:sz w:val="36"/>
          <w:szCs w:val="36"/>
          <w:rtl/>
        </w:rPr>
        <w:t xml:space="preserve">انسلخ منها معرفيًا ولا عمليًا؟ عمليًا، </w:t>
      </w:r>
      <w:r w:rsidRPr="00592892">
        <w:rPr>
          <w:rFonts w:ascii="Traditional Arabic" w:eastAsia="Calibri" w:hAnsi="Traditional Arabic" w:cs="Traditional Arabic"/>
          <w:color w:val="385623" w:themeColor="accent6" w:themeShade="80"/>
          <w:sz w:val="36"/>
          <w:szCs w:val="36"/>
          <w:rtl/>
        </w:rPr>
        <w:t>{فَأَتْبَعَهُ الشَّيْطَانُ فَكَانَ مِنَ الْغَاوِينَ * وَلَوْ شِئْنَا لَرَفَعْنَاهُ بِهَا وَلَكِنَّهُ أَخْلَدَ إِلَى الأرْضِ وَاتَّبَعَ هَوَاهُ فَمَثَلُهُ كَمَثَلِ الْكَلْبِ}</w:t>
      </w:r>
      <w:r w:rsidRPr="00592892">
        <w:rPr>
          <w:rFonts w:ascii="Traditional Arabic" w:eastAsia="Calibri" w:hAnsi="Traditional Arabic" w:cs="Traditional Arabic"/>
          <w:color w:val="385623" w:themeColor="accent6" w:themeShade="80"/>
          <w:sz w:val="36"/>
          <w:szCs w:val="36"/>
          <w:vertAlign w:val="superscript"/>
          <w:rtl/>
        </w:rPr>
        <w:footnoteReference w:id="21"/>
      </w:r>
      <w:r w:rsidRPr="00592892">
        <w:rPr>
          <w:rFonts w:ascii="Traditional Arabic" w:eastAsia="Calibri" w:hAnsi="Traditional Arabic" w:cs="Traditional Arabic"/>
          <w:sz w:val="36"/>
          <w:szCs w:val="36"/>
          <w:rtl/>
        </w:rPr>
        <w:t xml:space="preserve"> هذا الشخص الذي لديه معرفة:</w:t>
      </w:r>
      <w:r>
        <w:rPr>
          <w:rFonts w:ascii="Traditional Arabic" w:eastAsia="Calibri" w:hAnsi="Traditional Arabic" w:cs="Traditional Arabic" w:hint="cs"/>
          <w:sz w:val="36"/>
          <w:szCs w:val="36"/>
          <w:rtl/>
        </w:rPr>
        <w:t xml:space="preserve"> </w:t>
      </w:r>
      <w:r w:rsidRPr="00592892">
        <w:rPr>
          <w:rFonts w:ascii="Traditional Arabic" w:eastAsia="Calibri" w:hAnsi="Traditional Arabic" w:cs="Traditional Arabic"/>
          <w:sz w:val="36"/>
          <w:szCs w:val="36"/>
          <w:rtl/>
        </w:rPr>
        <w:t xml:space="preserve">كلب. </w:t>
      </w:r>
      <w:r w:rsidRPr="00592892">
        <w:rPr>
          <w:rFonts w:ascii="Traditional Arabic" w:eastAsia="Calibri" w:hAnsi="Traditional Arabic" w:cs="Traditional Arabic"/>
          <w:color w:val="385623" w:themeColor="accent6" w:themeShade="80"/>
          <w:sz w:val="36"/>
          <w:szCs w:val="36"/>
          <w:rtl/>
        </w:rPr>
        <w:lastRenderedPageBreak/>
        <w:t>{مَثَلُ الَّذِينَ حُمِّلُوا التَّوْرَاةَ ثُمَّ لَمْ يَحْمِلُوهَا كَمَثَلِ الْحِمَارِ}</w:t>
      </w:r>
      <w:r w:rsidRPr="00592892">
        <w:rPr>
          <w:rFonts w:ascii="Traditional Arabic" w:eastAsia="Calibri" w:hAnsi="Traditional Arabic" w:cs="Traditional Arabic"/>
          <w:sz w:val="36"/>
          <w:szCs w:val="36"/>
          <w:vertAlign w:val="superscript"/>
          <w:rtl/>
        </w:rPr>
        <w:footnoteReference w:id="22"/>
      </w:r>
      <w:r w:rsidRPr="00592892">
        <w:rPr>
          <w:rFonts w:ascii="Traditional Arabic" w:eastAsia="Calibri" w:hAnsi="Traditional Arabic" w:cs="Traditional Arabic"/>
          <w:sz w:val="36"/>
          <w:szCs w:val="36"/>
          <w:rtl/>
        </w:rPr>
        <w:t>، بابها في الشريعة عند من يعرف ولا يعمل كلب وحمار.</w:t>
      </w:r>
    </w:p>
    <w:p w14:paraId="0EBD151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أما هناك بروفيسور ودكتور وإلى آخره لأنه بغض النظر أنت ماذا تفعل أنت أهم شيء أخذت شهادة معينة وحصلت معرفة معينة.</w:t>
      </w:r>
    </w:p>
    <w:p w14:paraId="06DE113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هذه معادلة خاطئة في الإسلام ولا تمشي، لا يوجد شيء في الإسلام اسمه أنا تخرّجت من كلية الشريعة وأخذت دكتوراة بالشريعة إذا أنا عالم شرعي؛ هذا غير صحيح، لا يوجد شي مثل هذا في الإسلام، هذا اسمه أنا أخذت شهادة جامعية من مدرسة معينة أو من جامعة معينة فقط. </w:t>
      </w:r>
    </w:p>
    <w:p w14:paraId="1046E48A"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لكن فكرة عالِم هذه لها تعريف في الشريعة عنوانه الأكبر في سورة فاطر </w:t>
      </w:r>
      <w:r w:rsidRPr="00592892">
        <w:rPr>
          <w:rFonts w:ascii="Traditional Arabic" w:eastAsia="Calibri" w:hAnsi="Traditional Arabic" w:cs="Traditional Arabic"/>
          <w:color w:val="385623" w:themeColor="accent6" w:themeShade="80"/>
          <w:sz w:val="36"/>
          <w:szCs w:val="36"/>
          <w:rtl/>
        </w:rPr>
        <w:t>{إِنَّمَا يَخْشَى اللَّهَ مِنْ عِبَادِهِ الْعُلَمَاءُ}</w:t>
      </w:r>
      <w:r w:rsidRPr="00592892">
        <w:rPr>
          <w:rFonts w:ascii="Traditional Arabic" w:eastAsia="Calibri" w:hAnsi="Traditional Arabic" w:cs="Traditional Arabic"/>
          <w:sz w:val="36"/>
          <w:szCs w:val="36"/>
          <w:vertAlign w:val="superscript"/>
          <w:rtl/>
        </w:rPr>
        <w:footnoteReference w:id="23"/>
      </w:r>
      <w:r w:rsidRPr="00592892">
        <w:rPr>
          <w:rFonts w:ascii="Traditional Arabic" w:eastAsia="Calibri" w:hAnsi="Traditional Arabic" w:cs="Traditional Arabic"/>
          <w:sz w:val="36"/>
          <w:szCs w:val="36"/>
          <w:rtl/>
        </w:rPr>
        <w:t xml:space="preserve"> إذا وجد علم بلا خشية ما في علم.</w:t>
      </w:r>
    </w:p>
    <w:p w14:paraId="0ABA4426"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فهذه قاعدة منهجية في غاية الأهمية وفي غاية الخطورة، حتى لا تصرف الأعمار في معارف مجردة عن العمل. وحين سئل الإإمام أحمد رحمه الله عن معروف الكرخي كأنه قيل له أنه مشتغل بالعبادة وليس مهتمًا بالعلم فقال الإمام أحمد: </w:t>
      </w:r>
      <w:r>
        <w:rPr>
          <w:rFonts w:ascii="Traditional Arabic" w:eastAsia="Calibri" w:hAnsi="Traditional Arabic" w:cs="Traditional Arabic" w:hint="cs"/>
          <w:color w:val="525252" w:themeColor="accent3" w:themeShade="80"/>
          <w:sz w:val="36"/>
          <w:szCs w:val="36"/>
          <w:rtl/>
        </w:rPr>
        <w:t>(</w:t>
      </w:r>
      <w:r w:rsidRPr="00592892">
        <w:rPr>
          <w:rFonts w:ascii="Traditional Arabic" w:eastAsia="Calibri" w:hAnsi="Traditional Arabic" w:cs="Traditional Arabic"/>
          <w:color w:val="525252" w:themeColor="accent3" w:themeShade="80"/>
          <w:sz w:val="36"/>
          <w:szCs w:val="36"/>
          <w:rtl/>
        </w:rPr>
        <w:t>وهل يراد من العلم إلا ما وصل إليه معروف</w:t>
      </w:r>
      <w:r>
        <w:rPr>
          <w:rFonts w:ascii="Traditional Arabic" w:eastAsia="Calibri" w:hAnsi="Traditional Arabic" w:cs="Traditional Arabic" w:hint="cs"/>
          <w:color w:val="525252" w:themeColor="accent3" w:themeShade="80"/>
          <w:sz w:val="36"/>
          <w:szCs w:val="36"/>
          <w:rtl/>
        </w:rPr>
        <w:t>)</w:t>
      </w:r>
      <w:r w:rsidRPr="00592892">
        <w:rPr>
          <w:rFonts w:ascii="Traditional Arabic" w:eastAsia="Calibri" w:hAnsi="Traditional Arabic" w:cs="Traditional Arabic"/>
          <w:color w:val="525252" w:themeColor="accent3" w:themeShade="80"/>
          <w:sz w:val="36"/>
          <w:szCs w:val="36"/>
          <w:rtl/>
        </w:rPr>
        <w:t>.</w:t>
      </w:r>
    </w:p>
    <w:p w14:paraId="26D51A42"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يعني خلاصتها في الإسلام أن العلم هو باب الزيادة الخشية، وباب للعمل، وباب للقيام بالإسلام، وباب لاتباع الأنبياء، وإلى آخره. </w:t>
      </w:r>
    </w:p>
    <w:p w14:paraId="585D0F25"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 xml:space="preserve">أما مجرّد المعرفة فقد يكون العلم وبالًا، </w:t>
      </w:r>
      <w:r w:rsidRPr="00592892">
        <w:rPr>
          <w:rFonts w:ascii="Traditional Arabic" w:eastAsia="Calibri" w:hAnsi="Traditional Arabic" w:cs="Traditional Arabic"/>
          <w:color w:val="385623" w:themeColor="accent6" w:themeShade="80"/>
          <w:sz w:val="36"/>
          <w:szCs w:val="36"/>
          <w:rtl/>
        </w:rPr>
        <w:t>{فَلَمَّا جَاءَتْهُمْ رُسُلُهُمْ بِالْبَيِّنَاتِ}</w:t>
      </w:r>
      <w:r w:rsidRPr="00592892">
        <w:rPr>
          <w:rFonts w:ascii="Traditional Arabic" w:eastAsia="Calibri" w:hAnsi="Traditional Arabic" w:cs="Traditional Arabic"/>
          <w:sz w:val="36"/>
          <w:szCs w:val="36"/>
          <w:rtl/>
        </w:rPr>
        <w:t xml:space="preserve"> ماذا حصل؟ </w:t>
      </w:r>
      <w:r w:rsidRPr="00592892">
        <w:rPr>
          <w:rFonts w:ascii="Traditional Arabic" w:eastAsia="Calibri" w:hAnsi="Traditional Arabic" w:cs="Traditional Arabic"/>
          <w:color w:val="385623" w:themeColor="accent6" w:themeShade="80"/>
          <w:sz w:val="36"/>
          <w:szCs w:val="36"/>
          <w:rtl/>
        </w:rPr>
        <w:t>{فَرِحُوا بِمَا عِنْدَهُمْ مِنَ الْعِلْمِ}</w:t>
      </w:r>
      <w:r w:rsidRPr="00592892">
        <w:rPr>
          <w:rFonts w:ascii="Traditional Arabic" w:eastAsia="Calibri" w:hAnsi="Traditional Arabic" w:cs="Traditional Arabic"/>
          <w:color w:val="385623" w:themeColor="accent6" w:themeShade="80"/>
          <w:sz w:val="36"/>
          <w:szCs w:val="36"/>
          <w:vertAlign w:val="superscript"/>
          <w:rtl/>
        </w:rPr>
        <w:footnoteReference w:id="24"/>
      </w:r>
      <w:r w:rsidRPr="00592892">
        <w:rPr>
          <w:rFonts w:ascii="Traditional Arabic" w:eastAsia="Calibri" w:hAnsi="Traditional Arabic" w:cs="Traditional Arabic"/>
          <w:sz w:val="36"/>
          <w:szCs w:val="36"/>
          <w:rtl/>
        </w:rPr>
        <w:t>. كان العلم مانعًا.</w:t>
      </w:r>
    </w:p>
    <w:p w14:paraId="051AEEFD" w14:textId="77777777" w:rsidR="00CA3DFA" w:rsidRDefault="00CA3DFA" w:rsidP="00CA3DFA">
      <w:pPr>
        <w:spacing w:after="0" w:line="240" w:lineRule="auto"/>
        <w:jc w:val="both"/>
        <w:rPr>
          <w:rFonts w:ascii="Traditional Arabic" w:eastAsia="Calibri" w:hAnsi="Traditional Arabic" w:cs="Traditional Arabic"/>
          <w:sz w:val="36"/>
          <w:szCs w:val="36"/>
        </w:rPr>
      </w:pPr>
      <w:r w:rsidRPr="00592892">
        <w:rPr>
          <w:rFonts w:ascii="Traditional Arabic" w:eastAsia="Calibri" w:hAnsi="Traditional Arabic" w:cs="Traditional Arabic"/>
          <w:sz w:val="36"/>
          <w:szCs w:val="36"/>
          <w:rtl/>
        </w:rPr>
        <w:t xml:space="preserve">طيب الذين بنوا </w:t>
      </w:r>
      <w:r w:rsidRPr="00592892">
        <w:rPr>
          <w:rFonts w:ascii="Traditional Arabic" w:eastAsia="Calibri" w:hAnsi="Traditional Arabic" w:cs="Traditional Arabic"/>
          <w:color w:val="984806"/>
          <w:sz w:val="36"/>
          <w:szCs w:val="36"/>
          <w:rtl/>
        </w:rPr>
        <w:t>{أَتَبۡنُونَ بِكُلِّ رِیعٍ ءَایَةࣰ تَعۡبَثُونَ}</w:t>
      </w:r>
      <w:r w:rsidRPr="00592892">
        <w:rPr>
          <w:rFonts w:ascii="Traditional Arabic" w:eastAsia="Calibri" w:hAnsi="Traditional Arabic" w:cs="Traditional Arabic"/>
          <w:sz w:val="36"/>
          <w:szCs w:val="36"/>
          <w:vertAlign w:val="superscript"/>
          <w:rtl/>
        </w:rPr>
        <w:footnoteReference w:id="25"/>
      </w:r>
      <w:r w:rsidRPr="00592892">
        <w:rPr>
          <w:rFonts w:ascii="Traditional Arabic" w:eastAsia="Calibri" w:hAnsi="Traditional Arabic" w:cs="Traditional Arabic"/>
          <w:sz w:val="36"/>
          <w:szCs w:val="36"/>
          <w:rtl/>
        </w:rPr>
        <w:t xml:space="preserve"> بنَوْها بعلم أم بجهل؟ بنوها بعلم، يعني الأمم السابقة التي بنَتْ كل هذه الأشياء التي لا نقدر أن نبنها اليوم بهذه الأدوات هي هكذا فقط قوة وجبروت، فقط يحفر في الجبل؟ أم أنّ فيها قياسات وحسابات وترتيب وتزيين؟ هذا علم ليس لعب، لكن هذا كله كعلم مجرد إذا لم يكن في سياق وجود الإنسان أو غاية وجود الإنسان في الكون فلا قيمة له. أما كعلم تابع، كعلم مكمل، كعلم مرسخ لشيء فهذا جيد وممتاز وجميل جدًا.</w:t>
      </w:r>
    </w:p>
    <w:p w14:paraId="754F0CA4" w14:textId="77777777" w:rsidR="00CA3DFA" w:rsidRDefault="00CA3DFA" w:rsidP="00CA3DFA">
      <w:pPr>
        <w:spacing w:after="0" w:line="240" w:lineRule="auto"/>
        <w:jc w:val="both"/>
        <w:rPr>
          <w:rFonts w:ascii="Traditional Arabic" w:eastAsia="Calibri" w:hAnsi="Traditional Arabic" w:cs="Traditional Arabic"/>
          <w:sz w:val="36"/>
          <w:szCs w:val="36"/>
          <w:rtl/>
        </w:rPr>
      </w:pPr>
    </w:p>
    <w:p w14:paraId="74A4DA46" w14:textId="77777777" w:rsidR="00CA3DFA" w:rsidRPr="00C82054" w:rsidRDefault="00CA3DFA" w:rsidP="00CA3DFA">
      <w:pPr>
        <w:pStyle w:val="ad"/>
        <w:jc w:val="both"/>
        <w:rPr>
          <w:rtl/>
        </w:rPr>
      </w:pPr>
      <w:bookmarkStart w:id="18" w:name="_Toc198206248"/>
      <w:bookmarkStart w:id="19" w:name="_Toc198346256"/>
      <w:r>
        <w:rPr>
          <w:rFonts w:hint="cs"/>
          <w:rtl/>
        </w:rPr>
        <w:t>خاتمة</w:t>
      </w:r>
      <w:bookmarkEnd w:id="18"/>
      <w:bookmarkEnd w:id="19"/>
    </w:p>
    <w:p w14:paraId="7356A271"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هذا أهم ما أردت أن أقوله في هذه المادة وفي هذا اللقاء الأول، اعذرونا كانت المادة فيها بعض الثقل وبعض الصعوبة، لكن هذا شأنها وهذا محلها القادم إن شاء الله يكون أسهل.</w:t>
      </w:r>
    </w:p>
    <w:p w14:paraId="5DA2C25C" w14:textId="77777777" w:rsidR="00CA3DFA" w:rsidRPr="00592892" w:rsidRDefault="00CA3DFA" w:rsidP="00CA3DFA">
      <w:pPr>
        <w:spacing w:after="0" w:line="240" w:lineRule="auto"/>
        <w:jc w:val="both"/>
        <w:rPr>
          <w:rFonts w:ascii="Traditional Arabic" w:eastAsia="Calibri" w:hAnsi="Traditional Arabic" w:cs="Traditional Arabic"/>
          <w:sz w:val="36"/>
          <w:szCs w:val="36"/>
          <w:rtl/>
        </w:rPr>
      </w:pPr>
      <w:r w:rsidRPr="00592892">
        <w:rPr>
          <w:rFonts w:ascii="Traditional Arabic" w:eastAsia="Calibri" w:hAnsi="Traditional Arabic" w:cs="Traditional Arabic"/>
          <w:sz w:val="36"/>
          <w:szCs w:val="36"/>
          <w:rtl/>
        </w:rPr>
        <w:t>وأسأل الله سبحانه وتعالى بأسمائه الحسنى وصفاته العلى أن يتقبل منا ومنكم صالح الاعمال، كما أسأله سبحانه وتعالى أن يتمم لنا هذا البرنامج على خير وأن يجمع بين القلوب ويؤلف بينها، وأن يجعلنا من عباده الصالحين المصلحين وصلِّ اللهم على نبينا محمد وعلى آله وصحبه أجمعين.</w:t>
      </w:r>
    </w:p>
    <w:p w14:paraId="48072042" w14:textId="77777777" w:rsidR="00CA3DFA" w:rsidRDefault="00CA3DFA" w:rsidP="00CA3DFA">
      <w:pPr>
        <w:spacing w:after="160" w:line="240" w:lineRule="auto"/>
        <w:jc w:val="both"/>
        <w:rPr>
          <w:rFonts w:ascii="Traditional Arabic" w:eastAsia="Calibri" w:hAnsi="Traditional Arabic" w:cs="Traditional Arabic"/>
          <w:sz w:val="36"/>
          <w:szCs w:val="36"/>
          <w:rtl/>
          <w:lang w:eastAsia="en-GB"/>
        </w:rPr>
      </w:pPr>
    </w:p>
    <w:p w14:paraId="546D5FD6" w14:textId="77777777" w:rsidR="00CA3DFA" w:rsidRDefault="00CA3DFA" w:rsidP="00CA3DFA">
      <w:pPr>
        <w:spacing w:after="160" w:line="240" w:lineRule="auto"/>
        <w:jc w:val="both"/>
        <w:rPr>
          <w:rFonts w:ascii="Traditional Arabic" w:eastAsia="Calibri" w:hAnsi="Traditional Arabic" w:cs="Traditional Arabic"/>
          <w:sz w:val="36"/>
          <w:szCs w:val="36"/>
          <w:rtl/>
          <w:lang w:eastAsia="en-GB"/>
        </w:rPr>
      </w:pPr>
    </w:p>
    <w:p w14:paraId="0302891C" w14:textId="77777777" w:rsidR="00CA3DFA" w:rsidRDefault="00CA3DFA" w:rsidP="00CA3DFA">
      <w:pPr>
        <w:spacing w:after="160" w:line="240" w:lineRule="auto"/>
        <w:jc w:val="both"/>
        <w:rPr>
          <w:rFonts w:ascii="Traditional Arabic" w:eastAsia="Calibri" w:hAnsi="Traditional Arabic" w:cs="Traditional Arabic"/>
          <w:sz w:val="36"/>
          <w:szCs w:val="36"/>
          <w:rtl/>
          <w:lang w:eastAsia="en-GB"/>
        </w:rPr>
      </w:pPr>
    </w:p>
    <w:p w14:paraId="1352AE06" w14:textId="77777777" w:rsidR="00CA3DFA" w:rsidRDefault="00CA3DFA" w:rsidP="00CA3DFA">
      <w:pPr>
        <w:spacing w:after="160" w:line="240" w:lineRule="auto"/>
        <w:jc w:val="both"/>
        <w:rPr>
          <w:rFonts w:ascii="Traditional Arabic" w:eastAsia="Calibri" w:hAnsi="Traditional Arabic" w:cs="Traditional Arabic"/>
          <w:sz w:val="36"/>
          <w:szCs w:val="36"/>
          <w:rtl/>
          <w:lang w:eastAsia="en-GB"/>
        </w:rPr>
      </w:pPr>
    </w:p>
    <w:p w14:paraId="65EACE28" w14:textId="77777777" w:rsidR="00CA3DFA" w:rsidRDefault="00CA3DFA" w:rsidP="00CA3DFA">
      <w:pPr>
        <w:spacing w:after="160" w:line="240" w:lineRule="auto"/>
        <w:jc w:val="both"/>
        <w:rPr>
          <w:rFonts w:ascii="Traditional Arabic" w:eastAsia="Calibri" w:hAnsi="Traditional Arabic" w:cs="Traditional Arabic"/>
          <w:sz w:val="36"/>
          <w:szCs w:val="36"/>
          <w:rtl/>
          <w:lang w:eastAsia="en-GB"/>
        </w:rPr>
      </w:pPr>
    </w:p>
    <w:p w14:paraId="7BF3CB4A" w14:textId="2B8601CC" w:rsidR="00CA3DFA" w:rsidRPr="00FA26ED" w:rsidRDefault="00CA3DFA" w:rsidP="00CA3DFA">
      <w:pPr>
        <w:jc w:val="both"/>
        <w:rPr>
          <w:rtl/>
          <w:lang w:bidi="ar-JO"/>
        </w:rPr>
      </w:pPr>
      <w:r>
        <w:rPr>
          <w:noProof/>
          <w:rtl/>
        </w:rPr>
        <mc:AlternateContent>
          <mc:Choice Requires="wps">
            <w:drawing>
              <wp:anchor distT="0" distB="0" distL="114300" distR="114300" simplePos="0" relativeHeight="251659264" behindDoc="0" locked="0" layoutInCell="1" allowOverlap="1" wp14:anchorId="3EB85089" wp14:editId="0655FADF">
                <wp:simplePos x="0" y="0"/>
                <wp:positionH relativeFrom="column">
                  <wp:posOffset>1112520</wp:posOffset>
                </wp:positionH>
                <wp:positionV relativeFrom="paragraph">
                  <wp:posOffset>-3261995</wp:posOffset>
                </wp:positionV>
                <wp:extent cx="2743200" cy="523875"/>
                <wp:effectExtent l="0" t="0" r="0" b="0"/>
                <wp:wrapNone/>
                <wp:docPr id="8" name="مربع ن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51F7C9" w14:textId="77777777" w:rsidR="00CA3DFA" w:rsidRPr="00714BA6" w:rsidRDefault="00CA3DFA" w:rsidP="00CA3DFA">
                            <w:pPr>
                              <w:spacing w:line="240" w:lineRule="auto"/>
                              <w:jc w:val="center"/>
                              <w:rPr>
                                <w:rFonts w:ascii="DIN Next LT Arabic" w:hAnsi="DIN Next LT Arabic" w:cs="DIN Next LT Arabic"/>
                                <w:color w:val="5E806D"/>
                                <w:sz w:val="28"/>
                                <w:szCs w:val="28"/>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85089" id="_x0000_t202" coordsize="21600,21600" o:spt="202" path="m,l,21600r21600,l21600,xe">
                <v:stroke joinstyle="miter"/>
                <v:path gradientshapeok="t" o:connecttype="rect"/>
              </v:shapetype>
              <v:shape id="مربع نص 4" o:spid="_x0000_s1026" type="#_x0000_t202" style="position:absolute;left:0;text-align:left;margin-left:87.6pt;margin-top:-256.85pt;width:3in;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" filled="f" stroked="f" strokeweight=".5pt">
                <v:textbox>
                  <w:txbxContent>
                    <w:p w14:paraId="6A51F7C9" w14:textId="77777777" w:rsidR="00CA3DFA" w:rsidRPr="00714BA6" w:rsidRDefault="00CA3DFA" w:rsidP="00CA3DFA">
                      <w:pPr>
                        <w:spacing w:line="240" w:lineRule="auto"/>
                        <w:jc w:val="center"/>
                        <w:rPr>
                          <w:rFonts w:ascii="DIN Next LT Arabic" w:hAnsi="DIN Next LT Arabic" w:cs="DIN Next LT Arabic"/>
                          <w:color w:val="5E806D"/>
                          <w:sz w:val="28"/>
                          <w:szCs w:val="28"/>
                          <w:rtl/>
                          <w:lang w:val="en-GB"/>
                        </w:rPr>
                      </w:pPr>
                    </w:p>
                  </w:txbxContent>
                </v:textbox>
              </v:shape>
            </w:pict>
          </mc:Fallback>
        </mc:AlternateContent>
      </w:r>
      <w:r>
        <w:rPr>
          <w:noProof/>
          <w:rtl/>
        </w:rPr>
        <mc:AlternateContent>
          <mc:Choice Requires="wps">
            <w:drawing>
              <wp:anchor distT="0" distB="0" distL="114300" distR="114300" simplePos="0" relativeHeight="251660288" behindDoc="0" locked="0" layoutInCell="1" allowOverlap="1" wp14:anchorId="3FF66373" wp14:editId="67956FF7">
                <wp:simplePos x="0" y="0"/>
                <wp:positionH relativeFrom="column">
                  <wp:posOffset>-438150</wp:posOffset>
                </wp:positionH>
                <wp:positionV relativeFrom="paragraph">
                  <wp:posOffset>-4462145</wp:posOffset>
                </wp:positionV>
                <wp:extent cx="6000750" cy="1200150"/>
                <wp:effectExtent l="0" t="0" r="0" b="0"/>
                <wp:wrapNone/>
                <wp:docPr id="9"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750" cy="1200150"/>
                        </a:xfrm>
                        <a:prstGeom prst="rect">
                          <a:avLst/>
                        </a:prstGeom>
                        <a:noFill/>
                        <a:ln w="6350">
                          <a:noFill/>
                        </a:ln>
                        <a:effectLst/>
                      </wps:spPr>
                      <wps:txbx>
                        <w:txbxContent>
                          <w:p w14:paraId="22FC1D54" w14:textId="77777777" w:rsidR="00CA3DFA" w:rsidRPr="00161320" w:rsidRDefault="00CA3DFA" w:rsidP="00CA3DFA">
                            <w:pPr>
                              <w:spacing w:line="240" w:lineRule="auto"/>
                              <w:jc w:val="center"/>
                              <w:rPr>
                                <w:rFonts w:ascii="DIN Next LT Arabic" w:hAnsi="DIN Next LT Arabic" w:cs="DIN Next LT Arabic"/>
                                <w:color w:val="5E806D"/>
                                <w:sz w:val="52"/>
                                <w:szCs w:val="52"/>
                                <w:rtl/>
                                <w:lang w:val="en-GB"/>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66373" id="مربع نص 2" o:spid="_x0000_s1027" type="#_x0000_t202" style="position:absolute;left:0;text-align:left;margin-left:-34.5pt;margin-top:-351.35pt;width:472.5pt;height: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" filled="f" stroked="f" strokeweight=".5pt">
                <v:textbox>
                  <w:txbxContent>
                    <w:p w14:paraId="22FC1D54" w14:textId="77777777" w:rsidR="00CA3DFA" w:rsidRPr="00161320" w:rsidRDefault="00CA3DFA" w:rsidP="00CA3DFA">
                      <w:pPr>
                        <w:spacing w:line="240" w:lineRule="auto"/>
                        <w:jc w:val="center"/>
                        <w:rPr>
                          <w:rFonts w:ascii="DIN Next LT Arabic" w:hAnsi="DIN Next LT Arabic" w:cs="DIN Next LT Arabic"/>
                          <w:color w:val="5E806D"/>
                          <w:sz w:val="52"/>
                          <w:szCs w:val="52"/>
                          <w:rtl/>
                          <w:lang w:val="en-GB"/>
                        </w:rPr>
                      </w:pPr>
                    </w:p>
                  </w:txbxContent>
                </v:textbox>
              </v:shape>
            </w:pict>
          </mc:Fallback>
        </mc:AlternateContent>
      </w:r>
    </w:p>
    <w:p w14:paraId="3EC7CB58" w14:textId="0276F6FB" w:rsidR="00AC23E7" w:rsidRPr="00CA3DFA" w:rsidRDefault="00AC23E7" w:rsidP="00CA3DFA">
      <w:pPr>
        <w:rPr>
          <w:rtl/>
          <w:lang w:bidi="ar-JO"/>
        </w:rPr>
      </w:pPr>
    </w:p>
    <w:sectPr w:rsidR="00AC23E7" w:rsidRPr="00CA3DFA"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A57A" w14:textId="77777777" w:rsidR="00212E14" w:rsidRDefault="00212E14" w:rsidP="006770C3">
      <w:pPr>
        <w:spacing w:after="0" w:line="240" w:lineRule="auto"/>
      </w:pPr>
      <w:r>
        <w:separator/>
      </w:r>
    </w:p>
  </w:endnote>
  <w:endnote w:type="continuationSeparator" w:id="0">
    <w:p w14:paraId="59DBD031" w14:textId="77777777" w:rsidR="00212E14" w:rsidRDefault="00212E14"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ocon modified">
    <w:panose1 w:val="020A0503020102020204"/>
    <w:charset w:val="00"/>
    <w:family w:val="roman"/>
    <w:pitch w:val="variable"/>
    <w:sig w:usb0="800020AF" w:usb1="8000004A"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F26A" w14:textId="77777777" w:rsidR="00212E14" w:rsidRDefault="00212E14" w:rsidP="006770C3">
      <w:pPr>
        <w:spacing w:after="0" w:line="240" w:lineRule="auto"/>
      </w:pPr>
      <w:r>
        <w:separator/>
      </w:r>
    </w:p>
  </w:footnote>
  <w:footnote w:type="continuationSeparator" w:id="0">
    <w:p w14:paraId="63D1B769" w14:textId="77777777" w:rsidR="00212E14" w:rsidRDefault="00212E14" w:rsidP="006770C3">
      <w:pPr>
        <w:spacing w:after="0" w:line="240" w:lineRule="auto"/>
      </w:pPr>
      <w:r>
        <w:continuationSeparator/>
      </w:r>
    </w:p>
  </w:footnote>
  <w:footnote w:id="1">
    <w:p w14:paraId="52CAD243"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[القيامة: 22-23]</w:t>
      </w:r>
    </w:p>
  </w:footnote>
  <w:footnote w:id="2">
    <w:p w14:paraId="49F14242"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w:t>
      </w:r>
      <w:r>
        <w:rPr>
          <w:rFonts w:ascii="Traditional Arabic" w:hAnsi="Traditional Arabic" w:cs="Traditional Arabic" w:hint="cs"/>
          <w:sz w:val="24"/>
          <w:szCs w:val="24"/>
          <w:rtl/>
        </w:rPr>
        <w:t>الحجرات:</w:t>
      </w:r>
      <w:r>
        <w:rPr>
          <w:rFonts w:ascii="Traditional Arabic" w:hAnsi="Traditional Arabic" w:cs="Traditional Arabic"/>
          <w:sz w:val="24"/>
          <w:szCs w:val="24"/>
          <w:rtl/>
        </w:rPr>
        <w:t xml:space="preserve"> 1-2]</w:t>
      </w:r>
    </w:p>
  </w:footnote>
  <w:footnote w:id="3">
    <w:p w14:paraId="4787C9B9"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[الجاثية: 32].</w:t>
      </w:r>
    </w:p>
  </w:footnote>
  <w:footnote w:id="4">
    <w:p w14:paraId="3F529FB0"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[يونس: 53].</w:t>
      </w:r>
    </w:p>
  </w:footnote>
  <w:footnote w:id="5">
    <w:p w14:paraId="5FC508D7" w14:textId="77777777" w:rsidR="00CA3DFA" w:rsidRDefault="00CA3DFA" w:rsidP="00CA3DFA">
      <w:pPr>
        <w:pStyle w:val="aa"/>
        <w:rPr>
          <w:rFonts w:ascii="Calibri" w:hAnsi="Calibri" w:cs="Arial"/>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[الذاريات: 23].</w:t>
      </w:r>
    </w:p>
  </w:footnote>
  <w:footnote w:id="6">
    <w:p w14:paraId="24F0FB25"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[العنكبوت: 20].</w:t>
      </w:r>
    </w:p>
  </w:footnote>
  <w:footnote w:id="7">
    <w:p w14:paraId="4BDF8884"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[فصلت: 53].</w:t>
      </w:r>
    </w:p>
  </w:footnote>
  <w:footnote w:id="8">
    <w:p w14:paraId="59851422" w14:textId="77777777" w:rsidR="00CA3DFA" w:rsidRDefault="00CA3DFA" w:rsidP="00CA3DFA">
      <w:pPr>
        <w:pStyle w:val="aa"/>
        <w:rPr>
          <w:rFonts w:ascii="Calibri" w:hAnsi="Calibri" w:cs="Arial"/>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[النحل: 12].</w:t>
      </w:r>
    </w:p>
  </w:footnote>
  <w:footnote w:id="9">
    <w:p w14:paraId="61623092" w14:textId="77777777" w:rsidR="00CA3DFA" w:rsidRDefault="00CA3DFA" w:rsidP="00CA3DFA">
      <w:pPr>
        <w:pStyle w:val="aa"/>
        <w:rPr>
          <w:rFonts w:ascii="Traditional Arabic" w:hAnsi="Traditional Arabic" w:cs="Traditional Arabic"/>
          <w:sz w:val="22"/>
          <w:szCs w:val="22"/>
        </w:rPr>
      </w:pPr>
      <w:r>
        <w:rPr>
          <w:rStyle w:val="ab"/>
          <w:rFonts w:ascii="Traditional Arabic" w:hAnsi="Traditional Arabic" w:cs="Traditional Arabic"/>
          <w:sz w:val="22"/>
          <w:szCs w:val="22"/>
        </w:rPr>
        <w:footnoteRef/>
      </w:r>
      <w:r>
        <w:rPr>
          <w:rFonts w:ascii="Traditional Arabic" w:hAnsi="Traditional Arabic" w:cs="Traditional Arabic"/>
          <w:sz w:val="22"/>
          <w:szCs w:val="22"/>
          <w:rtl/>
        </w:rPr>
        <w:t xml:space="preserve"> [الإسراء: 36].</w:t>
      </w:r>
    </w:p>
  </w:footnote>
  <w:footnote w:id="10">
    <w:p w14:paraId="0EEE312D" w14:textId="77777777" w:rsidR="00CA3DFA" w:rsidRDefault="00CA3DFA" w:rsidP="00CA3DFA">
      <w:pPr>
        <w:pStyle w:val="aa"/>
        <w:rPr>
          <w:rFonts w:ascii="Traditional Arabic" w:hAnsi="Traditional Arabic" w:cs="Traditional Arabic"/>
          <w:sz w:val="22"/>
          <w:szCs w:val="22"/>
        </w:rPr>
      </w:pPr>
      <w:r>
        <w:rPr>
          <w:rStyle w:val="ab"/>
          <w:rFonts w:ascii="Traditional Arabic" w:hAnsi="Traditional Arabic" w:cs="Traditional Arabic"/>
          <w:sz w:val="22"/>
          <w:szCs w:val="22"/>
        </w:rPr>
        <w:footnoteRef/>
      </w:r>
      <w:r>
        <w:rPr>
          <w:rFonts w:ascii="Traditional Arabic" w:hAnsi="Traditional Arabic" w:cs="Traditional Arabic"/>
          <w:sz w:val="22"/>
          <w:szCs w:val="22"/>
          <w:rtl/>
        </w:rPr>
        <w:t xml:space="preserve"> [الحشر: 7].</w:t>
      </w:r>
    </w:p>
  </w:footnote>
  <w:footnote w:id="11">
    <w:p w14:paraId="62E1408C" w14:textId="77777777" w:rsidR="00CA3DFA" w:rsidRDefault="00CA3DFA" w:rsidP="00CA3DFA">
      <w:pPr>
        <w:pStyle w:val="aa"/>
        <w:rPr>
          <w:rFonts w:ascii="Calibri" w:hAnsi="Calibri" w:cs="Arial"/>
        </w:rPr>
      </w:pPr>
      <w:r>
        <w:rPr>
          <w:rStyle w:val="ab"/>
          <w:rFonts w:ascii="Traditional Arabic" w:hAnsi="Traditional Arabic" w:cs="Traditional Arabic"/>
          <w:sz w:val="22"/>
          <w:szCs w:val="22"/>
        </w:rPr>
        <w:footnoteRef/>
      </w:r>
      <w:r>
        <w:rPr>
          <w:rFonts w:ascii="Traditional Arabic" w:hAnsi="Traditional Arabic" w:cs="Traditional Arabic"/>
          <w:sz w:val="22"/>
          <w:szCs w:val="22"/>
          <w:rtl/>
        </w:rPr>
        <w:t xml:space="preserve"> [النحل: 78].</w:t>
      </w:r>
    </w:p>
  </w:footnote>
  <w:footnote w:id="12">
    <w:p w14:paraId="76761359" w14:textId="77777777" w:rsidR="00CA3DFA" w:rsidRDefault="00CA3DFA" w:rsidP="00CA3DFA">
      <w:pPr>
        <w:pStyle w:val="aa"/>
        <w:rPr>
          <w:rFonts w:ascii="Traditional Arabic" w:hAnsi="Traditional Arabic" w:cs="Traditional Arabic"/>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[السجدة: 26-27].</w:t>
      </w:r>
    </w:p>
  </w:footnote>
  <w:footnote w:id="13">
    <w:p w14:paraId="2AD12B07"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[طه: 5].</w:t>
      </w:r>
    </w:p>
  </w:footnote>
  <w:footnote w:id="14">
    <w:p w14:paraId="356C8263" w14:textId="77777777" w:rsidR="00CA3DFA" w:rsidRDefault="00CA3DFA" w:rsidP="00CA3DFA">
      <w:pPr>
        <w:pStyle w:val="aa"/>
        <w:rPr>
          <w:rFonts w:ascii="Calibri" w:hAnsi="Calibri" w:cs="Arial"/>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[الفجر: 22-23].</w:t>
      </w:r>
    </w:p>
  </w:footnote>
  <w:footnote w:id="15">
    <w:p w14:paraId="1ED2D773" w14:textId="77777777" w:rsidR="00CA3DFA" w:rsidRDefault="00CA3DFA" w:rsidP="00CA3DFA">
      <w:pPr>
        <w:pStyle w:val="aa"/>
        <w:rPr>
          <w:rFonts w:ascii="Traditional Arabic" w:hAnsi="Traditional Arabic" w:cs="Traditional Arabic"/>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[كتاب درء تعارض العقل والنقل، ص79 (منقول بالمعنى)].</w:t>
      </w:r>
    </w:p>
  </w:footnote>
  <w:footnote w:id="16">
    <w:p w14:paraId="19A01532"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w:t>
      </w:r>
      <w:r>
        <w:rPr>
          <w:rStyle w:val="ayah-tag"/>
          <w:rFonts w:ascii="Traditional Arabic" w:hAnsi="Traditional Arabic" w:cs="Traditional Arabic"/>
          <w:sz w:val="24"/>
          <w:szCs w:val="24"/>
          <w:rtl/>
        </w:rPr>
        <w:t>التوبة:6].</w:t>
      </w:r>
    </w:p>
  </w:footnote>
  <w:footnote w:id="17">
    <w:p w14:paraId="2D59DE68" w14:textId="77777777" w:rsidR="00CA3DFA" w:rsidRDefault="00CA3DFA" w:rsidP="00CA3DFA">
      <w:pPr>
        <w:pStyle w:val="aa"/>
        <w:rPr>
          <w:rFonts w:ascii="Calibri" w:hAnsi="Calibri" w:cs="Arial"/>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[النساء: 164].</w:t>
      </w:r>
    </w:p>
  </w:footnote>
  <w:footnote w:id="18">
    <w:p w14:paraId="6BB5FAF2"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[القصص: 50].</w:t>
      </w:r>
    </w:p>
  </w:footnote>
  <w:footnote w:id="19">
    <w:p w14:paraId="3F68F479"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[النساء: 65].</w:t>
      </w:r>
    </w:p>
  </w:footnote>
  <w:footnote w:id="20">
    <w:p w14:paraId="3877A8CA"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[صحيح البخاري: 86].</w:t>
      </w:r>
    </w:p>
  </w:footnote>
  <w:footnote w:id="21">
    <w:p w14:paraId="61931743" w14:textId="77777777" w:rsidR="00CA3DFA" w:rsidRDefault="00CA3DFA" w:rsidP="00CA3DFA">
      <w:pPr>
        <w:pStyle w:val="aa"/>
        <w:rPr>
          <w:rFonts w:ascii="Calibri" w:hAnsi="Calibri" w:cs="Arial"/>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[الأعراف: 175-176].</w:t>
      </w:r>
    </w:p>
  </w:footnote>
  <w:footnote w:id="22">
    <w:p w14:paraId="62F042EC"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[الجمعة: 5].</w:t>
      </w:r>
    </w:p>
  </w:footnote>
  <w:footnote w:id="23">
    <w:p w14:paraId="364452EB"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[فاطر: 27].</w:t>
      </w:r>
    </w:p>
  </w:footnote>
  <w:footnote w:id="24">
    <w:p w14:paraId="762DCC85" w14:textId="77777777" w:rsidR="00CA3DFA" w:rsidRDefault="00CA3DFA" w:rsidP="00CA3DFA">
      <w:pPr>
        <w:pStyle w:val="aa"/>
        <w:rPr>
          <w:rFonts w:ascii="Traditional Arabic" w:hAnsi="Traditional Arabic" w:cs="Traditional Arabic"/>
          <w:sz w:val="24"/>
          <w:szCs w:val="24"/>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[غافر: 83].</w:t>
      </w:r>
    </w:p>
  </w:footnote>
  <w:footnote w:id="25">
    <w:p w14:paraId="560C11A3" w14:textId="77777777" w:rsidR="00CA3DFA" w:rsidRDefault="00CA3DFA" w:rsidP="00CA3DFA">
      <w:pPr>
        <w:pStyle w:val="aa"/>
        <w:rPr>
          <w:rFonts w:ascii="Calibri" w:hAnsi="Calibri" w:cs="Arial"/>
        </w:rPr>
      </w:pPr>
      <w:r>
        <w:rPr>
          <w:rStyle w:val="ab"/>
          <w:rFonts w:ascii="Traditional Arabic" w:hAnsi="Traditional Arabic" w:cs="Traditional Arabic"/>
          <w:sz w:val="24"/>
          <w:szCs w:val="24"/>
        </w:rPr>
        <w:footnoteRef/>
      </w:r>
      <w:r>
        <w:rPr>
          <w:rFonts w:ascii="Traditional Arabic" w:hAnsi="Traditional Arabic" w:cs="Traditional Arabic"/>
          <w:sz w:val="24"/>
          <w:szCs w:val="24"/>
          <w:rtl/>
        </w:rPr>
        <w:t xml:space="preserve"> [الشعراء: 128].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C8"/>
    <w:multiLevelType w:val="hybridMultilevel"/>
    <w:tmpl w:val="4ED001D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1" w15:restartNumberingAfterBreak="0">
    <w:nsid w:val="03270E4F"/>
    <w:multiLevelType w:val="hybridMultilevel"/>
    <w:tmpl w:val="4C2CC0D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82F1BAC"/>
    <w:multiLevelType w:val="hybridMultilevel"/>
    <w:tmpl w:val="8E3281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856923"/>
    <w:multiLevelType w:val="hybridMultilevel"/>
    <w:tmpl w:val="715EA6D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5C62BF"/>
    <w:multiLevelType w:val="hybridMultilevel"/>
    <w:tmpl w:val="180A9590"/>
    <w:lvl w:ilvl="0" w:tplc="3D6811E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CB82CB6"/>
    <w:multiLevelType w:val="hybridMultilevel"/>
    <w:tmpl w:val="3FDA051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5356A9"/>
    <w:multiLevelType w:val="hybridMultilevel"/>
    <w:tmpl w:val="AC5CAFB6"/>
    <w:lvl w:ilvl="0" w:tplc="4802E3E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3D15D8D"/>
    <w:multiLevelType w:val="hybridMultilevel"/>
    <w:tmpl w:val="B346358E"/>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D50C9F"/>
    <w:multiLevelType w:val="hybridMultilevel"/>
    <w:tmpl w:val="C136AB5A"/>
    <w:lvl w:ilvl="0" w:tplc="4802E3EC">
      <w:start w:val="1"/>
      <w:numFmt w:val="decimal"/>
      <w:lvlText w:val="%1-"/>
      <w:lvlJc w:val="left"/>
      <w:pPr>
        <w:ind w:left="360" w:hanging="360"/>
      </w:pPr>
      <w:rPr>
        <w:rFonts w:hint="default"/>
      </w:rPr>
    </w:lvl>
    <w:lvl w:ilvl="1" w:tplc="E43ED0E6">
      <w:numFmt w:val="bullet"/>
      <w:lvlText w:val="-"/>
      <w:lvlJc w:val="left"/>
      <w:pPr>
        <w:ind w:left="1080" w:hanging="360"/>
      </w:pPr>
      <w:rPr>
        <w:rFonts w:ascii="Traditional Arabic" w:eastAsia="Calibri" w:hAnsi="Traditional Arabic" w:cs="Traditional Arabic"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19BF71EA"/>
    <w:multiLevelType w:val="hybridMultilevel"/>
    <w:tmpl w:val="D47E7356"/>
    <w:lvl w:ilvl="0" w:tplc="8EAE18BA">
      <w:start w:val="1"/>
      <w:numFmt w:val="bullet"/>
      <w:lvlText w:val="­"/>
      <w:lvlJc w:val="left"/>
      <w:pPr>
        <w:ind w:left="360" w:hanging="360"/>
      </w:pPr>
      <w:rPr>
        <w:rFonts w:ascii="Impact" w:hAnsi="Impac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B8D2A43"/>
    <w:multiLevelType w:val="hybridMultilevel"/>
    <w:tmpl w:val="4560E20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A25E4"/>
    <w:multiLevelType w:val="hybridMultilevel"/>
    <w:tmpl w:val="CC0EC55A"/>
    <w:lvl w:ilvl="0" w:tplc="610462EE">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BF750C2"/>
    <w:multiLevelType w:val="hybridMultilevel"/>
    <w:tmpl w:val="F1F4E7A2"/>
    <w:lvl w:ilvl="0" w:tplc="8EAE18BA">
      <w:start w:val="1"/>
      <w:numFmt w:val="bullet"/>
      <w:lvlText w:val="­"/>
      <w:lvlJc w:val="left"/>
      <w:pPr>
        <w:ind w:left="360" w:hanging="360"/>
      </w:pPr>
      <w:rPr>
        <w:rFonts w:ascii="Impact" w:hAnsi="Impac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31BA5FF3"/>
    <w:multiLevelType w:val="hybridMultilevel"/>
    <w:tmpl w:val="97123AAE"/>
    <w:lvl w:ilvl="0" w:tplc="D21E4A20">
      <w:start w:val="1"/>
      <w:numFmt w:val="bullet"/>
      <w:lvlText w:val="-"/>
      <w:lvlJc w:val="left"/>
      <w:pPr>
        <w:ind w:left="360" w:hanging="360"/>
      </w:pPr>
      <w:rPr>
        <w:rFonts w:ascii="Arial" w:eastAsia="SimSu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238DB"/>
    <w:multiLevelType w:val="hybridMultilevel"/>
    <w:tmpl w:val="7CB6ED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7E2274"/>
    <w:multiLevelType w:val="hybridMultilevel"/>
    <w:tmpl w:val="ECB6C236"/>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A145E6E"/>
    <w:multiLevelType w:val="hybridMultilevel"/>
    <w:tmpl w:val="20584B90"/>
    <w:lvl w:ilvl="0" w:tplc="A464050C">
      <w:numFmt w:val="bullet"/>
      <w:lvlText w:val=""/>
      <w:lvlJc w:val="left"/>
      <w:pPr>
        <w:ind w:left="720" w:hanging="360"/>
      </w:pPr>
      <w:rPr>
        <w:rFonts w:ascii="Symbol" w:eastAsiaTheme="minorHAnsi" w:hAnsi="Symbol" w:cs="Cocon modifi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F5DC8"/>
    <w:multiLevelType w:val="hybridMultilevel"/>
    <w:tmpl w:val="01DC963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A72D2"/>
    <w:multiLevelType w:val="hybridMultilevel"/>
    <w:tmpl w:val="6F64ADD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1AA502B"/>
    <w:multiLevelType w:val="hybridMultilevel"/>
    <w:tmpl w:val="9334BCCE"/>
    <w:lvl w:ilvl="0" w:tplc="1D66392A">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4D014A"/>
    <w:multiLevelType w:val="hybridMultilevel"/>
    <w:tmpl w:val="258608F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4F24BA3"/>
    <w:multiLevelType w:val="hybridMultilevel"/>
    <w:tmpl w:val="89BC9078"/>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686DFC"/>
    <w:multiLevelType w:val="hybridMultilevel"/>
    <w:tmpl w:val="9442445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D587369"/>
    <w:multiLevelType w:val="hybridMultilevel"/>
    <w:tmpl w:val="27566918"/>
    <w:lvl w:ilvl="0" w:tplc="A544C72A">
      <w:start w:val="1"/>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DC82420"/>
    <w:multiLevelType w:val="hybridMultilevel"/>
    <w:tmpl w:val="21F62936"/>
    <w:lvl w:ilvl="0" w:tplc="4802E3E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50FA3B06"/>
    <w:multiLevelType w:val="hybridMultilevel"/>
    <w:tmpl w:val="390CFF46"/>
    <w:lvl w:ilvl="0" w:tplc="43EE79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FE4BCF"/>
    <w:multiLevelType w:val="hybridMultilevel"/>
    <w:tmpl w:val="61509D6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FC5752"/>
    <w:multiLevelType w:val="hybridMultilevel"/>
    <w:tmpl w:val="2E3C0618"/>
    <w:lvl w:ilvl="0" w:tplc="4802E3EC">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54AA55CD"/>
    <w:multiLevelType w:val="hybridMultilevel"/>
    <w:tmpl w:val="B5D66E1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BE478FB"/>
    <w:multiLevelType w:val="hybridMultilevel"/>
    <w:tmpl w:val="ADF06F56"/>
    <w:lvl w:ilvl="0" w:tplc="69B6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2FC2A6E"/>
    <w:multiLevelType w:val="hybridMultilevel"/>
    <w:tmpl w:val="E6B8CC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B073B6F"/>
    <w:multiLevelType w:val="hybridMultilevel"/>
    <w:tmpl w:val="FBE8A018"/>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39B57F0"/>
    <w:multiLevelType w:val="hybridMultilevel"/>
    <w:tmpl w:val="AD0C2834"/>
    <w:lvl w:ilvl="0" w:tplc="8EAE18BA">
      <w:start w:val="1"/>
      <w:numFmt w:val="bullet"/>
      <w:lvlText w:val="­"/>
      <w:lvlJc w:val="left"/>
      <w:pPr>
        <w:ind w:left="360" w:hanging="360"/>
      </w:pPr>
      <w:rPr>
        <w:rFonts w:ascii="Impact" w:hAnsi="Impac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771238D0"/>
    <w:multiLevelType w:val="hybridMultilevel"/>
    <w:tmpl w:val="180606FC"/>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A916530"/>
    <w:multiLevelType w:val="hybridMultilevel"/>
    <w:tmpl w:val="82325472"/>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15:restartNumberingAfterBreak="0">
    <w:nsid w:val="7CC15C83"/>
    <w:multiLevelType w:val="hybridMultilevel"/>
    <w:tmpl w:val="41C45388"/>
    <w:lvl w:ilvl="0" w:tplc="8EAE18BA">
      <w:start w:val="1"/>
      <w:numFmt w:val="bullet"/>
      <w:lvlText w:val="­"/>
      <w:lvlJc w:val="left"/>
      <w:pPr>
        <w:ind w:left="360" w:hanging="360"/>
      </w:pPr>
      <w:rPr>
        <w:rFonts w:ascii="Impact" w:hAnsi="Impac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2113158726">
    <w:abstractNumId w:val="16"/>
  </w:num>
  <w:num w:numId="2" w16cid:durableId="1625620824">
    <w:abstractNumId w:val="29"/>
  </w:num>
  <w:num w:numId="3" w16cid:durableId="997732588">
    <w:abstractNumId w:val="7"/>
  </w:num>
  <w:num w:numId="4" w16cid:durableId="540824273">
    <w:abstractNumId w:val="23"/>
  </w:num>
  <w:num w:numId="5" w16cid:durableId="1874731408">
    <w:abstractNumId w:val="26"/>
  </w:num>
  <w:num w:numId="6" w16cid:durableId="864370854">
    <w:abstractNumId w:val="6"/>
  </w:num>
  <w:num w:numId="7" w16cid:durableId="648705123">
    <w:abstractNumId w:val="21"/>
  </w:num>
  <w:num w:numId="8" w16cid:durableId="1983348141">
    <w:abstractNumId w:val="11"/>
  </w:num>
  <w:num w:numId="9" w16cid:durableId="1918443788">
    <w:abstractNumId w:val="2"/>
  </w:num>
  <w:num w:numId="10" w16cid:durableId="2046128026">
    <w:abstractNumId w:val="13"/>
  </w:num>
  <w:num w:numId="11" w16cid:durableId="959073779">
    <w:abstractNumId w:val="14"/>
  </w:num>
  <w:num w:numId="12" w16cid:durableId="780419820">
    <w:abstractNumId w:val="31"/>
  </w:num>
  <w:num w:numId="13" w16cid:durableId="417989736">
    <w:abstractNumId w:val="17"/>
  </w:num>
  <w:num w:numId="14" w16cid:durableId="1100839142">
    <w:abstractNumId w:val="25"/>
  </w:num>
  <w:num w:numId="15" w16cid:durableId="1022128303">
    <w:abstractNumId w:val="10"/>
  </w:num>
  <w:num w:numId="16" w16cid:durableId="1245459337">
    <w:abstractNumId w:val="33"/>
  </w:num>
  <w:num w:numId="17" w16cid:durableId="1520585923">
    <w:abstractNumId w:val="19"/>
  </w:num>
  <w:num w:numId="18" w16cid:durableId="488640687">
    <w:abstractNumId w:val="18"/>
  </w:num>
  <w:num w:numId="19" w16cid:durableId="1472945392">
    <w:abstractNumId w:val="4"/>
  </w:num>
  <w:num w:numId="20" w16cid:durableId="1118524344">
    <w:abstractNumId w:val="5"/>
  </w:num>
  <w:num w:numId="21" w16cid:durableId="936913014">
    <w:abstractNumId w:val="0"/>
  </w:num>
  <w:num w:numId="22" w16cid:durableId="143011888">
    <w:abstractNumId w:val="30"/>
  </w:num>
  <w:num w:numId="23" w16cid:durableId="2138788897">
    <w:abstractNumId w:val="8"/>
  </w:num>
  <w:num w:numId="24" w16cid:durableId="1304698098">
    <w:abstractNumId w:val="32"/>
  </w:num>
  <w:num w:numId="25" w16cid:durableId="53436635">
    <w:abstractNumId w:val="35"/>
  </w:num>
  <w:num w:numId="26" w16cid:durableId="466162909">
    <w:abstractNumId w:val="9"/>
  </w:num>
  <w:num w:numId="27" w16cid:durableId="1542984058">
    <w:abstractNumId w:val="24"/>
  </w:num>
  <w:num w:numId="28" w16cid:durableId="1710571601">
    <w:abstractNumId w:val="34"/>
  </w:num>
  <w:num w:numId="29" w16cid:durableId="1117682671">
    <w:abstractNumId w:val="12"/>
  </w:num>
  <w:num w:numId="30" w16cid:durableId="1110659082">
    <w:abstractNumId w:val="27"/>
  </w:num>
  <w:num w:numId="31" w16cid:durableId="1614359751">
    <w:abstractNumId w:val="3"/>
  </w:num>
  <w:num w:numId="32" w16cid:durableId="1985766925">
    <w:abstractNumId w:val="20"/>
  </w:num>
  <w:num w:numId="33" w16cid:durableId="1015037117">
    <w:abstractNumId w:val="28"/>
  </w:num>
  <w:num w:numId="34" w16cid:durableId="1913155491">
    <w:abstractNumId w:val="1"/>
  </w:num>
  <w:num w:numId="35" w16cid:durableId="1397775948">
    <w:abstractNumId w:val="22"/>
  </w:num>
  <w:num w:numId="36" w16cid:durableId="2657676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12E14"/>
    <w:rsid w:val="00245993"/>
    <w:rsid w:val="004A28B7"/>
    <w:rsid w:val="004C46D1"/>
    <w:rsid w:val="00552DDF"/>
    <w:rsid w:val="006770C3"/>
    <w:rsid w:val="006D5224"/>
    <w:rsid w:val="007E0E96"/>
    <w:rsid w:val="008C0891"/>
    <w:rsid w:val="008F3DF4"/>
    <w:rsid w:val="009532CC"/>
    <w:rsid w:val="009F07DD"/>
    <w:rsid w:val="00A0047A"/>
    <w:rsid w:val="00A6051B"/>
    <w:rsid w:val="00A63010"/>
    <w:rsid w:val="00AC23E7"/>
    <w:rsid w:val="00B17A18"/>
    <w:rsid w:val="00CA3DFA"/>
    <w:rsid w:val="00CB1844"/>
    <w:rsid w:val="00E0708E"/>
    <w:rsid w:val="00E57F70"/>
    <w:rsid w:val="00E64B6E"/>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26</Pages>
  <Words>5895</Words>
  <Characters>33605</Characters>
  <Application>Microsoft Office Word</Application>
  <DocSecurity>0</DocSecurity>
  <Lines>280</Lines>
  <Paragraphs>78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8</cp:revision>
  <cp:lastPrinted>2026-06-14T15:50:00Z</cp:lastPrinted>
  <dcterms:created xsi:type="dcterms:W3CDTF">2026-06-09T15:47:00Z</dcterms:created>
  <dcterms:modified xsi:type="dcterms:W3CDTF">2026-06-14T15:51:00Z</dcterms:modified>
</cp:coreProperties>
</file>