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MicroRFP Strategy &amp; Proposal Blueprint</w:t>
      </w:r>
    </w:p>
    <w:p>
      <w:pPr>
        <w:spacing w:after="360"/>
      </w:pPr>
      <w:r>
        <w:rPr>
          <w:i/>
          <w:iCs/>
          <w:color w:val="64748B"/>
          <w:sz w:val="22"/>
          <w:szCs w:val="22"/>
        </w:rPr>
        <w:t xml:space="preserve">Executive Bid Analysis, Compliance Matrix &amp; Proposal Draft Outline</w:t>
      </w:r>
    </w:p>
    <w:p>
      <w:pPr>
        <w:pStyle w:val="Heading1"/>
        <w:spacing w:after="120" w:before="240"/>
      </w:pPr>
      <w:r>
        <w:t xml:space="preserve">1. Opportunity Overview</w:t>
      </w:r>
    </w:p>
    <w:p>
      <w:pPr>
        <w:spacing w:after="80"/>
      </w:pPr>
      <w:r>
        <w:rPr>
          <w:b/>
          <w:bCs/>
        </w:rPr>
        <w:t xml:space="preserve">RFP Title: </w:t>
      </w:r>
      <w:r>
        <w:t xml:space="preserve">Acquisition of Commercial Items for 309th SWEG - Product &amp; License Renewals</w:t>
      </w:r>
    </w:p>
    <w:p>
      <w:pPr>
        <w:spacing w:after="80"/>
      </w:pPr>
      <w:r>
        <w:rPr>
          <w:b/>
          <w:bCs/>
        </w:rPr>
        <w:t xml:space="preserve">Issuing Agency: </w:t>
      </w:r>
      <w:r>
        <w:t xml:space="preserve">Department of the Air Force / Air Force Materiel Command (Hill AFB, UT)</w:t>
      </w:r>
    </w:p>
    <w:p>
      <w:pPr>
        <w:spacing w:after="80"/>
      </w:pPr>
      <w:r>
        <w:rPr>
          <w:b/>
          <w:bCs/>
        </w:rPr>
        <w:t xml:space="preserve">Opportunity / Solicitation ID: </w:t>
      </w:r>
      <w:r>
        <w:t xml:space="preserve">FA8222-26-Q-3456</w:t>
      </w:r>
    </w:p>
    <w:p>
      <w:pPr>
        <w:spacing w:after="80"/>
      </w:pPr>
      <w:r>
        <w:rPr>
          <w:b/>
          <w:bCs/>
        </w:rPr>
        <w:t xml:space="preserve">Submission Deadline: </w:t>
      </w:r>
      <w:r>
        <w:t xml:space="preserve">24 September 2026 at 1100 MT</w:t>
      </w:r>
    </w:p>
    <w:p>
      <w:pPr>
        <w:spacing w:after="240"/>
      </w:pPr>
      <w:r>
        <w:rPr>
          <w:b/>
          <w:bCs/>
        </w:rPr>
        <w:t xml:space="preserve">Estimated Budget / Ceiling: </w:t>
      </w:r>
      <w:r>
        <w:t xml:space="preserve">Not Specified in RFP</w:t>
      </w:r>
    </w:p>
    <w:p>
      <w:pPr>
        <w:pStyle w:val="Heading1"/>
        <w:spacing w:after="120" w:before="240"/>
      </w:pPr>
      <w:r>
        <w:t xml:space="preserve">2. Bid / No-Bid Decision Scorecard</w:t>
      </w:r>
    </w:p>
    <w:p>
      <w:pPr>
        <w:spacing w:after="120"/>
      </w:pPr>
      <w:r>
        <w:rPr>
          <w:b/>
          <w:bCs/>
        </w:rPr>
        <w:t xml:space="preserve">Decision Verdict: </w:t>
      </w:r>
      <w:r>
        <w:rPr>
          <w:b/>
          <w:bCs/>
          <w:color w:val="B91C1C"/>
        </w:rPr>
        <w:t xml:space="preserve">[ NOT_RECOMMENDED ]</w:t>
      </w:r>
      <w:r>
        <w:rPr>
          <w:b/>
          <w:bCs/>
        </w:rPr>
        <w:t xml:space="preserve">   (Score: 48 / 100)</w:t>
      </w:r>
    </w:p>
    <w:p>
      <w:pPr>
        <w:spacing w:after="80"/>
      </w:pPr>
      <w:r>
        <w:rPr>
          <w:b/>
          <w:bCs/>
        </w:rPr>
        <w:t xml:space="preserve">Verdict Rationale &amp; Strategic Assessment:</w:t>
      </w:r>
    </w:p>
    <w:p>
      <w:pPr>
        <w:spacing w:after="60"/>
      </w:pPr>
      <w:r>
        <w:t xml:space="preserve">•  </w:t>
      </w:r>
      <w:r>
        <w:t xml:space="preserve">Extremely compressed submission timeline: Offers are due 24 September 2026 at 1100 MT, leaving under 48 hours for quotation assembly and compliance verification.</w:t>
      </w:r>
    </w:p>
    <w:p>
      <w:pPr>
        <w:spacing w:after="60"/>
      </w:pPr>
      <w:r>
        <w:t xml:space="preserve">•  </w:t>
      </w:r>
      <w:r>
        <w:t xml:space="preserve">Formal Question &amp; Answer deadline (21 September 2026 at 1100 MT) has already elapsed, preventing resolution of any specification ambiguities.</w:t>
      </w:r>
    </w:p>
    <w:p>
      <w:pPr>
        <w:spacing w:after="60"/>
      </w:pPr>
      <w:r>
        <w:t xml:space="preserve">•  </w:t>
      </w:r>
      <w:r>
        <w:t xml:space="preserve">The solicitation references an external 'attached document for detailed specifications' (IAW EL) required to price CLINs 0001 through 0005 accurately.</w:t>
      </w:r>
    </w:p>
    <w:p>
      <w:pPr>
        <w:spacing w:after="60"/>
      </w:pPr>
      <w:r>
        <w:t xml:space="preserve">•  </w:t>
      </w:r>
      <w:r>
        <w:t xml:space="preserve">Evaluation is strictly Lowest Price Technically Acceptable (LPTA), forcing a commodity price competition where technical excellence provides zero scoring advantage.</w:t>
      </w:r>
    </w:p>
    <w:p>
      <w:pPr>
        <w:spacing w:after="60"/>
      </w:pPr>
      <w:r>
        <w:t xml:space="preserve">•  </w:t>
      </w:r>
      <w:r>
        <w:t xml:space="preserve">Strict defense compliance hurdles: Mandatory active SAM.gov registration, CAGE code, SAM UEI, and DFARS 252.204-7012 / NIST SP 800-171 cybersecurity compliance.</w:t>
      </w:r>
    </w:p>
    <w:p>
      <w:pPr>
        <w:pStyle w:val="Heading1"/>
        <w:spacing w:after="120" w:before="300"/>
      </w:pPr>
      <w:r>
        <w:t xml:space="preserve">3. Key Qualifications &amp; Risk Matrix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E293B" w:color="auto" w:val="clear"/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shd w:fill="1E293B" w:color="auto" w:val="clear"/>
          </w:tcPr>
          <w:p>
            <w:r>
              <w:rPr>
                <w:b/>
                <w:bCs/>
                <w:color w:val="FFFFFF"/>
              </w:rPr>
              <w:t xml:space="preserve">Requirement Description</w:t>
            </w:r>
          </w:p>
        </w:tc>
        <w:tc>
          <w:tcPr>
            <w:shd w:fill="1E293B" w:color="auto" w:val="clear"/>
          </w:tcPr>
          <w:p>
            <w:r>
              <w:rPr>
                <w:b/>
                <w:bCs/>
                <w:color w:val="FFFFFF"/>
              </w:rPr>
              <w:t xml:space="preserve">Risk Level</w:t>
            </w:r>
          </w:p>
        </w:tc>
      </w:tr>
      <w:tr>
        <w:tc>
          <w:p>
            <w:r>
              <w:rPr>
                <w:b/>
                <w:bCs/>
              </w:rPr>
              <w:t xml:space="preserve">Small Business Set-Aside</w:t>
            </w:r>
          </w:p>
        </w:tc>
        <w:tc>
          <w:p>
            <w:r>
              <w:t xml:space="preserve">Offeror must qualify as a small business under NAICS 541519 (Other Computer Related Services) with small business size standard of $34,000,000.</w:t>
            </w:r>
          </w:p>
        </w:tc>
        <w:tc>
          <w:p>
            <w:r>
              <w:rPr>
                <w:b/>
                <w:bCs/>
                <w:color w:val="B45309"/>
              </w:rPr>
              <w:t xml:space="preserve">Medium</w:t>
            </w:r>
          </w:p>
        </w:tc>
      </w:tr>
      <w:tr>
        <w:tc>
          <w:p>
            <w:r>
              <w:rPr>
                <w:b/>
                <w:bCs/>
              </w:rPr>
              <w:t xml:space="preserve">Cybersecurity &amp; CDI Safeguarding</w:t>
            </w:r>
          </w:p>
        </w:tc>
        <w:tc>
          <w:p>
            <w:r>
              <w:t xml:space="preserve">Mandatory compliance with DFARS 252.204-7008 and 252.204-7012 (Safeguarding Covered Defense Information and Cyber Incident Reporting per NIST SP 800-171).</w:t>
            </w:r>
          </w:p>
        </w:tc>
        <w:tc>
          <w:p>
            <w:r>
              <w:rPr>
                <w:b/>
                <w:bCs/>
                <w:color w:val="B91C1C"/>
              </w:rPr>
              <w:t xml:space="preserve">High</w:t>
            </w:r>
          </w:p>
        </w:tc>
      </w:tr>
      <w:tr>
        <w:tc>
          <w:p>
            <w:r>
              <w:rPr>
                <w:b/>
                <w:bCs/>
              </w:rPr>
              <w:t xml:space="preserve">Supplier Performance Risk System (SPRS)</w:t>
            </w:r>
          </w:p>
        </w:tc>
        <w:tc>
          <w:p>
            <w:r>
              <w:t xml:space="preserve">Evaluation will incorporate offeror risk and past performance scores in the Supplier Performance Risk System pursuant to DFARS 252.204-7024.</w:t>
            </w:r>
          </w:p>
        </w:tc>
        <w:tc>
          <w:p>
            <w:r>
              <w:rPr>
                <w:b/>
                <w:bCs/>
                <w:color w:val="B45309"/>
              </w:rPr>
              <w:t xml:space="preserve">Medium</w:t>
            </w:r>
          </w:p>
        </w:tc>
      </w:tr>
      <w:tr>
        <w:tc>
          <w:p>
            <w:r>
              <w:rPr>
                <w:b/>
                <w:bCs/>
              </w:rPr>
              <w:t xml:space="preserve">Delivery &amp; License Duration</w:t>
            </w:r>
          </w:p>
        </w:tc>
        <w:tc>
          <w:p>
            <w:r>
              <w:t xml:space="preserve">Delivery FOB Destination to Hill AFB Bldg 1515 not to exceed 9 Months ARO. Software license renewals must guarantee 12 months duration after delivery across 5 PoP periods.</w:t>
            </w:r>
          </w:p>
        </w:tc>
        <w:tc>
          <w:p>
            <w:r>
              <w:rPr>
                <w:b/>
                <w:bCs/>
                <w:color w:val="B45309"/>
              </w:rPr>
              <w:t xml:space="preserve">Medium</w:t>
            </w:r>
          </w:p>
        </w:tc>
      </w:tr>
      <w:tr>
        <w:tc>
          <w:p>
            <w:r>
              <w:rPr>
                <w:b/>
                <w:bCs/>
              </w:rPr>
              <w:t xml:space="preserve">Telecommunications &amp; National Security</w:t>
            </w:r>
          </w:p>
        </w:tc>
        <w:tc>
          <w:p>
            <w:r>
              <w:t xml:space="preserve">Prohibitions on ByteDance covered applications (FAR 52.204-27) and Covered Defense Telecommunications Equipment (DFARS 252.204-7017/7018).</w:t>
            </w:r>
          </w:p>
        </w:tc>
        <w:tc>
          <w:p>
            <w:r>
              <w:rPr>
                <w:b/>
                <w:bCs/>
                <w:color w:val="15803D"/>
              </w:rPr>
              <w:t xml:space="preserve">Low</w:t>
            </w:r>
          </w:p>
        </w:tc>
      </w:tr>
    </w:tbl>
    <w:p>
      <w:pPr>
        <w:pStyle w:val="Heading1"/>
        <w:spacing w:after="120" w:before="300"/>
      </w:pPr>
      <w:r>
        <w:t xml:space="preserve">4. Compliance &amp; Submission Matrix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E293B" w:color="auto" w:val="clear"/>
          </w:tcPr>
          <w:p>
            <w:r>
              <w:rPr>
                <w:b/>
                <w:bCs/>
                <w:color w:val="FFFFFF"/>
              </w:rPr>
              <w:t xml:space="preserve">Section</w:t>
            </w:r>
          </w:p>
        </w:tc>
        <w:tc>
          <w:tcPr>
            <w:shd w:fill="1E293B" w:color="auto" w:val="clear"/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shd w:fill="1E293B" w:color="auto" w:val="clear"/>
          </w:tcPr>
          <w:p>
            <w:r>
              <w:rPr>
                <w:b/>
                <w:bCs/>
                <w:color w:val="FFFFFF"/>
              </w:rPr>
              <w:t xml:space="preserve">Mandatory</w:t>
            </w:r>
          </w:p>
        </w:tc>
        <w:tc>
          <w:tcPr>
            <w:shd w:fill="1E293B" w:color="auto" w:val="clear"/>
          </w:tcPr>
          <w:p>
            <w:r>
              <w:rPr>
                <w:b/>
                <w:bCs/>
                <w:color w:val="FFFFFF"/>
              </w:rPr>
              <w:t xml:space="preserve">Proposal Manager Flag Note</w:t>
            </w:r>
          </w:p>
        </w:tc>
      </w:tr>
      <w:tr>
        <w:tc>
          <w:p>
            <w:r>
              <w:t xml:space="preserve">Section (viii) / FAR 52.212-1</w:t>
            </w:r>
          </w:p>
        </w:tc>
        <w:tc>
          <w:p>
            <w:r>
              <w:t xml:space="preserve">Offers due NLT 24 September 2026 at 1100 MT via electronic mail to jonathan.graham.11@us.af.mil. Must provide CAGE code and SAM UEI when submitting bid.</w:t>
            </w:r>
          </w:p>
        </w:tc>
        <w:tc>
          <w:p>
            <w:r>
              <w:t xml:space="preserve">YES (Strict)</w:t>
            </w:r>
          </w:p>
        </w:tc>
        <w:tc>
          <w:p>
            <w:r>
              <w:rPr>
                <w:i/>
                <w:iCs/>
                <w:color w:val="991B1B"/>
              </w:rPr>
              <w:t xml:space="preserve">CRITICAL DEADLINE: Must be transmitted by 1100 MT. Late email bids will be disqualified without review.</w:t>
            </w:r>
          </w:p>
        </w:tc>
      </w:tr>
      <w:tr>
        <w:tc>
          <w:p>
            <w:r>
              <w:t xml:space="preserve">Section (x) / FAR 52.212-3</w:t>
            </w:r>
          </w:p>
        </w:tc>
        <w:tc>
          <w:p>
            <w:r>
              <w:t xml:space="preserve">Offerors must include a completed copy of Offeror Representations and Certifications -- Commercial Items with offer.</w:t>
            </w:r>
          </w:p>
        </w:tc>
        <w:tc>
          <w:p>
            <w:r>
              <w:t xml:space="preserve">YES (Strict)</w:t>
            </w:r>
          </w:p>
        </w:tc>
        <w:tc>
          <w:p>
            <w:r>
              <w:rPr>
                <w:i/>
                <w:iCs/>
                <w:color w:val="991B1B"/>
              </w:rPr>
              <w:t xml:space="preserve">Verify SAM.gov representations are active or submit written FAR 52.212-3 certification.</w:t>
            </w:r>
          </w:p>
        </w:tc>
      </w:tr>
      <w:tr>
        <w:tc>
          <w:p>
            <w:r>
              <w:t xml:space="preserve">Section (b) / SAM.gov</w:t>
            </w:r>
          </w:p>
        </w:tc>
        <w:tc>
          <w:p>
            <w:r>
              <w:t xml:space="preserve">All firms or individuals responding must be registered with the System for Award Management (SAM). Submit only written offers; oral offers will not be accepted.</w:t>
            </w:r>
          </w:p>
        </w:tc>
        <w:tc>
          <w:p>
            <w:r>
              <w:t xml:space="preserve">YES (Strict)</w:t>
            </w:r>
          </w:p>
        </w:tc>
        <w:tc>
          <w:p>
            <w:r>
              <w:rPr>
                <w:i/>
                <w:iCs/>
                <w:color w:val="991B1B"/>
              </w:rPr>
              <w:t xml:space="preserve">Must verify active registration status and UEI prior to submission.</w:t>
            </w:r>
          </w:p>
        </w:tc>
      </w:tr>
      <w:tr>
        <w:tc>
          <w:p>
            <w:r>
              <w:t xml:space="preserve">Section (v) / CLINs 0001-0005</w:t>
            </w:r>
          </w:p>
        </w:tc>
        <w:tc>
          <w:p>
            <w:r>
              <w:t xml:space="preserve">Pricing required for Base Year (CLIN 0001) plus four 1-year Option Years (CLINs 0002-0005) IAW Equipment List (EL) through 11/11/2031.</w:t>
            </w:r>
          </w:p>
        </w:tc>
        <w:tc>
          <w:p>
            <w:r>
              <w:t xml:space="preserve">YES (Strict)</w:t>
            </w:r>
          </w:p>
        </w:tc>
        <w:tc>
          <w:p>
            <w:r>
              <w:rPr>
                <w:i/>
                <w:iCs/>
                <w:color w:val="991B1B"/>
              </w:rPr>
              <w:t xml:space="preserve">All option years must be priced to enable total evaluated price calculation.</w:t>
            </w:r>
          </w:p>
        </w:tc>
      </w:tr>
      <w:tr>
        <w:tc>
          <w:p>
            <w:r>
              <w:t xml:space="preserve">Section (vii) / FOB Destination</w:t>
            </w:r>
          </w:p>
        </w:tc>
        <w:tc>
          <w:p>
            <w:r>
              <w:t xml:space="preserve">Delivery to 6137 Wardleigh Rd, Bldg 1515, Hill AFB, UT 84056. Delivery not to exceed 9 Months ARO. FOB Destination.</w:t>
            </w:r>
          </w:p>
        </w:tc>
        <w:tc>
          <w:p>
            <w:r>
              <w:t xml:space="preserve">YES (Strict)</w:t>
            </w:r>
          </w:p>
        </w:tc>
        <w:tc>
          <w:p>
            <w:r>
              <w:rPr>
                <w:i/>
                <w:iCs/>
                <w:color w:val="991B1B"/>
              </w:rPr>
              <w:t xml:space="preserve">Ensure freight, packaging, and inside delivery are factored into unit pricing.</w:t>
            </w:r>
          </w:p>
        </w:tc>
      </w:tr>
      <w:tr>
        <w:tc>
          <w:p>
            <w:r>
              <w:t xml:space="preserve">DFARS 252.232-7003 / 7006</w:t>
            </w:r>
          </w:p>
        </w:tc>
        <w:tc>
          <w:p>
            <w:r>
              <w:t xml:space="preserve">Electronic submission of payment requests and receiving reports via Wide Area WorkFlow (WAWF / PIEE).</w:t>
            </w:r>
          </w:p>
        </w:tc>
        <w:tc>
          <w:p>
            <w:r>
              <w:t xml:space="preserve">YES (Strict)</w:t>
            </w:r>
          </w:p>
        </w:tc>
        <w:tc>
          <w:p>
            <w:r>
              <w:rPr>
                <w:i/>
                <w:iCs/>
                <w:color w:val="991B1B"/>
              </w:rPr>
              <w:t xml:space="preserve">Contractor must maintain operational WAWF account to bill upon delivery acceptance.</w:t>
            </w:r>
          </w:p>
        </w:tc>
      </w:tr>
    </w:tbl>
    <w:p>
      <w:pPr>
        <w:pStyle w:val="Heading1"/>
        <w:spacing w:after="120" w:before="300"/>
      </w:pPr>
      <w:r>
        <w:t xml:space="preserve">5. Evaluation Criteria &amp; Scoring Weights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E293B" w:color="auto" w:val="clear"/>
          </w:tcPr>
          <w:p>
            <w:r>
              <w:rPr>
                <w:b/>
                <w:bCs/>
                <w:color w:val="FFFFFF"/>
              </w:rPr>
              <w:t xml:space="preserve">Criterion Factor</w:t>
            </w:r>
          </w:p>
        </w:tc>
        <w:tc>
          <w:tcPr>
            <w:shd w:fill="1E293B" w:color="auto" w:val="clear"/>
          </w:tcPr>
          <w:p>
            <w:r>
              <w:rPr>
                <w:b/>
                <w:bCs/>
                <w:color w:val="FFFFFF"/>
              </w:rPr>
              <w:t xml:space="preserve">Scoring Weight</w:t>
            </w:r>
          </w:p>
        </w:tc>
      </w:tr>
      <w:tr>
        <w:tc>
          <w:p>
            <w:r>
              <w:t xml:space="preserve">Proposed Total Evaluated Price</w:t>
            </w:r>
          </w:p>
        </w:tc>
        <w:tc>
          <w:p>
            <w:r>
              <w:rPr>
                <w:b/>
                <w:bCs/>
              </w:rPr>
              <w:t xml:space="preserve">Lowest Price Technically Acceptable (LPTA Basis)</w:t>
            </w:r>
          </w:p>
        </w:tc>
      </w:tr>
      <w:tr>
        <w:tc>
          <w:p>
            <w:r>
              <w:t xml:space="preserve">Technical Capability to Meet Government Requirement</w:t>
            </w:r>
          </w:p>
        </w:tc>
        <w:tc>
          <w:p>
            <w:r>
              <w:rPr>
                <w:b/>
                <w:bCs/>
              </w:rPr>
              <w:t xml:space="preserve">Pass / Fail (Technical Acceptability Based on Specifications)</w:t>
            </w:r>
          </w:p>
        </w:tc>
      </w:tr>
    </w:tbl>
    <w:p>
      <w:pPr>
        <w:pStyle w:val="Heading1"/>
        <w:spacing w:after="160" w:before="300"/>
      </w:pPr>
      <w:r>
        <w:t xml:space="preserve">6. Draft Proposal Response Outline</w:t>
      </w:r>
    </w:p>
    <w:p>
      <w:pPr>
        <w:pStyle w:val="Heading2"/>
        <w:spacing w:after="80" w:before="180"/>
      </w:pPr>
      <w:r>
        <w:t xml:space="preserve">1.0 Transmittal Letter, Corporate Identifiers &amp; SAM Reps/Certs</w:t>
      </w:r>
    </w:p>
    <w:p>
      <w:pPr>
        <w:spacing w:after="60"/>
      </w:pPr>
      <w:r>
        <w:rPr>
          <w:b/>
          <w:bCs/>
          <w:color w:val="64748B"/>
        </w:rPr>
        <w:t xml:space="preserve">  [ ]  </w:t>
      </w:r>
      <w:r>
        <w:t xml:space="preserve">Formal transmittal letter addressed to Jonathan Graham referencing Solicitation FA8222-26-Q-3456.</w:t>
      </w:r>
    </w:p>
    <w:p>
      <w:pPr>
        <w:spacing w:after="60"/>
      </w:pPr>
      <w:r>
        <w:rPr>
          <w:b/>
          <w:bCs/>
          <w:color w:val="64748B"/>
        </w:rPr>
        <w:t xml:space="preserve">  [ ]  </w:t>
      </w:r>
      <w:r>
        <w:t xml:space="preserve">Corporate identifiers: CAGE Code, SAM Unique Entity Identifier (UEI), TIN, and Small Business self-certification under NAICS 541519.</w:t>
      </w:r>
    </w:p>
    <w:p>
      <w:pPr>
        <w:spacing w:after="60"/>
      </w:pPr>
      <w:r>
        <w:rPr>
          <w:b/>
          <w:bCs/>
          <w:color w:val="64748B"/>
        </w:rPr>
        <w:t xml:space="preserve">  [ ]  </w:t>
      </w:r>
      <w:r>
        <w:t xml:space="preserve">Statement confirming active SAM.gov registration and compliance with FAR 52.212-3 Offeror Representations and Certifications.</w:t>
      </w:r>
    </w:p>
    <w:p>
      <w:pPr>
        <w:spacing w:after="60"/>
      </w:pPr>
      <w:r>
        <w:rPr>
          <w:b/>
          <w:bCs/>
          <w:color w:val="64748B"/>
        </w:rPr>
        <w:t xml:space="preserve">  [ ]  </w:t>
      </w:r>
      <w:r>
        <w:t xml:space="preserve">Explicit acknowledgement that written quote constitutes a binding offer with validity through specified acceptance date.</w:t>
      </w:r>
    </w:p>
    <w:p>
      <w:pPr>
        <w:pStyle w:val="Heading2"/>
        <w:spacing w:after="80" w:before="180"/>
      </w:pPr>
      <w:r>
        <w:t xml:space="preserve">2.0 Technical Capability &amp; Specification Compliance Matrix</w:t>
      </w:r>
    </w:p>
    <w:p>
      <w:pPr>
        <w:spacing w:after="60"/>
      </w:pPr>
      <w:r>
        <w:rPr>
          <w:b/>
          <w:bCs/>
          <w:color w:val="64748B"/>
        </w:rPr>
        <w:t xml:space="preserve">  [ ]  </w:t>
      </w:r>
      <w:r>
        <w:t xml:space="preserve">Item-by-item technical compliance matrix mapping proposed commercial items directly against 309th SWEG specifications.</w:t>
      </w:r>
    </w:p>
    <w:p>
      <w:pPr>
        <w:spacing w:after="60"/>
      </w:pPr>
      <w:r>
        <w:rPr>
          <w:b/>
          <w:bCs/>
          <w:color w:val="64748B"/>
        </w:rPr>
        <w:t xml:space="preserve">  [ ]  </w:t>
      </w:r>
      <w:r>
        <w:t xml:space="preserve">Verification of part numbers, licensing tiers, and OEM authorized reseller documentation for required products.</w:t>
      </w:r>
    </w:p>
    <w:p>
      <w:pPr>
        <w:spacing w:after="60"/>
      </w:pPr>
      <w:r>
        <w:rPr>
          <w:b/>
          <w:bCs/>
          <w:color w:val="64748B"/>
        </w:rPr>
        <w:t xml:space="preserve">  [ ]  </w:t>
      </w:r>
      <w:r>
        <w:t xml:space="preserve">Technical acceptance narrative demonstrating zero deviation from requested capabilities on the Equipment List (IAW EL).</w:t>
      </w:r>
    </w:p>
    <w:p>
      <w:pPr>
        <w:spacing w:after="60"/>
      </w:pPr>
      <w:r>
        <w:rPr>
          <w:b/>
          <w:bCs/>
          <w:color w:val="64748B"/>
        </w:rPr>
        <w:t xml:space="preserve">  [ ]  </w:t>
      </w:r>
      <w:r>
        <w:t xml:space="preserve">Quality assurance verification ensuring delivered products are genuine, unmodified commercial items.</w:t>
      </w:r>
    </w:p>
    <w:p>
      <w:pPr>
        <w:pStyle w:val="Heading2"/>
        <w:spacing w:after="80" w:before="180"/>
      </w:pPr>
      <w:r>
        <w:t xml:space="preserve">3.0 Delivery Plan, FOB Destination Logistics &amp; License Duration</w:t>
      </w:r>
    </w:p>
    <w:p>
      <w:pPr>
        <w:spacing w:after="60"/>
      </w:pPr>
      <w:r>
        <w:rPr>
          <w:b/>
          <w:bCs/>
          <w:color w:val="64748B"/>
        </w:rPr>
        <w:t xml:space="preserve">  [ ]  </w:t>
      </w:r>
      <w:r>
        <w:t xml:space="preserve">Commitment to deliver FOB Destination to Hill AFB Bldg 1515 within the mandatory 9-Month After Receipt of Order (ARO) window.</w:t>
      </w:r>
    </w:p>
    <w:p>
      <w:pPr>
        <w:spacing w:after="60"/>
      </w:pPr>
      <w:r>
        <w:rPr>
          <w:b/>
          <w:bCs/>
          <w:color w:val="64748B"/>
        </w:rPr>
        <w:t xml:space="preserve">  [ ]  </w:t>
      </w:r>
      <w:r>
        <w:t xml:space="preserve">Detailed software license term tracking guaranteeing exactly 12 months of active coverage post-delivery.</w:t>
      </w:r>
    </w:p>
    <w:p>
      <w:pPr>
        <w:spacing w:after="60"/>
      </w:pPr>
      <w:r>
        <w:rPr>
          <w:b/>
          <w:bCs/>
          <w:color w:val="64748B"/>
        </w:rPr>
        <w:t xml:space="preserve">  [ ]  </w:t>
      </w:r>
      <w:r>
        <w:t xml:space="preserve">Shipping coordination, base access clearance, and receiving inspection protocols with 309th SWEG personnel.</w:t>
      </w:r>
    </w:p>
    <w:p>
      <w:pPr>
        <w:spacing w:after="60"/>
      </w:pPr>
      <w:r>
        <w:rPr>
          <w:b/>
          <w:bCs/>
          <w:color w:val="64748B"/>
        </w:rPr>
        <w:t xml:space="preserve">  [ ]  </w:t>
      </w:r>
      <w:r>
        <w:t xml:space="preserve">Warranty support contacts and escalation paths during the initial 12-month license lifecycle.</w:t>
      </w:r>
    </w:p>
    <w:p>
      <w:pPr>
        <w:pStyle w:val="Heading2"/>
        <w:spacing w:after="80" w:before="180"/>
      </w:pPr>
      <w:r>
        <w:t xml:space="preserve">4.0 Cyber Safeguarding &amp; National Security Compliance Attestation</w:t>
      </w:r>
    </w:p>
    <w:p>
      <w:pPr>
        <w:spacing w:after="60"/>
      </w:pPr>
      <w:r>
        <w:rPr>
          <w:b/>
          <w:bCs/>
          <w:color w:val="64748B"/>
        </w:rPr>
        <w:t xml:space="preserve">  [ ]  </w:t>
      </w:r>
      <w:r>
        <w:t xml:space="preserve">Affirmation of compliance with DFARS 252.204-7008 and 252.204-7012 safeguarding covered defense information.</w:t>
      </w:r>
    </w:p>
    <w:p>
      <w:pPr>
        <w:spacing w:after="60"/>
      </w:pPr>
      <w:r>
        <w:rPr>
          <w:b/>
          <w:bCs/>
          <w:color w:val="64748B"/>
        </w:rPr>
        <w:t xml:space="preserve">  [ ]  </w:t>
      </w:r>
      <w:r>
        <w:t xml:space="preserve">Current Supplier Performance Risk System (SPRS) summary score reference and NIST SP 800-171 self-assessment status.</w:t>
      </w:r>
    </w:p>
    <w:p>
      <w:pPr>
        <w:spacing w:after="60"/>
      </w:pPr>
      <w:r>
        <w:rPr>
          <w:b/>
          <w:bCs/>
          <w:color w:val="64748B"/>
        </w:rPr>
        <w:t xml:space="preserve">  [ ]  </w:t>
      </w:r>
      <w:r>
        <w:t xml:space="preserve">Certification of non-use of covered telecommunications equipment (DFARS 252.204-7017/7018) and ByteDance applications (FAR 52.204-27).</w:t>
      </w:r>
    </w:p>
    <w:p>
      <w:pPr>
        <w:spacing w:after="60"/>
      </w:pPr>
      <w:r>
        <w:rPr>
          <w:b/>
          <w:bCs/>
          <w:color w:val="64748B"/>
        </w:rPr>
        <w:t xml:space="preserve">  [ ]  </w:t>
      </w:r>
      <w:r>
        <w:t xml:space="preserve">Mandatory antiterrorism training and security awareness attestation per DFARS 252.204-7004.</w:t>
      </w:r>
    </w:p>
    <w:p>
      <w:pPr>
        <w:pStyle w:val="Heading2"/>
        <w:spacing w:after="80" w:before="180"/>
      </w:pPr>
      <w:r>
        <w:t xml:space="preserve">5.0 Firm Fixed Price (FFP) Schedule &amp; Multi-Year CLIN Breakdown</w:t>
      </w:r>
    </w:p>
    <w:p>
      <w:pPr>
        <w:spacing w:after="60"/>
      </w:pPr>
      <w:r>
        <w:rPr>
          <w:b/>
          <w:bCs/>
          <w:color w:val="64748B"/>
        </w:rPr>
        <w:t xml:space="preserve">  [ ]  </w:t>
      </w:r>
      <w:r>
        <w:t xml:space="preserve">Total Price summary table detailing CLIN 0001 (Base Year: 11/12/2026 - 11/11/2027) through CLIN 0005 (Option Year 4: 11/12/2030 - 11/11/2031).</w:t>
      </w:r>
    </w:p>
    <w:p>
      <w:pPr>
        <w:spacing w:after="60"/>
      </w:pPr>
      <w:r>
        <w:rPr>
          <w:b/>
          <w:bCs/>
          <w:color w:val="64748B"/>
        </w:rPr>
        <w:t xml:space="preserve">  [ ]  </w:t>
      </w:r>
      <w:r>
        <w:t xml:space="preserve">Confirmation that all pricing is Firm Fixed Price (FFP) and inclusive of shipping and destination delivery costs.</w:t>
      </w:r>
    </w:p>
    <w:p>
      <w:pPr>
        <w:spacing w:after="60"/>
      </w:pPr>
      <w:r>
        <w:rPr>
          <w:b/>
          <w:bCs/>
          <w:color w:val="64748B"/>
        </w:rPr>
        <w:t xml:space="preserve">  [ ]  </w:t>
      </w:r>
      <w:r>
        <w:t xml:space="preserve">Acknowledgment of electronic invoicing via Wide Area WorkFlow (WAWF) in accordance with DFARS 252.232-7006.</w:t>
      </w:r>
    </w:p>
    <w:p>
      <w:pPr>
        <w:spacing w:after="60"/>
      </w:pPr>
      <w:r>
        <w:rPr>
          <w:b/>
          <w:bCs/>
          <w:color w:val="64748B"/>
        </w:rPr>
        <w:t xml:space="preserve">  [ ]  </w:t>
      </w:r>
      <w:r>
        <w:t xml:space="preserve">Clear notation that Government reserves the right to cancel solicitation without cost reimbursement per Notice to Offerors.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94A3B8"/>
        <w:sz w:val="18"/>
        <w:szCs w:val="18"/>
      </w:rPr>
      <w:t xml:space="preserve">Generated with MicroRFP.ai — B2B Proposal Intelligence Engine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2026-09-22T18:18:40.604Z</dcterms:created>
  <dcterms:modified xsi:type="dcterms:W3CDTF">2026-09-22T18:18:40.606Z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