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B31F9" w14:textId="77777777" w:rsidR="006D0435" w:rsidRDefault="00000000">
      <w:pPr>
        <w:spacing w:line="360" w:lineRule="auto"/>
        <w:jc w:val="center"/>
        <w:rPr>
          <w:b/>
          <w:bCs/>
          <w:color w:val="385623"/>
          <w:sz w:val="24"/>
          <w:szCs w:val="24"/>
        </w:rPr>
      </w:pPr>
      <w:r>
        <w:rPr>
          <w:noProof/>
          <w:sz w:val="24"/>
          <w:szCs w:val="24"/>
        </w:rPr>
        <w:drawing>
          <wp:inline distT="0" distB="0" distL="0" distR="0" wp14:anchorId="0A5840F5" wp14:editId="76C0A5FB">
            <wp:extent cx="5953125" cy="2867025"/>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t="4323" b="8934"/>
                    <a:stretch>
                      <a:fillRect/>
                    </a:stretch>
                  </pic:blipFill>
                  <pic:spPr>
                    <a:xfrm>
                      <a:off x="0" y="0"/>
                      <a:ext cx="5953125" cy="2867025"/>
                    </a:xfrm>
                    <a:prstGeom prst="rect">
                      <a:avLst/>
                    </a:prstGeom>
                    <a:ln/>
                  </pic:spPr>
                </pic:pic>
              </a:graphicData>
            </a:graphic>
          </wp:inline>
        </w:drawing>
      </w:r>
    </w:p>
    <w:p w14:paraId="5EC8E3AA" w14:textId="77777777" w:rsidR="006D0435" w:rsidRDefault="00000000">
      <w:pPr>
        <w:spacing w:line="360" w:lineRule="auto"/>
        <w:jc w:val="center"/>
        <w:rPr>
          <w:sz w:val="24"/>
          <w:szCs w:val="24"/>
        </w:rPr>
      </w:pPr>
      <w:r>
        <w:rPr>
          <w:b/>
          <w:bCs/>
          <w:color w:val="385623"/>
          <w:sz w:val="24"/>
          <w:szCs w:val="24"/>
        </w:rPr>
        <w:t>Review Paper on</w:t>
      </w:r>
    </w:p>
    <w:p w14:paraId="5BD2D22A" w14:textId="77777777" w:rsidR="006D0435" w:rsidRDefault="00000000">
      <w:pPr>
        <w:spacing w:line="360" w:lineRule="auto"/>
        <w:jc w:val="center"/>
        <w:rPr>
          <w:b/>
          <w:bCs/>
          <w:color w:val="70AD47"/>
          <w:sz w:val="24"/>
          <w:szCs w:val="24"/>
        </w:rPr>
      </w:pPr>
      <w:r>
        <w:rPr>
          <w:b/>
          <w:bCs/>
          <w:color w:val="70AD47"/>
          <w:sz w:val="24"/>
          <w:szCs w:val="24"/>
        </w:rPr>
        <w:t>A Comprehensive Review of Electric Vehicles (EVs), Plug-in Hybrid Electric Vehicles (PHEVs), and Hybrid Electric Vehicles (HEVs)</w:t>
      </w:r>
    </w:p>
    <w:p w14:paraId="41D57431" w14:textId="77777777" w:rsidR="006D0435" w:rsidRDefault="00000000">
      <w:pPr>
        <w:spacing w:line="276" w:lineRule="auto"/>
        <w:jc w:val="center"/>
        <w:rPr>
          <w:b/>
          <w:bCs/>
          <w:sz w:val="18"/>
          <w:szCs w:val="18"/>
          <w:u w:val="single"/>
        </w:rPr>
      </w:pPr>
      <w:r>
        <w:rPr>
          <w:b/>
          <w:bCs/>
          <w:sz w:val="18"/>
          <w:szCs w:val="18"/>
          <w:u w:val="single"/>
        </w:rPr>
        <w:t>1</w:t>
      </w:r>
      <w:r>
        <w:rPr>
          <w:b/>
          <w:bCs/>
          <w:sz w:val="18"/>
          <w:szCs w:val="18"/>
          <w:u w:val="single"/>
          <w:vertAlign w:val="superscript"/>
        </w:rPr>
        <w:t>st</w:t>
      </w:r>
      <w:r>
        <w:rPr>
          <w:b/>
          <w:bCs/>
          <w:sz w:val="18"/>
          <w:szCs w:val="18"/>
          <w:u w:val="single"/>
        </w:rPr>
        <w:t xml:space="preserve"> Draft Submission</w:t>
      </w:r>
    </w:p>
    <w:p w14:paraId="34D75AF6" w14:textId="77777777" w:rsidR="006D0435" w:rsidRPr="001168B4" w:rsidRDefault="00000000">
      <w:pPr>
        <w:spacing w:line="276" w:lineRule="auto"/>
        <w:rPr>
          <w:rFonts w:ascii="Times New Roman" w:eastAsia="Times New Roman" w:hAnsi="Times New Roman" w:cs="Times New Roman"/>
          <w:b/>
          <w:bCs/>
          <w:sz w:val="28"/>
          <w:szCs w:val="28"/>
        </w:rPr>
      </w:pPr>
      <w:r w:rsidRPr="001168B4">
        <w:rPr>
          <w:rFonts w:ascii="Times New Roman" w:eastAsia="Times New Roman" w:hAnsi="Times New Roman" w:cs="Times New Roman"/>
          <w:b/>
          <w:bCs/>
          <w:sz w:val="28"/>
          <w:szCs w:val="28"/>
        </w:rPr>
        <w:t>Course No.: MCE 4391</w:t>
      </w:r>
    </w:p>
    <w:p w14:paraId="44C95D11" w14:textId="77777777" w:rsidR="006D0435" w:rsidRPr="001168B4" w:rsidRDefault="00000000">
      <w:pPr>
        <w:spacing w:line="276" w:lineRule="auto"/>
        <w:rPr>
          <w:rFonts w:ascii="Times New Roman" w:eastAsia="Times New Roman" w:hAnsi="Times New Roman" w:cs="Times New Roman"/>
          <w:b/>
          <w:bCs/>
          <w:sz w:val="28"/>
          <w:szCs w:val="28"/>
        </w:rPr>
      </w:pPr>
      <w:r w:rsidRPr="001168B4">
        <w:rPr>
          <w:rFonts w:ascii="Times New Roman" w:eastAsia="Times New Roman" w:hAnsi="Times New Roman" w:cs="Times New Roman"/>
          <w:b/>
          <w:bCs/>
          <w:sz w:val="28"/>
          <w:szCs w:val="28"/>
        </w:rPr>
        <w:t xml:space="preserve">Course Name: Basic Mechanical Engineering </w:t>
      </w:r>
    </w:p>
    <w:p w14:paraId="7C043CE0" w14:textId="77777777" w:rsidR="006D0435" w:rsidRPr="001168B4" w:rsidRDefault="00000000">
      <w:pPr>
        <w:spacing w:line="276" w:lineRule="auto"/>
        <w:rPr>
          <w:rFonts w:ascii="Times New Roman" w:eastAsia="Times New Roman" w:hAnsi="Times New Roman" w:cs="Times New Roman"/>
          <w:b/>
          <w:bCs/>
          <w:sz w:val="28"/>
          <w:szCs w:val="28"/>
        </w:rPr>
      </w:pPr>
      <w:r w:rsidRPr="001168B4">
        <w:rPr>
          <w:rFonts w:ascii="Times New Roman" w:eastAsia="Times New Roman" w:hAnsi="Times New Roman" w:cs="Times New Roman"/>
          <w:b/>
          <w:bCs/>
          <w:sz w:val="28"/>
          <w:szCs w:val="28"/>
        </w:rPr>
        <w:t xml:space="preserve">Department: EEE </w:t>
      </w:r>
    </w:p>
    <w:p w14:paraId="49A04633" w14:textId="77777777" w:rsidR="006D0435" w:rsidRPr="001168B4" w:rsidRDefault="00000000">
      <w:pPr>
        <w:spacing w:line="276" w:lineRule="auto"/>
        <w:rPr>
          <w:rFonts w:ascii="Times New Roman" w:eastAsia="Times New Roman" w:hAnsi="Times New Roman" w:cs="Times New Roman"/>
          <w:b/>
          <w:bCs/>
          <w:sz w:val="28"/>
          <w:szCs w:val="28"/>
        </w:rPr>
      </w:pPr>
      <w:r w:rsidRPr="001168B4">
        <w:rPr>
          <w:rFonts w:ascii="Times New Roman" w:eastAsia="Times New Roman" w:hAnsi="Times New Roman" w:cs="Times New Roman"/>
          <w:b/>
          <w:bCs/>
          <w:sz w:val="28"/>
          <w:szCs w:val="28"/>
        </w:rPr>
        <w:t>Section: C</w:t>
      </w:r>
    </w:p>
    <w:p w14:paraId="24B1F0DD" w14:textId="77777777" w:rsidR="006D0435" w:rsidRPr="001168B4" w:rsidRDefault="00000000">
      <w:pPr>
        <w:spacing w:line="276" w:lineRule="auto"/>
        <w:rPr>
          <w:rFonts w:ascii="Times New Roman" w:eastAsia="Times New Roman" w:hAnsi="Times New Roman" w:cs="Times New Roman"/>
          <w:b/>
          <w:bCs/>
          <w:sz w:val="28"/>
          <w:szCs w:val="28"/>
        </w:rPr>
      </w:pPr>
      <w:r w:rsidRPr="001168B4">
        <w:rPr>
          <w:rFonts w:ascii="Times New Roman" w:eastAsia="Times New Roman" w:hAnsi="Times New Roman" w:cs="Times New Roman"/>
          <w:b/>
          <w:bCs/>
          <w:sz w:val="28"/>
          <w:szCs w:val="28"/>
        </w:rPr>
        <w:t>Group members:</w:t>
      </w:r>
    </w:p>
    <w:p w14:paraId="59721C0F" w14:textId="77777777" w:rsidR="006D0435" w:rsidRPr="001168B4" w:rsidRDefault="00000000">
      <w:pPr>
        <w:numPr>
          <w:ilvl w:val="0"/>
          <w:numId w:val="7"/>
        </w:numPr>
        <w:pBdr>
          <w:top w:val="nil"/>
          <w:left w:val="nil"/>
          <w:bottom w:val="nil"/>
          <w:right w:val="nil"/>
          <w:between w:val="nil"/>
        </w:pBdr>
        <w:spacing w:after="0" w:line="276" w:lineRule="auto"/>
        <w:rPr>
          <w:color w:val="000000"/>
          <w:sz w:val="28"/>
          <w:szCs w:val="28"/>
        </w:rPr>
      </w:pPr>
      <w:r w:rsidRPr="001168B4">
        <w:rPr>
          <w:rFonts w:ascii="Times New Roman" w:eastAsia="Times New Roman" w:hAnsi="Times New Roman" w:cs="Times New Roman"/>
          <w:color w:val="000000"/>
          <w:sz w:val="28"/>
          <w:szCs w:val="28"/>
        </w:rPr>
        <w:t xml:space="preserve">Md. </w:t>
      </w:r>
      <w:proofErr w:type="spellStart"/>
      <w:r w:rsidRPr="001168B4">
        <w:rPr>
          <w:rFonts w:ascii="Times New Roman" w:eastAsia="Times New Roman" w:hAnsi="Times New Roman" w:cs="Times New Roman"/>
          <w:color w:val="000000"/>
          <w:sz w:val="28"/>
          <w:szCs w:val="28"/>
        </w:rPr>
        <w:t>Azmain</w:t>
      </w:r>
      <w:proofErr w:type="spellEnd"/>
      <w:r w:rsidRPr="001168B4">
        <w:rPr>
          <w:rFonts w:ascii="Times New Roman" w:eastAsia="Times New Roman" w:hAnsi="Times New Roman" w:cs="Times New Roman"/>
          <w:color w:val="000000"/>
          <w:sz w:val="28"/>
          <w:szCs w:val="28"/>
        </w:rPr>
        <w:t xml:space="preserve"> Hasan (230021307) - Introduction &amp; Background</w:t>
      </w:r>
    </w:p>
    <w:p w14:paraId="09AB5A1F" w14:textId="77777777" w:rsidR="006D0435" w:rsidRPr="001168B4" w:rsidRDefault="00000000">
      <w:pPr>
        <w:numPr>
          <w:ilvl w:val="0"/>
          <w:numId w:val="7"/>
        </w:numPr>
        <w:pBdr>
          <w:top w:val="nil"/>
          <w:left w:val="nil"/>
          <w:bottom w:val="nil"/>
          <w:right w:val="nil"/>
          <w:between w:val="nil"/>
        </w:pBdr>
        <w:spacing w:after="0" w:line="276" w:lineRule="auto"/>
        <w:rPr>
          <w:color w:val="000000"/>
          <w:sz w:val="28"/>
          <w:szCs w:val="28"/>
        </w:rPr>
      </w:pPr>
      <w:r w:rsidRPr="001168B4">
        <w:rPr>
          <w:rFonts w:ascii="Times New Roman" w:eastAsia="Times New Roman" w:hAnsi="Times New Roman" w:cs="Times New Roman"/>
          <w:color w:val="000000"/>
          <w:sz w:val="28"/>
          <w:szCs w:val="28"/>
        </w:rPr>
        <w:t>Ishrak Samin (230021303) - Review Methodology</w:t>
      </w:r>
    </w:p>
    <w:p w14:paraId="0DAD159B" w14:textId="77777777" w:rsidR="006D0435" w:rsidRPr="001168B4" w:rsidRDefault="00000000">
      <w:pPr>
        <w:numPr>
          <w:ilvl w:val="0"/>
          <w:numId w:val="7"/>
        </w:numPr>
        <w:pBdr>
          <w:top w:val="nil"/>
          <w:left w:val="nil"/>
          <w:bottom w:val="nil"/>
          <w:right w:val="nil"/>
          <w:between w:val="nil"/>
        </w:pBdr>
        <w:spacing w:after="0" w:line="276" w:lineRule="auto"/>
        <w:rPr>
          <w:color w:val="000000"/>
          <w:sz w:val="28"/>
          <w:szCs w:val="28"/>
        </w:rPr>
      </w:pPr>
      <w:r w:rsidRPr="001168B4">
        <w:rPr>
          <w:rFonts w:ascii="Times New Roman" w:eastAsia="Times New Roman" w:hAnsi="Times New Roman" w:cs="Times New Roman"/>
          <w:color w:val="000000"/>
          <w:sz w:val="28"/>
          <w:szCs w:val="28"/>
        </w:rPr>
        <w:t>Taqi Yasir (230021319) - Vehicle Classification &amp; Powertrain Architectures</w:t>
      </w:r>
    </w:p>
    <w:p w14:paraId="44229394" w14:textId="77777777" w:rsidR="006D0435" w:rsidRPr="001168B4" w:rsidRDefault="00000000">
      <w:pPr>
        <w:numPr>
          <w:ilvl w:val="0"/>
          <w:numId w:val="7"/>
        </w:numPr>
        <w:pBdr>
          <w:top w:val="nil"/>
          <w:left w:val="nil"/>
          <w:bottom w:val="nil"/>
          <w:right w:val="nil"/>
          <w:between w:val="nil"/>
        </w:pBdr>
        <w:spacing w:after="0" w:line="276" w:lineRule="auto"/>
        <w:rPr>
          <w:color w:val="000000"/>
          <w:sz w:val="28"/>
          <w:szCs w:val="28"/>
        </w:rPr>
      </w:pPr>
      <w:r w:rsidRPr="001168B4">
        <w:rPr>
          <w:rFonts w:ascii="Times New Roman" w:eastAsia="Times New Roman" w:hAnsi="Times New Roman" w:cs="Times New Roman"/>
          <w:color w:val="000000"/>
          <w:sz w:val="28"/>
          <w:szCs w:val="28"/>
        </w:rPr>
        <w:t>Shaheen Rahman Dibya (230021315) - Battery &amp; Energy Storage Systems</w:t>
      </w:r>
    </w:p>
    <w:p w14:paraId="7D847E69" w14:textId="77777777" w:rsidR="006D0435" w:rsidRPr="001168B4" w:rsidRDefault="00000000">
      <w:pPr>
        <w:numPr>
          <w:ilvl w:val="0"/>
          <w:numId w:val="7"/>
        </w:numPr>
        <w:pBdr>
          <w:top w:val="nil"/>
          <w:left w:val="nil"/>
          <w:bottom w:val="nil"/>
          <w:right w:val="nil"/>
          <w:between w:val="nil"/>
        </w:pBdr>
        <w:spacing w:after="0" w:line="276" w:lineRule="auto"/>
        <w:rPr>
          <w:color w:val="000000"/>
          <w:sz w:val="28"/>
          <w:szCs w:val="28"/>
        </w:rPr>
      </w:pPr>
      <w:r w:rsidRPr="001168B4">
        <w:rPr>
          <w:rFonts w:ascii="Times New Roman" w:eastAsia="Times New Roman" w:hAnsi="Times New Roman" w:cs="Times New Roman"/>
          <w:color w:val="000000"/>
          <w:sz w:val="28"/>
          <w:szCs w:val="28"/>
        </w:rPr>
        <w:t>Nasif Faiyaz (230021305) - Electric Motors &amp; Power Electronics</w:t>
      </w:r>
    </w:p>
    <w:p w14:paraId="5EF286B1" w14:textId="77777777" w:rsidR="006D0435" w:rsidRPr="001168B4" w:rsidRDefault="00000000">
      <w:pPr>
        <w:numPr>
          <w:ilvl w:val="0"/>
          <w:numId w:val="7"/>
        </w:numPr>
        <w:pBdr>
          <w:top w:val="nil"/>
          <w:left w:val="nil"/>
          <w:bottom w:val="nil"/>
          <w:right w:val="nil"/>
          <w:between w:val="nil"/>
        </w:pBdr>
        <w:spacing w:after="0" w:line="276" w:lineRule="auto"/>
        <w:rPr>
          <w:color w:val="000000"/>
          <w:sz w:val="28"/>
          <w:szCs w:val="28"/>
        </w:rPr>
      </w:pPr>
      <w:r w:rsidRPr="001168B4">
        <w:rPr>
          <w:rFonts w:ascii="Times New Roman" w:eastAsia="Times New Roman" w:hAnsi="Times New Roman" w:cs="Times New Roman"/>
          <w:color w:val="000000"/>
          <w:sz w:val="28"/>
          <w:szCs w:val="28"/>
        </w:rPr>
        <w:t>Samia Jahan Tisha (230021321) - Charging Infrastructure &amp; Grid Interaction</w:t>
      </w:r>
    </w:p>
    <w:p w14:paraId="19261A95" w14:textId="77777777" w:rsidR="006D0435" w:rsidRPr="001168B4" w:rsidRDefault="00000000">
      <w:pPr>
        <w:numPr>
          <w:ilvl w:val="0"/>
          <w:numId w:val="7"/>
        </w:numPr>
        <w:pBdr>
          <w:top w:val="nil"/>
          <w:left w:val="nil"/>
          <w:bottom w:val="nil"/>
          <w:right w:val="nil"/>
          <w:between w:val="nil"/>
        </w:pBdr>
        <w:spacing w:after="0" w:line="276" w:lineRule="auto"/>
        <w:rPr>
          <w:color w:val="000000"/>
          <w:sz w:val="28"/>
          <w:szCs w:val="28"/>
        </w:rPr>
      </w:pPr>
      <w:r w:rsidRPr="001168B4">
        <w:rPr>
          <w:rFonts w:ascii="Times New Roman" w:eastAsia="Times New Roman" w:hAnsi="Times New Roman" w:cs="Times New Roman"/>
          <w:color w:val="000000"/>
          <w:sz w:val="28"/>
          <w:szCs w:val="28"/>
        </w:rPr>
        <w:t xml:space="preserve">Nafisa </w:t>
      </w:r>
      <w:proofErr w:type="spellStart"/>
      <w:r w:rsidRPr="001168B4">
        <w:rPr>
          <w:rFonts w:ascii="Times New Roman" w:eastAsia="Times New Roman" w:hAnsi="Times New Roman" w:cs="Times New Roman"/>
          <w:color w:val="000000"/>
          <w:sz w:val="28"/>
          <w:szCs w:val="28"/>
        </w:rPr>
        <w:t>Naimun</w:t>
      </w:r>
      <w:proofErr w:type="spellEnd"/>
      <w:r w:rsidRPr="001168B4">
        <w:rPr>
          <w:rFonts w:ascii="Times New Roman" w:eastAsia="Times New Roman" w:hAnsi="Times New Roman" w:cs="Times New Roman"/>
          <w:color w:val="000000"/>
          <w:sz w:val="28"/>
          <w:szCs w:val="28"/>
        </w:rPr>
        <w:t xml:space="preserve"> (230021345) - Energy Efficiency &amp; Environmental Impact</w:t>
      </w:r>
    </w:p>
    <w:p w14:paraId="65D67748" w14:textId="77777777" w:rsidR="006D0435" w:rsidRPr="001168B4" w:rsidRDefault="00000000">
      <w:pPr>
        <w:numPr>
          <w:ilvl w:val="0"/>
          <w:numId w:val="7"/>
        </w:numPr>
        <w:pBdr>
          <w:top w:val="nil"/>
          <w:left w:val="nil"/>
          <w:bottom w:val="nil"/>
          <w:right w:val="nil"/>
          <w:between w:val="nil"/>
        </w:pBdr>
        <w:spacing w:after="0" w:line="276" w:lineRule="auto"/>
        <w:rPr>
          <w:color w:val="000000"/>
          <w:sz w:val="28"/>
          <w:szCs w:val="28"/>
        </w:rPr>
      </w:pPr>
      <w:r w:rsidRPr="001168B4">
        <w:rPr>
          <w:rFonts w:ascii="Times New Roman" w:eastAsia="Times New Roman" w:hAnsi="Times New Roman" w:cs="Times New Roman"/>
          <w:color w:val="000000"/>
          <w:sz w:val="28"/>
          <w:szCs w:val="28"/>
        </w:rPr>
        <w:t>Sadia Afrin (230021342) - Economic Analysis &amp; Market Trends</w:t>
      </w:r>
    </w:p>
    <w:p w14:paraId="6FAAE4FD" w14:textId="77777777" w:rsidR="006D0435" w:rsidRPr="001168B4" w:rsidRDefault="00000000">
      <w:pPr>
        <w:numPr>
          <w:ilvl w:val="0"/>
          <w:numId w:val="7"/>
        </w:numPr>
        <w:pBdr>
          <w:top w:val="nil"/>
          <w:left w:val="nil"/>
          <w:bottom w:val="nil"/>
          <w:right w:val="nil"/>
          <w:between w:val="nil"/>
        </w:pBdr>
        <w:spacing w:after="0" w:line="276" w:lineRule="auto"/>
        <w:rPr>
          <w:color w:val="000000"/>
          <w:sz w:val="28"/>
          <w:szCs w:val="28"/>
        </w:rPr>
      </w:pPr>
      <w:r w:rsidRPr="001168B4">
        <w:rPr>
          <w:rFonts w:ascii="Times New Roman" w:eastAsia="Times New Roman" w:hAnsi="Times New Roman" w:cs="Times New Roman"/>
          <w:color w:val="000000"/>
          <w:sz w:val="28"/>
          <w:szCs w:val="28"/>
        </w:rPr>
        <w:t>Atib Zawad Wasi (230021312) - Policies, Regulations &amp; Global Adoption</w:t>
      </w:r>
    </w:p>
    <w:p w14:paraId="0A1FA3F7" w14:textId="77777777" w:rsidR="006D0435" w:rsidRPr="001168B4" w:rsidRDefault="00000000">
      <w:pPr>
        <w:numPr>
          <w:ilvl w:val="0"/>
          <w:numId w:val="7"/>
        </w:numPr>
        <w:pBdr>
          <w:top w:val="nil"/>
          <w:left w:val="nil"/>
          <w:bottom w:val="nil"/>
          <w:right w:val="nil"/>
          <w:between w:val="nil"/>
        </w:pBdr>
        <w:spacing w:after="0" w:line="276" w:lineRule="auto"/>
        <w:rPr>
          <w:color w:val="000000"/>
          <w:sz w:val="28"/>
          <w:szCs w:val="28"/>
        </w:rPr>
      </w:pPr>
      <w:r w:rsidRPr="001168B4">
        <w:rPr>
          <w:rFonts w:ascii="Times New Roman" w:eastAsia="Times New Roman" w:hAnsi="Times New Roman" w:cs="Times New Roman"/>
          <w:color w:val="000000"/>
          <w:sz w:val="28"/>
          <w:szCs w:val="28"/>
        </w:rPr>
        <w:t>Tall Ali Boureima (230021347) - Challenges, Future Trends</w:t>
      </w:r>
    </w:p>
    <w:p w14:paraId="7AE1FD7D" w14:textId="77777777" w:rsidR="006D0435" w:rsidRPr="001168B4" w:rsidRDefault="00000000">
      <w:pPr>
        <w:numPr>
          <w:ilvl w:val="0"/>
          <w:numId w:val="7"/>
        </w:numPr>
        <w:pBdr>
          <w:top w:val="nil"/>
          <w:left w:val="nil"/>
          <w:bottom w:val="nil"/>
          <w:right w:val="nil"/>
          <w:between w:val="nil"/>
        </w:pBdr>
        <w:spacing w:line="276" w:lineRule="auto"/>
        <w:rPr>
          <w:color w:val="000000"/>
          <w:sz w:val="28"/>
          <w:szCs w:val="28"/>
        </w:rPr>
      </w:pPr>
      <w:r w:rsidRPr="001168B4">
        <w:rPr>
          <w:rFonts w:ascii="Times New Roman" w:eastAsia="Times New Roman" w:hAnsi="Times New Roman" w:cs="Times New Roman"/>
          <w:color w:val="000000"/>
          <w:sz w:val="28"/>
          <w:szCs w:val="28"/>
        </w:rPr>
        <w:t xml:space="preserve">Rifat Rahman </w:t>
      </w:r>
      <w:proofErr w:type="spellStart"/>
      <w:r w:rsidRPr="001168B4">
        <w:rPr>
          <w:rFonts w:ascii="Times New Roman" w:eastAsia="Times New Roman" w:hAnsi="Times New Roman" w:cs="Times New Roman"/>
          <w:color w:val="000000"/>
          <w:sz w:val="28"/>
          <w:szCs w:val="28"/>
        </w:rPr>
        <w:t>Nirjhor</w:t>
      </w:r>
      <w:proofErr w:type="spellEnd"/>
      <w:r w:rsidRPr="001168B4">
        <w:rPr>
          <w:rFonts w:ascii="Times New Roman" w:eastAsia="Times New Roman" w:hAnsi="Times New Roman" w:cs="Times New Roman"/>
          <w:color w:val="000000"/>
          <w:sz w:val="28"/>
          <w:szCs w:val="28"/>
        </w:rPr>
        <w:t xml:space="preserve"> (230021318) - Conclusion </w:t>
      </w:r>
      <w:r w:rsidRPr="001168B4">
        <w:rPr>
          <w:rFonts w:ascii="Times New Roman" w:eastAsia="Times New Roman" w:hAnsi="Times New Roman" w:cs="Times New Roman"/>
          <w:sz w:val="28"/>
          <w:szCs w:val="28"/>
        </w:rPr>
        <w:t>&amp;</w:t>
      </w:r>
      <w:r w:rsidRPr="001168B4">
        <w:rPr>
          <w:rFonts w:ascii="Times New Roman" w:eastAsia="Times New Roman" w:hAnsi="Times New Roman" w:cs="Times New Roman"/>
          <w:color w:val="000000"/>
          <w:sz w:val="28"/>
          <w:szCs w:val="28"/>
        </w:rPr>
        <w:t xml:space="preserve"> Abstract</w:t>
      </w:r>
    </w:p>
    <w:p w14:paraId="4AC69E8B" w14:textId="77777777" w:rsidR="006D0435" w:rsidRPr="001168B4" w:rsidRDefault="006D0435">
      <w:pPr>
        <w:spacing w:line="360" w:lineRule="auto"/>
        <w:rPr>
          <w:rFonts w:ascii="Times New Roman" w:eastAsia="Times New Roman" w:hAnsi="Times New Roman" w:cs="Times New Roman"/>
          <w:b/>
          <w:bCs/>
          <w:sz w:val="28"/>
          <w:szCs w:val="28"/>
        </w:rPr>
      </w:pPr>
    </w:p>
    <w:p w14:paraId="40BD1755" w14:textId="77777777" w:rsidR="006D043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Nomenclature </w:t>
      </w:r>
      <w:r>
        <w:rPr>
          <w:rFonts w:ascii="Times New Roman" w:eastAsia="Times New Roman" w:hAnsi="Times New Roman" w:cs="Times New Roman"/>
          <w:sz w:val="24"/>
          <w:szCs w:val="24"/>
        </w:rPr>
        <w:t xml:space="preserve"> </w:t>
      </w:r>
    </w:p>
    <w:p w14:paraId="3134F3BE" w14:textId="77777777" w:rsidR="006D0435" w:rsidRDefault="00000000">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PSD     </w:t>
      </w:r>
      <w:r>
        <w:rPr>
          <w:rFonts w:ascii="Times New Roman" w:eastAsia="Times New Roman" w:hAnsi="Times New Roman" w:cs="Times New Roman"/>
          <w:sz w:val="24"/>
          <w:szCs w:val="24"/>
        </w:rPr>
        <w:t xml:space="preserve">Power Split Device  </w:t>
      </w:r>
    </w:p>
    <w:p w14:paraId="57778E06" w14:textId="77777777" w:rsidR="006D0435" w:rsidRDefault="00000000">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PG       </w:t>
      </w:r>
      <w:r>
        <w:rPr>
          <w:rFonts w:ascii="Times New Roman" w:eastAsia="Times New Roman" w:hAnsi="Times New Roman" w:cs="Times New Roman"/>
          <w:sz w:val="24"/>
          <w:szCs w:val="24"/>
        </w:rPr>
        <w:t xml:space="preserve">Multiple Planetary Gear </w:t>
      </w:r>
    </w:p>
    <w:p w14:paraId="20905965" w14:textId="77777777" w:rsidR="006D0435" w:rsidRDefault="00000000">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MG</w:t>
      </w:r>
      <w:r>
        <w:rPr>
          <w:rFonts w:ascii="Times New Roman" w:eastAsia="Times New Roman" w:hAnsi="Times New Roman" w:cs="Times New Roman"/>
          <w:sz w:val="24"/>
          <w:szCs w:val="24"/>
        </w:rPr>
        <w:t xml:space="preserve">     Motor/Generator </w:t>
      </w:r>
    </w:p>
    <w:p w14:paraId="5CC229AB" w14:textId="1032BC26" w:rsidR="006D0435" w:rsidRDefault="00000000">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PHP</w:t>
      </w:r>
      <w:r>
        <w:rPr>
          <w:rFonts w:ascii="Times New Roman" w:eastAsia="Times New Roman" w:hAnsi="Times New Roman" w:cs="Times New Roman"/>
          <w:sz w:val="24"/>
          <w:szCs w:val="24"/>
        </w:rPr>
        <w:t xml:space="preserve">   Parallel Hybrid Powertrain</w:t>
      </w:r>
    </w:p>
    <w:p w14:paraId="1FC564E2" w14:textId="77777777" w:rsidR="006D0435" w:rsidRDefault="00000000">
      <w:pPr>
        <w:shd w:val="clear" w:color="auto" w:fill="FFFFFF"/>
        <w:spacing w:before="24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Abstract:</w:t>
      </w:r>
    </w:p>
    <w:p w14:paraId="72BBEAD2" w14:textId="77777777" w:rsidR="006D0435" w:rsidRDefault="00000000">
      <w:pPr>
        <w:shd w:val="clear" w:color="auto" w:fill="FFFFFF"/>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review paper illustrates a comprehensive analysis of electrified vehicle technologies, together with Battery Electric Vehicles (BEVs), Hybrid Electric Vehicles (HEVs), and Plug-in Hybrid Electric Vehicles (PHEVs). It systematically inspects their operational ethics, powertrain architectures, and key enabling technologies such as energy storage systems, electric motors, and power electronics. The study further appraises charging infrastructure, grid integration, and system-level performance considerations. Environmental impacts, energy efficiency, and economic perspectives are critically uttered in the context of global decarbonization goals. Additionally, the paper highlights current challenges, including battery limitations, infrastructure constraints, and cost factors, while marking out emerging trends and future research directions. Overall, this review provides a structured and technical overview of electrified transportation as a sustainable solution for decreasing greenhouse gas emissions and relying on fossil fuels.</w:t>
      </w:r>
    </w:p>
    <w:p w14:paraId="2E2C6763" w14:textId="77777777" w:rsidR="006D0435"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1. Introduction</w:t>
      </w:r>
      <w:r>
        <w:rPr>
          <w:rFonts w:ascii="Times New Roman" w:eastAsia="Times New Roman" w:hAnsi="Times New Roman" w:cs="Times New Roman"/>
          <w:b/>
          <w:bCs/>
          <w:color w:val="000000"/>
          <w:sz w:val="24"/>
          <w:szCs w:val="24"/>
        </w:rPr>
        <w:t xml:space="preserve"> and Background</w:t>
      </w:r>
      <w:r>
        <w:rPr>
          <w:rFonts w:ascii="Times New Roman" w:eastAsia="Times New Roman" w:hAnsi="Times New Roman" w:cs="Times New Roman"/>
          <w:color w:val="000000"/>
          <w:sz w:val="24"/>
          <w:szCs w:val="24"/>
        </w:rPr>
        <w:t> </w:t>
      </w:r>
    </w:p>
    <w:p w14:paraId="7887066C" w14:textId="77777777" w:rsidR="006D0435"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1.1 Overview of Electrified Vehicle Technologies</w:t>
      </w:r>
      <w:r>
        <w:rPr>
          <w:rFonts w:ascii="Times New Roman" w:eastAsia="Times New Roman" w:hAnsi="Times New Roman" w:cs="Times New Roman"/>
          <w:color w:val="000000"/>
          <w:sz w:val="24"/>
          <w:szCs w:val="24"/>
        </w:rPr>
        <w:t> </w:t>
      </w:r>
    </w:p>
    <w:p w14:paraId="6F0E45AF" w14:textId="77777777" w:rsidR="006D0435"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global transportation system is about to change more than it did when cars replaced horse</w:t>
      </w:r>
      <w:r>
        <w:rPr>
          <w:rFonts w:ascii="Times New Roman" w:eastAsia="Times New Roman" w:hAnsi="Times New Roman" w:cs="Times New Roman"/>
          <w:sz w:val="24"/>
          <w:szCs w:val="24"/>
        </w:rPr>
        <w:t>-drawn</w:t>
      </w:r>
      <w:r>
        <w:rPr>
          <w:rFonts w:ascii="Times New Roman" w:eastAsia="Times New Roman" w:hAnsi="Times New Roman" w:cs="Times New Roman"/>
          <w:color w:val="000000"/>
          <w:sz w:val="24"/>
          <w:szCs w:val="24"/>
        </w:rPr>
        <w:t xml:space="preserve"> carriages a hundred years ago. Three main forces drive this change - the need to slow climate change, the need to secure energy supplies, and the need to clean the air in cities. In the United States, transport uses about twenty</w:t>
      </w:r>
      <w:r>
        <w:rPr>
          <w:rFonts w:ascii="Times New Roman" w:eastAsia="Times New Roman" w:hAnsi="Times New Roman" w:cs="Times New Roman"/>
          <w:sz w:val="24"/>
          <w:szCs w:val="24"/>
        </w:rPr>
        <w:t>-eight</w:t>
      </w:r>
      <w:r>
        <w:rPr>
          <w:rFonts w:ascii="Times New Roman" w:eastAsia="Times New Roman" w:hAnsi="Times New Roman" w:cs="Times New Roman"/>
          <w:color w:val="000000"/>
          <w:sz w:val="24"/>
          <w:szCs w:val="24"/>
        </w:rPr>
        <w:t xml:space="preserve"> percent of all energy</w:t>
      </w:r>
      <w:r>
        <w:rPr>
          <w:rFonts w:ascii="Times New Roman" w:eastAsia="Times New Roman" w:hAnsi="Times New Roman" w:cs="Times New Roman"/>
          <w:sz w:val="24"/>
          <w:szCs w:val="24"/>
        </w:rPr>
        <w:t>-related</w:t>
      </w:r>
      <w:r>
        <w:rPr>
          <w:rFonts w:ascii="Times New Roman" w:eastAsia="Times New Roman" w:hAnsi="Times New Roman" w:cs="Times New Roman"/>
          <w:color w:val="000000"/>
          <w:sz w:val="24"/>
          <w:szCs w:val="24"/>
        </w:rPr>
        <w:t xml:space="preserve"> CO₂ </w:t>
      </w:r>
      <w:r>
        <w:rPr>
          <w:rFonts w:ascii="Times New Roman" w:eastAsia="Times New Roman" w:hAnsi="Times New Roman" w:cs="Times New Roman"/>
          <w:sz w:val="24"/>
          <w:szCs w:val="24"/>
        </w:rPr>
        <w:t>emissions,</w:t>
      </w:r>
      <w:r>
        <w:rPr>
          <w:rFonts w:ascii="Times New Roman" w:eastAsia="Times New Roman" w:hAnsi="Times New Roman" w:cs="Times New Roman"/>
          <w:color w:val="000000"/>
          <w:sz w:val="24"/>
          <w:szCs w:val="24"/>
        </w:rPr>
        <w:t xml:space="preserve"> and road vehicles release the largest part of that share ​[1]​ . Countries have strengthened their promises to reach net zero emissions under the Paris Agreement</w:t>
      </w:r>
      <w:r>
        <w:rPr>
          <w:rFonts w:ascii="Times New Roman" w:eastAsia="Times New Roman" w:hAnsi="Times New Roman" w:cs="Times New Roman"/>
          <w:sz w:val="24"/>
          <w:szCs w:val="24"/>
        </w:rPr>
        <w:t>—cutting</w:t>
      </w:r>
      <w:r>
        <w:rPr>
          <w:rFonts w:ascii="Times New Roman" w:eastAsia="Times New Roman" w:hAnsi="Times New Roman" w:cs="Times New Roman"/>
          <w:color w:val="000000"/>
          <w:sz w:val="24"/>
          <w:szCs w:val="24"/>
        </w:rPr>
        <w:t xml:space="preserve"> carbon from transport has turned from a green goal into a required policy for rich plus developing nations ​[2]​ .  </w:t>
      </w:r>
    </w:p>
    <w:p w14:paraId="11942C82" w14:textId="77777777" w:rsidR="006D0435"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Electrified vehicles range from mild hybrids to cars that run only on battery power, and they now lead the only clear route to cut carbon from road transport. Conventional cars burn only petroleum, but electrified models add an electric drive that turns fuel into motion with fewer energy losses and can expel no exhaust gases at the tail pipe ​[3]​. Transport uses about sixty percent of all oil</w:t>
      </w:r>
      <w:r>
        <w:rPr>
          <w:rFonts w:ascii="Times New Roman" w:eastAsia="Times New Roman" w:hAnsi="Times New Roman" w:cs="Times New Roman"/>
          <w:sz w:val="24"/>
          <w:szCs w:val="24"/>
        </w:rPr>
        <w:t>—any</w:t>
      </w:r>
      <w:r>
        <w:rPr>
          <w:rFonts w:ascii="Times New Roman" w:eastAsia="Times New Roman" w:hAnsi="Times New Roman" w:cs="Times New Roman"/>
          <w:color w:val="000000"/>
          <w:sz w:val="24"/>
          <w:szCs w:val="24"/>
        </w:rPr>
        <w:t xml:space="preserve"> drop in that demand threatens the balance between oil supply plus consumption - for this reason, shifting to electric drive is treated as a security issue for national energy policy. The change does not follow a single template. It proceeds through a sequence of designs that </w:t>
      </w:r>
      <w:r>
        <w:rPr>
          <w:rFonts w:ascii="Times New Roman" w:eastAsia="Times New Roman" w:hAnsi="Times New Roman" w:cs="Times New Roman"/>
          <w:color w:val="000000"/>
          <w:sz w:val="24"/>
          <w:szCs w:val="24"/>
        </w:rPr>
        <w:lastRenderedPageBreak/>
        <w:t>differ in how much carbon they avoid, how far they travel on a charge, how much new infrastructure they need, and how much they cost ​[4]​.          </w:t>
      </w:r>
    </w:p>
    <w:p w14:paraId="7C7C3A49" w14:textId="77777777" w:rsidR="006D0435"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1.2 The Three Pillars of Electrification: EVs, PHEVs, and HEVs</w:t>
      </w:r>
      <w:r>
        <w:rPr>
          <w:rFonts w:ascii="Times New Roman" w:eastAsia="Times New Roman" w:hAnsi="Times New Roman" w:cs="Times New Roman"/>
          <w:color w:val="000000"/>
          <w:sz w:val="24"/>
          <w:szCs w:val="24"/>
        </w:rPr>
        <w:t>  </w:t>
      </w:r>
    </w:p>
    <w:p w14:paraId="44D4F22A" w14:textId="77777777" w:rsidR="006D0435"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Electrified vehicles available today fall into three broad groups - Hybrid Electric Vehicles, Plug in Hybrid Electric Vehicles besides Battery Electric Vehicles. Each group uses a different method of electrification, works with a specific set of supporting systems, and leaves a distinct mark on the environment.         </w:t>
      </w:r>
    </w:p>
    <w:p w14:paraId="385B019C" w14:textId="77777777" w:rsidR="006D0435"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Hybrid Electric Vehicle carries both an internal combustion engine and an electric motor, but it has no socket for an external charge. The vehicle creates its own electricity when the driver brakes or when the engine has spare capacity ​[2]​. While the car moves, the engine delivers most of the torque to the wheels - the motor plus its small traction battery adds extra torque when needed. Because the battery recharges itself, the driver refuels only with liquid fuel and enjoys a fuel economy gain of roughly thirty to fifty percent compared with a purely combustion car, without the need to locate a charger ​[5]​.  </w:t>
      </w:r>
    </w:p>
    <w:p w14:paraId="16599B09" w14:textId="77777777" w:rsidR="006D0435"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Plug in Hybrid Electric Vehicle carries a larger traction battery - it can cover twenty to eighty kilometers on grid electricity alone. The driver plugs the car into an external supply to refill the battery. Once the battery reaches a low threshold, the vehicle behaves like a hybrid - the engine, the motor or both units together can send torque to the wheels, and the battery continues to collect energy from the engine but also from regenerative braking ​[3]​.                                                                    </w:t>
      </w:r>
    </w:p>
    <w:p w14:paraId="069D6830" w14:textId="77777777" w:rsidR="006D0435" w:rsidRDefault="00000000">
      <w:pPr>
        <w:pBdr>
          <w:top w:val="nil"/>
          <w:left w:val="nil"/>
          <w:bottom w:val="nil"/>
          <w:right w:val="nil"/>
          <w:between w:val="nil"/>
        </w:pBdr>
        <w:spacing w:before="270" w:after="27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1.3 Historical Evolution of Electrified Powertrains</w:t>
      </w:r>
      <w:r>
        <w:rPr>
          <w:rFonts w:ascii="Times New Roman" w:eastAsia="Times New Roman" w:hAnsi="Times New Roman" w:cs="Times New Roman"/>
          <w:color w:val="000000"/>
          <w:sz w:val="24"/>
          <w:szCs w:val="24"/>
        </w:rPr>
        <w:t>  </w:t>
      </w:r>
    </w:p>
    <w:p w14:paraId="5FB2AA97" w14:textId="77777777" w:rsidR="006D0435"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Electric vehicles appeared multiple decades before gasoline engines took over. In the late 1800s and early 1900s, cars with electric drive systems sold well against gasoline plus steam models because they ran silently, gave immediate pulling force and started without a hand crank. The later discovery of large oil fields, the arrival of an electric starter that removed the need for the risky crank besides Ford's high volume assembly lines for gasoline cars pushed electric drive into minor roles for most of the 1900s ​[6]​ .   </w:t>
      </w:r>
    </w:p>
    <w:p w14:paraId="644742B0" w14:textId="6100BF5A" w:rsidR="006D0435"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Renewed attention to vehicles with electric drive began in the 1990s, after California required manufacturers to sell a set number of zero emission cars. Small batch models like General Motors’ EV1 showed that electric drive worked but lead acid batteries kept the range short but also the price high</w:t>
      </w:r>
      <w:r w:rsidR="001168B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When Toyota launched the Prius in Japan in 1997 and worldwide in 2000, it demonstrated that a hybrid layout - an engine paired with an electric motor as well as a modest battery - raised fuel economy by 30 - 50 percent compared with standard cars without asking drivers to change habits or build new fuel stations ​[3]​.  </w:t>
      </w:r>
    </w:p>
    <w:p w14:paraId="1CD63FFE" w14:textId="77777777" w:rsidR="006D0435"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modern wave of vehicle electrification started when Nissan released the Leaf besides Tesla released the Roadster in the late 2000s. General Motors added the Chevrolet Volt, a plug-in hybrid, in 2010. All three </w:t>
      </w:r>
      <w:r>
        <w:rPr>
          <w:rFonts w:ascii="Times New Roman" w:eastAsia="Times New Roman" w:hAnsi="Times New Roman" w:cs="Times New Roman"/>
          <w:color w:val="000000"/>
          <w:sz w:val="24"/>
          <w:szCs w:val="24"/>
        </w:rPr>
        <w:lastRenderedPageBreak/>
        <w:t>models used lithium-ion cells, a chemistry that stores more energy per kilogram, survives more charge discharge cycles and delivers power more briskly than the older nickel-metal-hydride or lead acid batteries. From that point onward, factories have multiplied their battery output; prices have fallen as production experience has grown, and engineers have created many vehicle layouts, ranging from small city cars to large trucks ​[7]​.  </w:t>
      </w:r>
    </w:p>
    <w:p w14:paraId="6261B5E2" w14:textId="77777777" w:rsidR="006D0435"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1.4 The Environmental Imperative for Transportation Electrification</w:t>
      </w:r>
      <w:r>
        <w:rPr>
          <w:rFonts w:ascii="Times New Roman" w:eastAsia="Times New Roman" w:hAnsi="Times New Roman" w:cs="Times New Roman"/>
          <w:color w:val="000000"/>
          <w:sz w:val="24"/>
          <w:szCs w:val="24"/>
        </w:rPr>
        <w:t>  </w:t>
      </w:r>
    </w:p>
    <w:p w14:paraId="598B8B4C" w14:textId="77777777" w:rsidR="006D0435"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Vehicle electrification is driven by two linked goals - cutting the gases that warm the planet and cleaning the air people breathe. In 2022, moving people plus goods produced twenty eight percent of all greenhouse gases released in the United States, the largest share from any single part of the economy. Cars and light trucks alone gave off fifty seven percent of transportation total - the rest came from larger trucks, planes, trains but also ships. Because almost all this movement still relies on petroleum, the system both warms the atmosphere and leaves the country exposed to oil price spikes as well as supply disruptions.  </w:t>
      </w:r>
    </w:p>
    <w:p w14:paraId="596BC789" w14:textId="77777777" w:rsidR="006D0435"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Even though engines and fuels have become more efficient, the number of miles driven keeps climbing - carbon dioxide output from transportation keeps rising in many places. Electric models break the link between distance traveled or barrels of oil burned ​[8]​. A battery electric vehicle and a plug-in hybrid running on battery power, release no carbon dioxide, nitrogen oxides or particulate matter from the tailpipe. The absence of those pollutants is valuable in cities, where traffic is the main reason air quality limits are breached.         </w:t>
      </w:r>
    </w:p>
    <w:p w14:paraId="16D2C650" w14:textId="77777777" w:rsidR="006D0435"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total environmental gain from electric vehicles hinges on the kind of electricity that feeds the chargers. No smoke leaves the car - instead, the smoke comes from the power station that produces the kilowatt hours. Because of that, each mile driven in a plug in EV releases an amount of pollution equal to whatever mixture of coal, gas, wind, sun or other sources the local grid used at that hour, in that season and in that region. Over decades, that same mile will release a different amount as the grid adds more wind, solar, and other renewable capacity ​[9]​. The result shows that cleaning the grid must move in step by putting more EVs on the road.         </w:t>
      </w:r>
    </w:p>
    <w:p w14:paraId="2F0EA1FC" w14:textId="77777777" w:rsidR="006D0435"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1.5 Technologies and System Integration</w:t>
      </w:r>
      <w:r>
        <w:rPr>
          <w:rFonts w:ascii="Times New Roman" w:eastAsia="Times New Roman" w:hAnsi="Times New Roman" w:cs="Times New Roman"/>
          <w:color w:val="000000"/>
          <w:sz w:val="24"/>
          <w:szCs w:val="24"/>
        </w:rPr>
        <w:t> </w:t>
      </w:r>
    </w:p>
    <w:p w14:paraId="5F691FDB" w14:textId="3CB8E807" w:rsidR="006D0435"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Electric vehicle technologies now change quickly, and the changes reach past the cars themselves into wider system links plus new ways to charge. When an EV joins a smart grid or an intelligent traffic network, the car stops being only transported - it becomes a small power plant that can feed energy back, steady the grid and raise the share of renewable power. Wireless charging technology has appeared as a useful innovation. It gives convenience and safety. It also allows cars to charge while they move - the battery can be smaller, plus the car can travel farther. If the car drives itself, the recharge needs no human help [2], [10]. The car simply parks over a pad and power flows. This removes the driver from the task but also supports new business models that sell </w:t>
      </w:r>
      <w:r>
        <w:rPr>
          <w:rFonts w:ascii="Times New Roman" w:eastAsia="Times New Roman" w:hAnsi="Times New Roman" w:cs="Times New Roman"/>
          <w:color w:val="000000"/>
          <w:sz w:val="24"/>
          <w:szCs w:val="24"/>
        </w:rPr>
        <w:lastRenderedPageBreak/>
        <w:t>trips instead of cars. Network links and self-driving systems now meet. Together they let traffic flow more smoothly, waste less energy, as raises the efficiency of the whole transport network.     </w:t>
      </w:r>
    </w:p>
    <w:p w14:paraId="5EF7F032" w14:textId="77777777" w:rsidR="006D0435"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1.6 Scope and Key Themes of this review</w:t>
      </w:r>
      <w:r>
        <w:rPr>
          <w:rFonts w:ascii="Times New Roman" w:eastAsia="Times New Roman" w:hAnsi="Times New Roman" w:cs="Times New Roman"/>
          <w:color w:val="000000"/>
          <w:sz w:val="24"/>
          <w:szCs w:val="24"/>
        </w:rPr>
        <w:t>  </w:t>
      </w:r>
    </w:p>
    <w:p w14:paraId="68C68D9F" w14:textId="77777777" w:rsidR="006D0435"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review encompasses the following key thematic areas: </w:t>
      </w:r>
    </w:p>
    <w:p w14:paraId="2433F656" w14:textId="36596B78" w:rsidR="006D0435"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Battery storage - Studies show that how lithium-ion cells have changed over time, from nickel- cobalt- manganese and lithium-iron-phosphate to lithium-titanate-oxide. Additionally, by looking at the solid</w:t>
      </w:r>
      <w:r w:rsidR="001168B4">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state designs it can be proved. Researchers insist the reuse of retired packs, and they also list energy density, cycle count, safety but also price trends side by side ​[10]​.   </w:t>
      </w:r>
    </w:p>
    <w:p w14:paraId="787E1875" w14:textId="1F7CAB5E" w:rsidR="006D0435"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Charging points – The documents mainly list the three supply levels - Level 1 at 120V AC, Level 2 at 240V AC besides Level 3 DC fast charge - along with the main plugs next to protocols CCS, - SAE J1772, GB/T and also the North American Charging Standard. They not only state power ratings but also describe hardware those are found in home garages, office parks plus roadside stations, and note where stations remain scarce ​[11], [12]​. Some Apps but also payment systems serve houses, workplaces and public lots as well as analysts largely agree that wider charger access still governs how fast electric vehicles spread.   </w:t>
      </w:r>
    </w:p>
    <w:p w14:paraId="187D2AD4" w14:textId="0CC707A6" w:rsidR="006D0435"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Grid integration - This work measures how the connection of electric vehicle chargers changes the whole distribution network. It also records the rise in peak load along with the risk of transformer overload, the shift in voltage level and the drop in power quality ​[12], [13]​. It also tests smart charging methods that shape demand - those operating under central, local, or layered control. Additionally, it helps in checking the use of vehicle to grid power flow that lets parked cars feed energy back to the utility by supporting the grid, and it checks the joint operation with solar or wind plants.  </w:t>
      </w:r>
    </w:p>
    <w:p w14:paraId="14E0D744" w14:textId="77777777" w:rsidR="006D0435"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Commercial and fleet use - We look at the depot chargers that electric trucks, buses plus delivery fleets need, how to set charging times so trucks do not all plug in at once, how to keep the power draw below the local limit and what daily work must change ​[14], [15]​. Those vehicles demand high power but also often want it at the same moment - the job is harder than for cars. New Jersey runs a Zero Emission Incentive Program that has put USD 75.5 million into medium- and heavy-duty commercial vehicle –the program shows that states now watch this market closely​[16]​.  </w:t>
      </w:r>
    </w:p>
    <w:p w14:paraId="10AF13CA" w14:textId="77777777" w:rsidR="006D0435"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Policy and market analysis covers purchase incentives, tax exemptions plus non-monetary advantages like permission to use restricted lanes and reserved parking spots. It also includes infrastructure policies, regulatory standards like fuel economy rules but also zero emission vehicle mandates and adoption patterns in China​[17]​, Europe besides North America. Yang et al. study how different government policies affect electric vehicle spread - reviewing 516 policies across 25 countries. They find that electric vehicles spread faster when policy design matches each country's economic as well as social conditions ​[18]​. </w:t>
      </w:r>
    </w:p>
    <w:p w14:paraId="2796D5D2" w14:textId="77777777" w:rsidR="006D0435"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1.7 Rationale for This Comprehensive Review</w:t>
      </w:r>
      <w:r>
        <w:rPr>
          <w:rFonts w:ascii="Times New Roman" w:eastAsia="Times New Roman" w:hAnsi="Times New Roman" w:cs="Times New Roman"/>
          <w:color w:val="000000"/>
          <w:sz w:val="24"/>
          <w:szCs w:val="24"/>
        </w:rPr>
        <w:t> </w:t>
      </w:r>
    </w:p>
    <w:p w14:paraId="60959DEC" w14:textId="77777777" w:rsidR="006D0435"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Electrified vehicle technologies changed quickly during the last five years - a full, current summary of knowledge is now required. In 2010 a battery cost more than one thousand dollars for each kilowatt hour - in 2025 the price fell to about one hundred and fifty dollars for the same amount and this shift alters basic economic calculations for electrifying vehicles ​[4], [19], [20]​. Charging infrastructure grew fast - at the end of 2024 China had thirty one point four million new energy vehicles plus twelve point eight one eight million charging points, a rise of </w:t>
      </w:r>
      <w:proofErr w:type="gramStart"/>
      <w:r>
        <w:rPr>
          <w:rFonts w:ascii="Times New Roman" w:eastAsia="Times New Roman" w:hAnsi="Times New Roman" w:cs="Times New Roman"/>
          <w:color w:val="000000"/>
          <w:sz w:val="24"/>
          <w:szCs w:val="24"/>
        </w:rPr>
        <w:t>forty nine point</w:t>
      </w:r>
      <w:proofErr w:type="gramEnd"/>
      <w:r>
        <w:rPr>
          <w:rFonts w:ascii="Times New Roman" w:eastAsia="Times New Roman" w:hAnsi="Times New Roman" w:cs="Times New Roman"/>
          <w:color w:val="000000"/>
          <w:sz w:val="24"/>
          <w:szCs w:val="24"/>
        </w:rPr>
        <w:t xml:space="preserve"> one percent compared with the previous year but the points are spread unevenly across regions - some places still face lower adoption </w:t>
      </w:r>
      <w:proofErr w:type="gramStart"/>
      <w:r>
        <w:rPr>
          <w:rFonts w:ascii="Times New Roman" w:eastAsia="Times New Roman" w:hAnsi="Times New Roman" w:cs="Times New Roman"/>
          <w:color w:val="000000"/>
          <w:sz w:val="24"/>
          <w:szCs w:val="24"/>
        </w:rPr>
        <w:t>chances​[</w:t>
      </w:r>
      <w:proofErr w:type="gramEnd"/>
      <w:r>
        <w:rPr>
          <w:rFonts w:ascii="Times New Roman" w:eastAsia="Times New Roman" w:hAnsi="Times New Roman" w:cs="Times New Roman"/>
          <w:color w:val="000000"/>
          <w:sz w:val="24"/>
          <w:szCs w:val="24"/>
        </w:rPr>
        <w:t>20]​. Studies now give a clearer picture of grid integration problems - they show the dangers of unplanned charging and the benefits of smart charging together with vehicle-to-grid systems ​[16], [21]​. </w:t>
      </w:r>
    </w:p>
    <w:p w14:paraId="66D84F42" w14:textId="77777777" w:rsidR="006D0435"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Research on electrified vehicles now covers many separate topics but studies that treat vehicle design, batteries, chargers, grid impacts and policy as one system are still scarce. The present work closes this gap - combining results from all five areas. It relies chiefly on peer reviewed papers published at recent times to deliver an up-to-date, reliable picture of both the present state and the expected path of electrified vehicle technology ​[22]​ </w:t>
      </w:r>
    </w:p>
    <w:p w14:paraId="13657FBB"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 Review Methodology</w:t>
      </w:r>
    </w:p>
    <w:p w14:paraId="37E1D9DD"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section </w:t>
      </w:r>
      <w:proofErr w:type="gramStart"/>
      <w:r>
        <w:rPr>
          <w:rFonts w:ascii="Times New Roman" w:eastAsia="Times New Roman" w:hAnsi="Times New Roman" w:cs="Times New Roman"/>
          <w:color w:val="000000"/>
          <w:sz w:val="24"/>
          <w:szCs w:val="24"/>
        </w:rPr>
        <w:t>highlight</w:t>
      </w:r>
      <w:proofErr w:type="gramEnd"/>
      <w:r>
        <w:rPr>
          <w:rFonts w:ascii="Times New Roman" w:eastAsia="Times New Roman" w:hAnsi="Times New Roman" w:cs="Times New Roman"/>
          <w:color w:val="000000"/>
          <w:sz w:val="24"/>
          <w:szCs w:val="24"/>
        </w:rPr>
        <w:t xml:space="preserve"> the methodologies and criteria used to collect, evaluate, and synthesize literature relevant to Electric Vehicles (EVs), Plug-in Hybrid Electric Vehicles (PHEVs), and Hybrid Electric Vehicles (HEVs). </w:t>
      </w:r>
    </w:p>
    <w:p w14:paraId="6E6FBE36"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2.1 Research Scope and Guiding Questions</w:t>
      </w:r>
    </w:p>
    <w:p w14:paraId="4FE11008"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review focused on technological, environmental, economic, and policy dimensions of EV, HEV, and PHEV systems. To guide the literature the following topics were established:</w:t>
      </w:r>
    </w:p>
    <w:p w14:paraId="0830EAD6" w14:textId="77777777" w:rsidR="006D0435" w:rsidRDefault="00000000">
      <w:pPr>
        <w:numPr>
          <w:ilvl w:val="0"/>
          <w:numId w:val="1"/>
        </w:num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Current Classifications of Electric and Hybrid vehicles.</w:t>
      </w:r>
    </w:p>
    <w:p w14:paraId="57ADC4BF" w14:textId="77777777" w:rsidR="006D0435" w:rsidRDefault="00000000">
      <w:pPr>
        <w:numPr>
          <w:ilvl w:val="0"/>
          <w:numId w:val="1"/>
        </w:num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Modern energy storage systems, electric motors, and power electronics and their support for vehicular performance</w:t>
      </w:r>
    </w:p>
    <w:p w14:paraId="4061A549" w14:textId="77777777" w:rsidR="006D0435" w:rsidRDefault="00000000">
      <w:pPr>
        <w:numPr>
          <w:ilvl w:val="0"/>
          <w:numId w:val="1"/>
        </w:num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What advancements exist in charging infrastructures and grid integration?</w:t>
      </w:r>
    </w:p>
    <w:p w14:paraId="7D0EA973" w14:textId="77777777" w:rsidR="006D0435" w:rsidRDefault="00000000">
      <w:pPr>
        <w:numPr>
          <w:ilvl w:val="0"/>
          <w:numId w:val="1"/>
        </w:num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The environmental, economic, and regulatory implications of large-scale adoption of electrified transportation.</w:t>
      </w:r>
    </w:p>
    <w:p w14:paraId="36878901"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These questions facilitated in determining inclusion and exclusion criteria and maintain thematic coherence across all sections of the review.</w:t>
      </w:r>
    </w:p>
    <w:p w14:paraId="089FB851"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2.2 Literature Search Strategy</w:t>
      </w:r>
    </w:p>
    <w:p w14:paraId="726EC3CE"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structured literature search was conducted using major scientific and technical databases:</w:t>
      </w:r>
    </w:p>
    <w:p w14:paraId="1E5AA183"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IEEE Xplore, </w:t>
      </w:r>
      <w:proofErr w:type="spellStart"/>
      <w:r>
        <w:rPr>
          <w:rFonts w:ascii="Times New Roman" w:eastAsia="Times New Roman" w:hAnsi="Times New Roman" w:cs="Times New Roman"/>
          <w:color w:val="000000"/>
          <w:sz w:val="24"/>
          <w:szCs w:val="24"/>
        </w:rPr>
        <w:t>Schimago</w:t>
      </w:r>
      <w:proofErr w:type="spellEnd"/>
      <w:r>
        <w:rPr>
          <w:rFonts w:ascii="Times New Roman" w:eastAsia="Times New Roman" w:hAnsi="Times New Roman" w:cs="Times New Roman"/>
          <w:color w:val="000000"/>
          <w:sz w:val="24"/>
          <w:szCs w:val="24"/>
        </w:rPr>
        <w:t xml:space="preserve">, Google Scholar, sciencedirect.com, Advanced Online Library Wiley, Science Direct, IEA authority, Climate.ec, transport.ec, </w:t>
      </w:r>
      <w:proofErr w:type="spellStart"/>
      <w:proofErr w:type="gramStart"/>
      <w:r>
        <w:rPr>
          <w:rFonts w:ascii="Times New Roman" w:eastAsia="Times New Roman" w:hAnsi="Times New Roman" w:cs="Times New Roman"/>
          <w:color w:val="000000"/>
          <w:sz w:val="24"/>
          <w:szCs w:val="24"/>
        </w:rPr>
        <w:t>acea.auto</w:t>
      </w:r>
      <w:proofErr w:type="spellEnd"/>
      <w:proofErr w:type="gramEnd"/>
      <w:r>
        <w:rPr>
          <w:rFonts w:ascii="Times New Roman" w:eastAsia="Times New Roman" w:hAnsi="Times New Roman" w:cs="Times New Roman"/>
          <w:color w:val="000000"/>
          <w:sz w:val="24"/>
          <w:szCs w:val="24"/>
        </w:rPr>
        <w:t>, irs.gov, oecd.org, MDPI, theicct.org and some governmental official website</w:t>
      </w:r>
    </w:p>
    <w:p w14:paraId="15F2D2D1"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The search period emphasized literature from 2020 to 2025, with seminal foundational works from earlier years included when necessary. </w:t>
      </w:r>
      <w:proofErr w:type="gramStart"/>
      <w:r>
        <w:rPr>
          <w:rFonts w:ascii="Times New Roman" w:eastAsia="Times New Roman" w:hAnsi="Times New Roman" w:cs="Times New Roman"/>
          <w:color w:val="000000"/>
          <w:sz w:val="24"/>
          <w:szCs w:val="24"/>
        </w:rPr>
        <w:t>However</w:t>
      </w:r>
      <w:proofErr w:type="gramEnd"/>
      <w:r>
        <w:rPr>
          <w:rFonts w:ascii="Times New Roman" w:eastAsia="Times New Roman" w:hAnsi="Times New Roman" w:cs="Times New Roman"/>
          <w:color w:val="000000"/>
          <w:sz w:val="24"/>
          <w:szCs w:val="24"/>
        </w:rPr>
        <w:t xml:space="preserve"> the policies were stagnant if not the same over the period, therefore it was taken from 2015 to 2025.</w:t>
      </w:r>
    </w:p>
    <w:p w14:paraId="1F8E668F"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 Inclusion and Exclusion Criteria</w:t>
      </w:r>
    </w:p>
    <w:p w14:paraId="35012C21"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Inclusion Criteria</w:t>
      </w:r>
    </w:p>
    <w:p w14:paraId="0906BFF7"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Sources were considered if they were related directly to EV, HEV, or PHEV technologies. Moreover, they were also included if they addressed engineering, environmental, economic, or regulatory aspects relating to EV, HEV or PHEV</w:t>
      </w:r>
    </w:p>
    <w:p w14:paraId="62FF0F44"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Exclusion Criteria</w:t>
      </w:r>
    </w:p>
    <w:p w14:paraId="6DF987CE"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Sources were excluded from the review if they lacked adequate technical depth or a clear scientific or research foundation, focused exclusively on fossil-fuel vehicle technologies which include ICE powertrains, fuel injection systems, conventional automatic or manual transmissions designed for ICE vehicles solely, without providing relevance to electric propulsion, appeared as duplicates across multiple academic databases, or contained outdated or superseded information that did not offer meaningful historical context.</w:t>
      </w:r>
    </w:p>
    <w:p w14:paraId="18DBDD74"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2.4 Data Extraction and Organization</w:t>
      </w:r>
    </w:p>
    <w:p w14:paraId="45CB691B"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The literature was categorized into the following sections:</w:t>
      </w:r>
    </w:p>
    <w:p w14:paraId="278C12F7"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Vehicle Classification &amp; Powertrain Architectures</w:t>
      </w:r>
    </w:p>
    <w:p w14:paraId="43C0659F" w14:textId="77777777" w:rsidR="006D043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Battery &amp; Energy storage systems</w:t>
      </w:r>
    </w:p>
    <w:p w14:paraId="47076113"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Electric Motors &amp; Power Electronics</w:t>
      </w:r>
    </w:p>
    <w:p w14:paraId="0123E75B"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Charging Infrastructure &amp; Grid Interactions</w:t>
      </w:r>
    </w:p>
    <w:p w14:paraId="596F2C2E"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Energy Efficiency &amp; Environmental Impacts</w:t>
      </w:r>
    </w:p>
    <w:p w14:paraId="18FEBB4E"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Policies, Regulations &amp; Global Adoption</w:t>
      </w:r>
    </w:p>
    <w:p w14:paraId="7F644F10"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Challenges and Future Trends.</w:t>
      </w:r>
    </w:p>
    <w:p w14:paraId="463A0DB3"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key details which were extracted included system specifications of the machines, performance metrics, comparative analyses within EV, HEV and PHEV, and of course, real-world case studies.</w:t>
      </w:r>
    </w:p>
    <w:p w14:paraId="3C2C73A7"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Vehicle Classification</w:t>
      </w:r>
      <w:r>
        <w:rPr>
          <w:rFonts w:ascii="Times New Roman" w:eastAsia="Times New Roman" w:hAnsi="Times New Roman" w:cs="Times New Roman"/>
          <w:color w:val="000000"/>
          <w:sz w:val="24"/>
          <w:szCs w:val="24"/>
        </w:rPr>
        <w:t xml:space="preserve"> </w:t>
      </w:r>
    </w:p>
    <w:p w14:paraId="105DAF87"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 BATTERY ELECTRIC VEHICLES (BEV):</w:t>
      </w:r>
      <w:r>
        <w:rPr>
          <w:rFonts w:ascii="Times New Roman" w:eastAsia="Times New Roman" w:hAnsi="Times New Roman" w:cs="Times New Roman"/>
          <w:color w:val="000000"/>
          <w:sz w:val="24"/>
          <w:szCs w:val="24"/>
        </w:rPr>
        <w:t xml:space="preserve"> </w:t>
      </w:r>
    </w:p>
    <w:p w14:paraId="75238A0F"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BEVs, depicted in Figure 1(a), run solely on electricity from rechargeable batteries for propulsion. They lack an internal combustion engine (ICE), making them emission-free during use. BEVs employ electric motors and recharge through external power sources like home charging units or public stations </w:t>
      </w:r>
      <w:hyperlink r:id="rId7">
        <w:r>
          <w:rPr>
            <w:rFonts w:ascii="Times New Roman" w:eastAsia="Times New Roman" w:hAnsi="Times New Roman" w:cs="Times New Roman"/>
            <w:color w:val="000000"/>
            <w:sz w:val="24"/>
            <w:szCs w:val="24"/>
          </w:rPr>
          <w:t>[</w:t>
        </w:r>
      </w:hyperlink>
      <w:hyperlink r:id="rId8">
        <w:r>
          <w:rPr>
            <w:rFonts w:ascii="Times New Roman" w:eastAsia="Times New Roman" w:hAnsi="Times New Roman" w:cs="Times New Roman"/>
            <w:sz w:val="24"/>
            <w:szCs w:val="24"/>
          </w:rPr>
          <w:t>23</w:t>
        </w:r>
      </w:hyperlink>
      <w:hyperlink r:id="rId9">
        <w:r>
          <w:rPr>
            <w:rFonts w:ascii="Times New Roman" w:eastAsia="Times New Roman" w:hAnsi="Times New Roman" w:cs="Times New Roman"/>
            <w:color w:val="000000"/>
            <w:sz w:val="24"/>
            <w:szCs w:val="24"/>
          </w:rPr>
          <w:t>], [24], [</w:t>
        </w:r>
      </w:hyperlink>
      <w:hyperlink r:id="rId10">
        <w:r>
          <w:rPr>
            <w:rFonts w:ascii="Times New Roman" w:eastAsia="Times New Roman" w:hAnsi="Times New Roman" w:cs="Times New Roman"/>
            <w:sz w:val="24"/>
            <w:szCs w:val="24"/>
          </w:rPr>
          <w:t>25</w:t>
        </w:r>
      </w:hyperlink>
      <w:hyperlink r:id="rId11">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Recent improvements in battery technology have enhanced BEVs, providing longer driving ranges and quicker charging, making them a viable choice for consumers. Notable models like the Tesla Model 3 and Nissan Leaf contribute to lowering environmental impact and reducing reliance on fossil fuels </w:t>
      </w:r>
      <w:hyperlink r:id="rId12">
        <w:r>
          <w:rPr>
            <w:rFonts w:ascii="Times New Roman" w:eastAsia="Times New Roman" w:hAnsi="Times New Roman" w:cs="Times New Roman"/>
            <w:color w:val="000000"/>
            <w:sz w:val="24"/>
            <w:szCs w:val="24"/>
          </w:rPr>
          <w:t>[</w:t>
        </w:r>
      </w:hyperlink>
      <w:hyperlink r:id="rId13">
        <w:r>
          <w:rPr>
            <w:rFonts w:ascii="Times New Roman" w:eastAsia="Times New Roman" w:hAnsi="Times New Roman" w:cs="Times New Roman"/>
            <w:sz w:val="24"/>
            <w:szCs w:val="24"/>
          </w:rPr>
          <w:t>26</w:t>
        </w:r>
      </w:hyperlink>
      <w:hyperlink r:id="rId14">
        <w:r>
          <w:rPr>
            <w:rFonts w:ascii="Times New Roman" w:eastAsia="Times New Roman" w:hAnsi="Times New Roman" w:cs="Times New Roman"/>
            <w:color w:val="000000"/>
            <w:sz w:val="24"/>
            <w:szCs w:val="24"/>
          </w:rPr>
          <w:t>], [</w:t>
        </w:r>
      </w:hyperlink>
      <w:hyperlink r:id="rId15">
        <w:r>
          <w:rPr>
            <w:rFonts w:ascii="Times New Roman" w:eastAsia="Times New Roman" w:hAnsi="Times New Roman" w:cs="Times New Roman"/>
            <w:sz w:val="24"/>
            <w:szCs w:val="24"/>
          </w:rPr>
          <w:t>27</w:t>
        </w:r>
      </w:hyperlink>
      <w:hyperlink r:id="rId16">
        <w:r>
          <w:rPr>
            <w:rFonts w:ascii="Times New Roman" w:eastAsia="Times New Roman" w:hAnsi="Times New Roman" w:cs="Times New Roman"/>
            <w:color w:val="000000"/>
            <w:sz w:val="24"/>
            <w:szCs w:val="24"/>
          </w:rPr>
          <w:t>], [</w:t>
        </w:r>
      </w:hyperlink>
      <w:hyperlink r:id="rId17">
        <w:r>
          <w:rPr>
            <w:rFonts w:ascii="Times New Roman" w:eastAsia="Times New Roman" w:hAnsi="Times New Roman" w:cs="Times New Roman"/>
            <w:sz w:val="24"/>
            <w:szCs w:val="24"/>
          </w:rPr>
          <w:t>28</w:t>
        </w:r>
      </w:hyperlink>
      <w:hyperlink r:id="rId18">
        <w:r>
          <w:rPr>
            <w:rFonts w:ascii="Times New Roman" w:eastAsia="Times New Roman" w:hAnsi="Times New Roman" w:cs="Times New Roman"/>
            <w:color w:val="000000"/>
            <w:sz w:val="24"/>
            <w:szCs w:val="24"/>
          </w:rPr>
          <w:t>], [</w:t>
        </w:r>
      </w:hyperlink>
      <w:hyperlink r:id="rId19">
        <w:r>
          <w:rPr>
            <w:rFonts w:ascii="Times New Roman" w:eastAsia="Times New Roman" w:hAnsi="Times New Roman" w:cs="Times New Roman"/>
            <w:sz w:val="24"/>
            <w:szCs w:val="24"/>
          </w:rPr>
          <w:t>29</w:t>
        </w:r>
      </w:hyperlink>
      <w:hyperlink r:id="rId20">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w:t>
      </w:r>
    </w:p>
    <w:p w14:paraId="6F744E3E" w14:textId="77777777" w:rsidR="006D0435" w:rsidRDefault="00000000">
      <w:pPr>
        <w:shd w:val="clear" w:color="auto" w:fill="FFFFFF"/>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 PLUG-IN HYBRID ELECTRIC VEHICLES (PHEV): </w:t>
      </w:r>
    </w:p>
    <w:p w14:paraId="5BEA96D5" w14:textId="77777777" w:rsidR="006D0435" w:rsidRDefault="00000000">
      <w:pPr>
        <w:shd w:val="clear" w:color="auto" w:fill="FFFFFF"/>
        <w:spacing w:before="200" w:after="20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PHEVs utilize both an electric motor and an ICE, as shown in Figure 1(b). They can operate solely on electricity for short distances, usually between 20 and 50 miles, before reverting to gasoline when the battery runs out </w:t>
      </w:r>
      <w:hyperlink r:id="rId21">
        <w:r>
          <w:rPr>
            <w:rFonts w:ascii="Times New Roman" w:eastAsia="Times New Roman" w:hAnsi="Times New Roman" w:cs="Times New Roman"/>
            <w:color w:val="000000"/>
            <w:sz w:val="24"/>
            <w:szCs w:val="24"/>
          </w:rPr>
          <w:t>[</w:t>
        </w:r>
      </w:hyperlink>
      <w:hyperlink r:id="rId22">
        <w:r>
          <w:rPr>
            <w:rFonts w:ascii="Times New Roman" w:eastAsia="Times New Roman" w:hAnsi="Times New Roman" w:cs="Times New Roman"/>
            <w:sz w:val="24"/>
            <w:szCs w:val="24"/>
          </w:rPr>
          <w:t>30</w:t>
        </w:r>
      </w:hyperlink>
      <w:hyperlink r:id="rId23">
        <w:r>
          <w:rPr>
            <w:rFonts w:ascii="Times New Roman" w:eastAsia="Times New Roman" w:hAnsi="Times New Roman" w:cs="Times New Roman"/>
            <w:color w:val="000000"/>
            <w:sz w:val="24"/>
            <w:szCs w:val="24"/>
          </w:rPr>
          <w:t>], [</w:t>
        </w:r>
      </w:hyperlink>
      <w:hyperlink r:id="rId24">
        <w:r>
          <w:rPr>
            <w:rFonts w:ascii="Times New Roman" w:eastAsia="Times New Roman" w:hAnsi="Times New Roman" w:cs="Times New Roman"/>
            <w:sz w:val="24"/>
            <w:szCs w:val="24"/>
          </w:rPr>
          <w:t>31</w:t>
        </w:r>
      </w:hyperlink>
      <w:hyperlink r:id="rId25">
        <w:r>
          <w:rPr>
            <w:rFonts w:ascii="Times New Roman" w:eastAsia="Times New Roman" w:hAnsi="Times New Roman" w:cs="Times New Roman"/>
            <w:color w:val="000000"/>
            <w:sz w:val="24"/>
            <w:szCs w:val="24"/>
          </w:rPr>
          <w:t>], [</w:t>
        </w:r>
      </w:hyperlink>
      <w:hyperlink r:id="rId26">
        <w:r>
          <w:rPr>
            <w:rFonts w:ascii="Times New Roman" w:eastAsia="Times New Roman" w:hAnsi="Times New Roman" w:cs="Times New Roman"/>
            <w:sz w:val="24"/>
            <w:szCs w:val="24"/>
          </w:rPr>
          <w:t>32</w:t>
        </w:r>
      </w:hyperlink>
      <w:hyperlink r:id="rId27">
        <w:r>
          <w:rPr>
            <w:rFonts w:ascii="Times New Roman" w:eastAsia="Times New Roman" w:hAnsi="Times New Roman" w:cs="Times New Roman"/>
            <w:color w:val="000000"/>
            <w:sz w:val="24"/>
            <w:szCs w:val="24"/>
          </w:rPr>
          <w:t>], [</w:t>
        </w:r>
      </w:hyperlink>
      <w:hyperlink r:id="rId28">
        <w:r>
          <w:rPr>
            <w:rFonts w:ascii="Times New Roman" w:eastAsia="Times New Roman" w:hAnsi="Times New Roman" w:cs="Times New Roman"/>
            <w:sz w:val="24"/>
            <w:szCs w:val="24"/>
          </w:rPr>
          <w:t>33</w:t>
        </w:r>
      </w:hyperlink>
      <w:hyperlink r:id="rId29">
        <w:r>
          <w:rPr>
            <w:rFonts w:ascii="Times New Roman" w:eastAsia="Times New Roman" w:hAnsi="Times New Roman" w:cs="Times New Roman"/>
            <w:color w:val="000000"/>
            <w:sz w:val="24"/>
            <w:szCs w:val="24"/>
          </w:rPr>
          <w:t>], [</w:t>
        </w:r>
      </w:hyperlink>
      <w:hyperlink r:id="rId30">
        <w:r>
          <w:rPr>
            <w:rFonts w:ascii="Times New Roman" w:eastAsia="Times New Roman" w:hAnsi="Times New Roman" w:cs="Times New Roman"/>
            <w:sz w:val="24"/>
            <w:szCs w:val="24"/>
          </w:rPr>
          <w:t>34</w:t>
        </w:r>
      </w:hyperlink>
      <w:hyperlink r:id="rId31">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PHEVs utilize external power sources for charging and provide enhanced flexibility for longer journeys due to their gasoline engine. This combination of powertrains improves fuel efficiency and lowers emissions. Notable models like the Toyota Prius Prime and Chevrolet Volt are perfect for those seeking electric driving without concerns about range </w:t>
      </w:r>
      <w:hyperlink r:id="rId32">
        <w:r>
          <w:rPr>
            <w:rFonts w:ascii="Times New Roman" w:eastAsia="Times New Roman" w:hAnsi="Times New Roman" w:cs="Times New Roman"/>
            <w:color w:val="000000"/>
            <w:sz w:val="24"/>
            <w:szCs w:val="24"/>
          </w:rPr>
          <w:t>[</w:t>
        </w:r>
      </w:hyperlink>
      <w:hyperlink r:id="rId33">
        <w:r>
          <w:rPr>
            <w:rFonts w:ascii="Times New Roman" w:eastAsia="Times New Roman" w:hAnsi="Times New Roman" w:cs="Times New Roman"/>
            <w:sz w:val="24"/>
            <w:szCs w:val="24"/>
          </w:rPr>
          <w:t>35</w:t>
        </w:r>
      </w:hyperlink>
      <w:hyperlink r:id="rId34">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r>
        <w:rPr>
          <w:rFonts w:ascii="Times New Roman" w:eastAsia="Times New Roman" w:hAnsi="Times New Roman" w:cs="Times New Roman"/>
          <w:b/>
          <w:bCs/>
          <w:color w:val="000000"/>
          <w:sz w:val="24"/>
          <w:szCs w:val="24"/>
        </w:rPr>
        <w:t xml:space="preserve">3) HYBRID ELECTRIC VEHICLES (HEV): </w:t>
      </w:r>
    </w:p>
    <w:p w14:paraId="51A96263" w14:textId="77777777" w:rsidR="006D0435" w:rsidRDefault="00000000">
      <w:pPr>
        <w:shd w:val="clear" w:color="auto" w:fill="FFFFFF"/>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highlight w:val="white"/>
        </w:rPr>
        <w:t>HEVs are powered by an internal combustion engine (ICE) and by an electric motor that uses energy stored in a battery</w:t>
      </w:r>
      <w:r>
        <w:rPr>
          <w:rFonts w:ascii="Times New Roman" w:eastAsia="Times New Roman" w:hAnsi="Times New Roman" w:cs="Times New Roman"/>
          <w:color w:val="000000"/>
          <w:sz w:val="24"/>
          <w:szCs w:val="24"/>
        </w:rPr>
        <w:t xml:space="preserve"> </w:t>
      </w:r>
      <w:hyperlink r:id="rId35">
        <w:r>
          <w:rPr>
            <w:rFonts w:ascii="Times New Roman" w:eastAsia="Times New Roman" w:hAnsi="Times New Roman" w:cs="Times New Roman"/>
            <w:color w:val="000000"/>
            <w:sz w:val="24"/>
            <w:szCs w:val="24"/>
          </w:rPr>
          <w:t>[</w:t>
        </w:r>
      </w:hyperlink>
      <w:hyperlink r:id="rId36">
        <w:r>
          <w:rPr>
            <w:rFonts w:ascii="Times New Roman" w:eastAsia="Times New Roman" w:hAnsi="Times New Roman" w:cs="Times New Roman"/>
            <w:sz w:val="24"/>
            <w:szCs w:val="24"/>
          </w:rPr>
          <w:t>36</w:t>
        </w:r>
      </w:hyperlink>
      <w:hyperlink r:id="rId37">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but unlike PHEVs, they cannot be plugged into a charger, as exhibited in Figure 1(c). Alternatively, the battery gets charged by means of regenerative braking and its own engine </w:t>
      </w:r>
      <w:hyperlink r:id="rId38">
        <w:r>
          <w:rPr>
            <w:rFonts w:ascii="Times New Roman" w:eastAsia="Times New Roman" w:hAnsi="Times New Roman" w:cs="Times New Roman"/>
            <w:color w:val="000000"/>
            <w:sz w:val="24"/>
            <w:szCs w:val="24"/>
          </w:rPr>
          <w:t>[</w:t>
        </w:r>
      </w:hyperlink>
      <w:hyperlink r:id="rId39">
        <w:r>
          <w:rPr>
            <w:rFonts w:ascii="Times New Roman" w:eastAsia="Times New Roman" w:hAnsi="Times New Roman" w:cs="Times New Roman"/>
            <w:sz w:val="24"/>
            <w:szCs w:val="24"/>
          </w:rPr>
          <w:t>37</w:t>
        </w:r>
      </w:hyperlink>
      <w:hyperlink r:id="rId40">
        <w:r>
          <w:rPr>
            <w:rFonts w:ascii="Times New Roman" w:eastAsia="Times New Roman" w:hAnsi="Times New Roman" w:cs="Times New Roman"/>
            <w:color w:val="000000"/>
            <w:sz w:val="24"/>
            <w:szCs w:val="24"/>
          </w:rPr>
          <w:t>], [</w:t>
        </w:r>
      </w:hyperlink>
      <w:hyperlink r:id="rId41">
        <w:r>
          <w:rPr>
            <w:rFonts w:ascii="Times New Roman" w:eastAsia="Times New Roman" w:hAnsi="Times New Roman" w:cs="Times New Roman"/>
            <w:sz w:val="24"/>
            <w:szCs w:val="24"/>
          </w:rPr>
          <w:t>38</w:t>
        </w:r>
      </w:hyperlink>
      <w:hyperlink r:id="rId42">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The motor-driven EV assists the engine during acceleration or low speeds, enhancing fuel efficiency and lowering emissions </w:t>
      </w:r>
      <w:hyperlink r:id="rId43">
        <w:r>
          <w:rPr>
            <w:rFonts w:ascii="Times New Roman" w:eastAsia="Times New Roman" w:hAnsi="Times New Roman" w:cs="Times New Roman"/>
            <w:color w:val="000000"/>
            <w:sz w:val="24"/>
            <w:szCs w:val="24"/>
          </w:rPr>
          <w:t>[</w:t>
        </w:r>
      </w:hyperlink>
      <w:hyperlink r:id="rId44">
        <w:r>
          <w:rPr>
            <w:rFonts w:ascii="Times New Roman" w:eastAsia="Times New Roman" w:hAnsi="Times New Roman" w:cs="Times New Roman"/>
            <w:sz w:val="24"/>
            <w:szCs w:val="24"/>
          </w:rPr>
          <w:t>39</w:t>
        </w:r>
      </w:hyperlink>
      <w:hyperlink r:id="rId45">
        <w:r>
          <w:rPr>
            <w:rFonts w:ascii="Times New Roman" w:eastAsia="Times New Roman" w:hAnsi="Times New Roman" w:cs="Times New Roman"/>
            <w:color w:val="000000"/>
            <w:sz w:val="24"/>
            <w:szCs w:val="24"/>
          </w:rPr>
          <w:t>], [</w:t>
        </w:r>
      </w:hyperlink>
      <w:hyperlink r:id="rId46">
        <w:r>
          <w:rPr>
            <w:rFonts w:ascii="Times New Roman" w:eastAsia="Times New Roman" w:hAnsi="Times New Roman" w:cs="Times New Roman"/>
            <w:sz w:val="24"/>
            <w:szCs w:val="24"/>
          </w:rPr>
          <w:t>40</w:t>
        </w:r>
      </w:hyperlink>
      <w:hyperlink r:id="rId47">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HEVs have been available for years, exemplified by the Toyota Prius. They provide environmental advantages but mainly depend on gasoline, making them ideal for those focused on better fuel efficiency rather than complete electric driving </w:t>
      </w:r>
      <w:hyperlink r:id="rId48">
        <w:r>
          <w:rPr>
            <w:rFonts w:ascii="Times New Roman" w:eastAsia="Times New Roman" w:hAnsi="Times New Roman" w:cs="Times New Roman"/>
            <w:color w:val="000000"/>
            <w:sz w:val="24"/>
            <w:szCs w:val="24"/>
          </w:rPr>
          <w:t>[</w:t>
        </w:r>
      </w:hyperlink>
      <w:hyperlink r:id="rId49">
        <w:r>
          <w:rPr>
            <w:rFonts w:ascii="Times New Roman" w:eastAsia="Times New Roman" w:hAnsi="Times New Roman" w:cs="Times New Roman"/>
            <w:sz w:val="24"/>
            <w:szCs w:val="24"/>
          </w:rPr>
          <w:t>41</w:t>
        </w:r>
      </w:hyperlink>
      <w:hyperlink r:id="rId50">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w:t>
      </w:r>
    </w:p>
    <w:p w14:paraId="6A305737" w14:textId="77777777" w:rsidR="006D0435" w:rsidRDefault="00000000">
      <w:pPr>
        <w:shd w:val="clear" w:color="auto" w:fill="FFFFFF"/>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4) FUEL CELL ELECTRIC VEHICLES (FCEV): </w:t>
      </w:r>
    </w:p>
    <w:p w14:paraId="5B8EBE5B"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FCEVs are electric vehicles that generate electricity through a chemical reaction between hydrogen and oxygen in a fuel cell, as illustrated in Figure 1(d). This process powers the vehicle's motor and emits only water vapor, ensuring FCEVs are very environmentally friendly </w:t>
      </w:r>
      <w:hyperlink r:id="rId51">
        <w:r>
          <w:rPr>
            <w:rFonts w:ascii="Times New Roman" w:eastAsia="Times New Roman" w:hAnsi="Times New Roman" w:cs="Times New Roman"/>
            <w:color w:val="000000"/>
            <w:sz w:val="24"/>
            <w:szCs w:val="24"/>
          </w:rPr>
          <w:t>[</w:t>
        </w:r>
      </w:hyperlink>
      <w:hyperlink r:id="rId52">
        <w:r>
          <w:rPr>
            <w:rFonts w:ascii="Times New Roman" w:eastAsia="Times New Roman" w:hAnsi="Times New Roman" w:cs="Times New Roman"/>
            <w:sz w:val="24"/>
            <w:szCs w:val="24"/>
          </w:rPr>
          <w:t>33</w:t>
        </w:r>
      </w:hyperlink>
      <w:hyperlink r:id="rId53">
        <w:r>
          <w:rPr>
            <w:rFonts w:ascii="Times New Roman" w:eastAsia="Times New Roman" w:hAnsi="Times New Roman" w:cs="Times New Roman"/>
            <w:color w:val="000000"/>
            <w:sz w:val="24"/>
            <w:szCs w:val="24"/>
          </w:rPr>
          <w:t>], [</w:t>
        </w:r>
      </w:hyperlink>
      <w:hyperlink r:id="rId54">
        <w:r>
          <w:rPr>
            <w:rFonts w:ascii="Times New Roman" w:eastAsia="Times New Roman" w:hAnsi="Times New Roman" w:cs="Times New Roman"/>
            <w:sz w:val="24"/>
            <w:szCs w:val="24"/>
          </w:rPr>
          <w:t>42</w:t>
        </w:r>
      </w:hyperlink>
      <w:hyperlink r:id="rId55">
        <w:r>
          <w:rPr>
            <w:rFonts w:ascii="Times New Roman" w:eastAsia="Times New Roman" w:hAnsi="Times New Roman" w:cs="Times New Roman"/>
            <w:color w:val="000000"/>
            <w:sz w:val="24"/>
            <w:szCs w:val="24"/>
          </w:rPr>
          <w:t>], [</w:t>
        </w:r>
      </w:hyperlink>
      <w:hyperlink r:id="rId56">
        <w:r>
          <w:rPr>
            <w:rFonts w:ascii="Times New Roman" w:eastAsia="Times New Roman" w:hAnsi="Times New Roman" w:cs="Times New Roman"/>
            <w:sz w:val="24"/>
            <w:szCs w:val="24"/>
          </w:rPr>
          <w:t>43</w:t>
        </w:r>
      </w:hyperlink>
      <w:hyperlink r:id="rId57">
        <w:r>
          <w:rPr>
            <w:rFonts w:ascii="Times New Roman" w:eastAsia="Times New Roman" w:hAnsi="Times New Roman" w:cs="Times New Roman"/>
            <w:color w:val="000000"/>
            <w:sz w:val="24"/>
            <w:szCs w:val="24"/>
          </w:rPr>
          <w:t>], [</w:t>
        </w:r>
      </w:hyperlink>
      <w:hyperlink r:id="rId58">
        <w:r>
          <w:rPr>
            <w:rFonts w:ascii="Times New Roman" w:eastAsia="Times New Roman" w:hAnsi="Times New Roman" w:cs="Times New Roman"/>
            <w:sz w:val="24"/>
            <w:szCs w:val="24"/>
          </w:rPr>
          <w:t>44</w:t>
        </w:r>
      </w:hyperlink>
      <w:hyperlink r:id="rId59">
        <w:r>
          <w:rPr>
            <w:rFonts w:ascii="Times New Roman" w:eastAsia="Times New Roman" w:hAnsi="Times New Roman" w:cs="Times New Roman"/>
            <w:color w:val="000000"/>
            <w:sz w:val="24"/>
            <w:szCs w:val="24"/>
          </w:rPr>
          <w:t>], [</w:t>
        </w:r>
      </w:hyperlink>
      <w:hyperlink r:id="rId60">
        <w:r>
          <w:rPr>
            <w:rFonts w:ascii="Times New Roman" w:eastAsia="Times New Roman" w:hAnsi="Times New Roman" w:cs="Times New Roman"/>
            <w:sz w:val="24"/>
            <w:szCs w:val="24"/>
          </w:rPr>
          <w:t>45</w:t>
        </w:r>
      </w:hyperlink>
      <w:hyperlink r:id="rId61">
        <w:r>
          <w:rPr>
            <w:rFonts w:ascii="Times New Roman" w:eastAsia="Times New Roman" w:hAnsi="Times New Roman" w:cs="Times New Roman"/>
            <w:color w:val="000000"/>
            <w:sz w:val="24"/>
            <w:szCs w:val="24"/>
          </w:rPr>
          <w:t>], [</w:t>
        </w:r>
      </w:hyperlink>
      <w:hyperlink r:id="rId62">
        <w:r>
          <w:rPr>
            <w:rFonts w:ascii="Times New Roman" w:eastAsia="Times New Roman" w:hAnsi="Times New Roman" w:cs="Times New Roman"/>
            <w:sz w:val="24"/>
            <w:szCs w:val="24"/>
          </w:rPr>
          <w:t>46</w:t>
        </w:r>
      </w:hyperlink>
      <w:hyperlink r:id="rId63">
        <w:r>
          <w:rPr>
            <w:rFonts w:ascii="Times New Roman" w:eastAsia="Times New Roman" w:hAnsi="Times New Roman" w:cs="Times New Roman"/>
            <w:color w:val="000000"/>
            <w:sz w:val="24"/>
            <w:szCs w:val="24"/>
          </w:rPr>
          <w:t>], [</w:t>
        </w:r>
      </w:hyperlink>
      <w:hyperlink r:id="rId64">
        <w:r>
          <w:rPr>
            <w:rFonts w:ascii="Times New Roman" w:eastAsia="Times New Roman" w:hAnsi="Times New Roman" w:cs="Times New Roman"/>
            <w:sz w:val="24"/>
            <w:szCs w:val="24"/>
          </w:rPr>
          <w:t>47</w:t>
        </w:r>
      </w:hyperlink>
      <w:hyperlink r:id="rId65">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In FCEVs, the battery acts as an energy reservoir, capturing energy from regenerative braking and providing extra power while accelerating. It contributes to the energy generation of the fuel cell, promoting efficiency. It also </w:t>
      </w:r>
      <w:proofErr w:type="spellStart"/>
      <w:r>
        <w:rPr>
          <w:rFonts w:ascii="Times New Roman" w:eastAsia="Times New Roman" w:hAnsi="Times New Roman" w:cs="Times New Roman"/>
          <w:color w:val="000000"/>
          <w:sz w:val="24"/>
          <w:szCs w:val="24"/>
        </w:rPr>
        <w:t>smoothes</w:t>
      </w:r>
      <w:proofErr w:type="spellEnd"/>
      <w:r>
        <w:rPr>
          <w:rFonts w:ascii="Times New Roman" w:eastAsia="Times New Roman" w:hAnsi="Times New Roman" w:cs="Times New Roman"/>
          <w:color w:val="000000"/>
          <w:sz w:val="24"/>
          <w:szCs w:val="24"/>
        </w:rPr>
        <w:t xml:space="preserve"> power output, reducing system stress. Moreover, the battery enables cold starts by supplying initial power until the fuel cell reaches its optimal temperature. Hydrogen refueling is quicker than charging conventional electric vehicles, and fuel cell electric vehicles are built for longer driving distances compared to battery electric </w:t>
      </w:r>
      <w:r>
        <w:rPr>
          <w:rFonts w:ascii="Times New Roman" w:eastAsia="Times New Roman" w:hAnsi="Times New Roman" w:cs="Times New Roman"/>
          <w:color w:val="000000"/>
          <w:sz w:val="24"/>
          <w:szCs w:val="24"/>
        </w:rPr>
        <w:lastRenderedPageBreak/>
        <w:t xml:space="preserve">vehicles. However, the use of FCEVs is constrained by the availability of hydrogen refueling stops. Prominent examples of FCEVs are the Toyota Mirai and Hyundai Nexo, showcasing hydrogen's potential as a sustainable fuel for the future </w:t>
      </w:r>
      <w:hyperlink r:id="rId66">
        <w:r>
          <w:rPr>
            <w:rFonts w:ascii="Times New Roman" w:eastAsia="Times New Roman" w:hAnsi="Times New Roman" w:cs="Times New Roman"/>
            <w:color w:val="000000"/>
            <w:sz w:val="24"/>
            <w:szCs w:val="24"/>
          </w:rPr>
          <w:t>[</w:t>
        </w:r>
      </w:hyperlink>
      <w:hyperlink r:id="rId67">
        <w:r>
          <w:rPr>
            <w:rFonts w:ascii="Times New Roman" w:eastAsia="Times New Roman" w:hAnsi="Times New Roman" w:cs="Times New Roman"/>
            <w:sz w:val="24"/>
            <w:szCs w:val="24"/>
          </w:rPr>
          <w:t>48</w:t>
        </w:r>
      </w:hyperlink>
      <w:hyperlink r:id="rId68">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w:t>
      </w:r>
    </w:p>
    <w:p w14:paraId="0E29A00C" w14:textId="77777777" w:rsidR="006D0435" w:rsidRDefault="00000000">
      <w:pPr>
        <w:shd w:val="clear" w:color="auto" w:fill="FFFFFF"/>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sz w:val="24"/>
          <w:szCs w:val="24"/>
        </w:rPr>
        <w:t xml:space="preserve">Table I: </w:t>
      </w:r>
      <w:r>
        <w:rPr>
          <w:rFonts w:ascii="Times New Roman" w:eastAsia="Times New Roman" w:hAnsi="Times New Roman" w:cs="Times New Roman"/>
          <w:color w:val="000000"/>
          <w:sz w:val="24"/>
          <w:szCs w:val="24"/>
        </w:rPr>
        <w:t>System-Level Comparison of BEV, HEV, PHEV, and FCEV Powertrain Architectures</w:t>
      </w:r>
      <w:r>
        <w:rPr>
          <w:rFonts w:ascii="Times New Roman" w:eastAsia="Times New Roman" w:hAnsi="Times New Roman" w:cs="Times New Roman"/>
          <w:b/>
          <w:bCs/>
          <w:color w:val="000000"/>
          <w:sz w:val="24"/>
          <w:szCs w:val="24"/>
        </w:rPr>
        <w:t xml:space="preserve"> </w:t>
      </w:r>
    </w:p>
    <w:tbl>
      <w:tblPr>
        <w:tblStyle w:val="a"/>
        <w:tblW w:w="10530" w:type="dxa"/>
        <w:tblInd w:w="0" w:type="dxa"/>
        <w:tblLayout w:type="fixed"/>
        <w:tblLook w:val="0600" w:firstRow="0" w:lastRow="0" w:firstColumn="0" w:lastColumn="0" w:noHBand="1" w:noVBand="1"/>
      </w:tblPr>
      <w:tblGrid>
        <w:gridCol w:w="1125"/>
        <w:gridCol w:w="1125"/>
        <w:gridCol w:w="1125"/>
        <w:gridCol w:w="1125"/>
        <w:gridCol w:w="1200"/>
        <w:gridCol w:w="1440"/>
        <w:gridCol w:w="1380"/>
        <w:gridCol w:w="2010"/>
      </w:tblGrid>
      <w:tr w:rsidR="006D0435" w14:paraId="5C9FE668" w14:textId="77777777">
        <w:trPr>
          <w:trHeight w:val="945"/>
        </w:trPr>
        <w:tc>
          <w:tcPr>
            <w:tcW w:w="1125" w:type="dxa"/>
            <w:tcBorders>
              <w:top w:val="single" w:sz="8" w:space="0" w:color="CCCCCC"/>
              <w:left w:val="nil"/>
              <w:bottom w:val="single" w:sz="8" w:space="0" w:color="CCCCCC"/>
              <w:right w:val="nil"/>
            </w:tcBorders>
            <w:tcMar>
              <w:top w:w="40" w:type="dxa"/>
              <w:left w:w="40" w:type="dxa"/>
              <w:bottom w:w="40" w:type="dxa"/>
              <w:right w:w="40" w:type="dxa"/>
            </w:tcMar>
          </w:tcPr>
          <w:p w14:paraId="6DEDB0EB" w14:textId="77777777" w:rsidR="006D0435" w:rsidRDefault="00000000">
            <w:pPr>
              <w:widowControl w:val="0"/>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Powertrain Type</w:t>
            </w:r>
          </w:p>
        </w:tc>
        <w:tc>
          <w:tcPr>
            <w:tcW w:w="1125" w:type="dxa"/>
            <w:tcBorders>
              <w:top w:val="single" w:sz="8" w:space="0" w:color="CCCCCC"/>
              <w:left w:val="nil"/>
              <w:bottom w:val="single" w:sz="8" w:space="0" w:color="CCCCCC"/>
              <w:right w:val="nil"/>
            </w:tcBorders>
            <w:tcMar>
              <w:top w:w="40" w:type="dxa"/>
              <w:left w:w="40" w:type="dxa"/>
              <w:bottom w:w="40" w:type="dxa"/>
              <w:right w:w="40" w:type="dxa"/>
            </w:tcMar>
          </w:tcPr>
          <w:p w14:paraId="52A908ED" w14:textId="77777777" w:rsidR="006D0435" w:rsidRDefault="00000000">
            <w:pPr>
              <w:widowControl w:val="0"/>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Primary Energy Source</w:t>
            </w:r>
          </w:p>
        </w:tc>
        <w:tc>
          <w:tcPr>
            <w:tcW w:w="1125" w:type="dxa"/>
            <w:tcBorders>
              <w:top w:val="single" w:sz="8" w:space="0" w:color="CCCCCC"/>
              <w:left w:val="nil"/>
              <w:bottom w:val="single" w:sz="8" w:space="0" w:color="CCCCCC"/>
              <w:right w:val="nil"/>
            </w:tcBorders>
            <w:tcMar>
              <w:top w:w="40" w:type="dxa"/>
              <w:left w:w="40" w:type="dxa"/>
              <w:bottom w:w="40" w:type="dxa"/>
              <w:right w:w="40" w:type="dxa"/>
            </w:tcMar>
          </w:tcPr>
          <w:p w14:paraId="39C8591E" w14:textId="77777777" w:rsidR="006D0435" w:rsidRDefault="00000000">
            <w:pPr>
              <w:widowControl w:val="0"/>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Energy Conversion Mechanism</w:t>
            </w:r>
          </w:p>
        </w:tc>
        <w:tc>
          <w:tcPr>
            <w:tcW w:w="1125" w:type="dxa"/>
            <w:tcBorders>
              <w:top w:val="single" w:sz="8" w:space="0" w:color="CCCCCC"/>
              <w:left w:val="nil"/>
              <w:bottom w:val="single" w:sz="8" w:space="0" w:color="CCCCCC"/>
              <w:right w:val="nil"/>
            </w:tcBorders>
            <w:tcMar>
              <w:top w:w="40" w:type="dxa"/>
              <w:left w:w="40" w:type="dxa"/>
              <w:bottom w:w="40" w:type="dxa"/>
              <w:right w:w="40" w:type="dxa"/>
            </w:tcMar>
          </w:tcPr>
          <w:p w14:paraId="560FB8C0" w14:textId="77777777" w:rsidR="006D0435" w:rsidRDefault="00000000">
            <w:pPr>
              <w:widowControl w:val="0"/>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Drivetrain Architecture</w:t>
            </w:r>
          </w:p>
        </w:tc>
        <w:tc>
          <w:tcPr>
            <w:tcW w:w="1200" w:type="dxa"/>
            <w:tcBorders>
              <w:top w:val="single" w:sz="8" w:space="0" w:color="CCCCCC"/>
              <w:left w:val="nil"/>
              <w:bottom w:val="single" w:sz="8" w:space="0" w:color="CCCCCC"/>
              <w:right w:val="nil"/>
            </w:tcBorders>
            <w:tcMar>
              <w:top w:w="40" w:type="dxa"/>
              <w:left w:w="40" w:type="dxa"/>
              <w:bottom w:w="40" w:type="dxa"/>
              <w:right w:w="40" w:type="dxa"/>
            </w:tcMar>
          </w:tcPr>
          <w:p w14:paraId="342F8A52" w14:textId="77777777" w:rsidR="006D0435" w:rsidRDefault="00000000">
            <w:pPr>
              <w:widowControl w:val="0"/>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Energy Storage System</w:t>
            </w:r>
          </w:p>
        </w:tc>
        <w:tc>
          <w:tcPr>
            <w:tcW w:w="1440" w:type="dxa"/>
            <w:tcBorders>
              <w:top w:val="single" w:sz="8" w:space="0" w:color="CCCCCC"/>
              <w:left w:val="nil"/>
              <w:bottom w:val="single" w:sz="8" w:space="0" w:color="CCCCCC"/>
              <w:right w:val="nil"/>
            </w:tcBorders>
            <w:tcMar>
              <w:top w:w="40" w:type="dxa"/>
              <w:left w:w="40" w:type="dxa"/>
              <w:bottom w:w="40" w:type="dxa"/>
              <w:right w:w="40" w:type="dxa"/>
            </w:tcMar>
          </w:tcPr>
          <w:p w14:paraId="1EDA4D33" w14:textId="77777777" w:rsidR="006D0435" w:rsidRDefault="00000000">
            <w:pPr>
              <w:widowControl w:val="0"/>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System Complexity</w:t>
            </w:r>
          </w:p>
        </w:tc>
        <w:tc>
          <w:tcPr>
            <w:tcW w:w="1380" w:type="dxa"/>
            <w:tcBorders>
              <w:top w:val="single" w:sz="8" w:space="0" w:color="CCCCCC"/>
              <w:left w:val="nil"/>
              <w:bottom w:val="single" w:sz="8" w:space="0" w:color="CCCCCC"/>
              <w:right w:val="nil"/>
            </w:tcBorders>
            <w:tcMar>
              <w:top w:w="40" w:type="dxa"/>
              <w:left w:w="40" w:type="dxa"/>
              <w:bottom w:w="40" w:type="dxa"/>
              <w:right w:w="40" w:type="dxa"/>
            </w:tcMar>
          </w:tcPr>
          <w:p w14:paraId="37D05619" w14:textId="77777777" w:rsidR="006D0435" w:rsidRDefault="00000000">
            <w:pPr>
              <w:widowControl w:val="0"/>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Charging / Refueling Method</w:t>
            </w:r>
          </w:p>
        </w:tc>
        <w:tc>
          <w:tcPr>
            <w:tcW w:w="2010" w:type="dxa"/>
            <w:tcBorders>
              <w:top w:val="single" w:sz="8" w:space="0" w:color="CCCCCC"/>
              <w:left w:val="nil"/>
              <w:bottom w:val="single" w:sz="8" w:space="0" w:color="CCCCCC"/>
            </w:tcBorders>
            <w:tcMar>
              <w:top w:w="40" w:type="dxa"/>
              <w:left w:w="0" w:type="dxa"/>
              <w:bottom w:w="40" w:type="dxa"/>
              <w:right w:w="0" w:type="dxa"/>
            </w:tcMar>
          </w:tcPr>
          <w:p w14:paraId="4E83DC3E" w14:textId="77777777" w:rsidR="006D0435" w:rsidRDefault="00000000">
            <w:pPr>
              <w:widowControl w:val="0"/>
              <w:spacing w:line="360" w:lineRule="auto"/>
              <w:ind w:left="-9020" w:right="-9020"/>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 xml:space="preserve">Emissions </w:t>
            </w:r>
          </w:p>
          <w:p w14:paraId="33A5043A" w14:textId="77777777" w:rsidR="006D0435" w:rsidRDefault="00000000">
            <w:pPr>
              <w:widowControl w:val="0"/>
              <w:spacing w:line="360" w:lineRule="auto"/>
              <w:ind w:left="-9020" w:right="-9020"/>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Characteristics</w:t>
            </w:r>
          </w:p>
        </w:tc>
      </w:tr>
      <w:tr w:rsidR="006D0435" w14:paraId="21042409" w14:textId="77777777">
        <w:trPr>
          <w:trHeight w:val="3030"/>
        </w:trPr>
        <w:tc>
          <w:tcPr>
            <w:tcW w:w="1125" w:type="dxa"/>
            <w:tcBorders>
              <w:top w:val="single" w:sz="8" w:space="0" w:color="CCCCCC"/>
              <w:left w:val="nil"/>
              <w:bottom w:val="nil"/>
              <w:right w:val="nil"/>
            </w:tcBorders>
            <w:tcMar>
              <w:top w:w="40" w:type="dxa"/>
              <w:left w:w="40" w:type="dxa"/>
              <w:bottom w:w="40" w:type="dxa"/>
              <w:right w:w="40" w:type="dxa"/>
            </w:tcMar>
          </w:tcPr>
          <w:p w14:paraId="7D570C9A"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Battery Electric Vehicle (BEV)</w:t>
            </w:r>
          </w:p>
        </w:tc>
        <w:tc>
          <w:tcPr>
            <w:tcW w:w="1125" w:type="dxa"/>
            <w:tcBorders>
              <w:top w:val="single" w:sz="8" w:space="0" w:color="CCCCCC"/>
              <w:left w:val="nil"/>
              <w:bottom w:val="nil"/>
              <w:right w:val="nil"/>
            </w:tcBorders>
            <w:tcMar>
              <w:top w:w="40" w:type="dxa"/>
              <w:left w:w="40" w:type="dxa"/>
              <w:bottom w:w="40" w:type="dxa"/>
              <w:right w:w="40" w:type="dxa"/>
            </w:tcMar>
          </w:tcPr>
          <w:p w14:paraId="0F8B7492"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Grid-supplied electrical energy [</w:t>
            </w:r>
            <w:r>
              <w:rPr>
                <w:rFonts w:ascii="Times New Roman" w:eastAsia="Times New Roman" w:hAnsi="Times New Roman" w:cs="Times New Roman"/>
                <w:sz w:val="16"/>
                <w:szCs w:val="16"/>
              </w:rPr>
              <w:t>49</w:t>
            </w:r>
            <w:r>
              <w:rPr>
                <w:rFonts w:ascii="Times New Roman" w:eastAsia="Times New Roman" w:hAnsi="Times New Roman" w:cs="Times New Roman"/>
                <w:color w:val="000000"/>
                <w:sz w:val="16"/>
                <w:szCs w:val="16"/>
              </w:rPr>
              <w:t>]</w:t>
            </w:r>
          </w:p>
        </w:tc>
        <w:tc>
          <w:tcPr>
            <w:tcW w:w="1125" w:type="dxa"/>
            <w:tcBorders>
              <w:top w:val="single" w:sz="8" w:space="0" w:color="CCCCCC"/>
              <w:left w:val="nil"/>
              <w:bottom w:val="nil"/>
              <w:right w:val="nil"/>
            </w:tcBorders>
            <w:tcMar>
              <w:top w:w="40" w:type="dxa"/>
              <w:left w:w="40" w:type="dxa"/>
              <w:bottom w:w="40" w:type="dxa"/>
              <w:right w:w="40" w:type="dxa"/>
            </w:tcMar>
          </w:tcPr>
          <w:p w14:paraId="7403CBFE"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Electrical energy stored in the traction battery is converted via a power inverter to drive electric motor(s), which transmit torque to the wheels [</w:t>
            </w:r>
            <w:r>
              <w:rPr>
                <w:rFonts w:ascii="Times New Roman" w:eastAsia="Times New Roman" w:hAnsi="Times New Roman" w:cs="Times New Roman"/>
                <w:sz w:val="16"/>
                <w:szCs w:val="16"/>
              </w:rPr>
              <w:t>49</w:t>
            </w:r>
            <w:r>
              <w:rPr>
                <w:rFonts w:ascii="Times New Roman" w:eastAsia="Times New Roman" w:hAnsi="Times New Roman" w:cs="Times New Roman"/>
                <w:color w:val="000000"/>
                <w:sz w:val="16"/>
                <w:szCs w:val="16"/>
              </w:rPr>
              <w:t>]</w:t>
            </w:r>
          </w:p>
        </w:tc>
        <w:tc>
          <w:tcPr>
            <w:tcW w:w="1125" w:type="dxa"/>
            <w:tcBorders>
              <w:top w:val="single" w:sz="8" w:space="0" w:color="CCCCCC"/>
              <w:left w:val="nil"/>
              <w:bottom w:val="nil"/>
              <w:right w:val="nil"/>
            </w:tcBorders>
            <w:tcMar>
              <w:top w:w="40" w:type="dxa"/>
              <w:left w:w="40" w:type="dxa"/>
              <w:bottom w:w="40" w:type="dxa"/>
              <w:right w:w="40" w:type="dxa"/>
            </w:tcMar>
          </w:tcPr>
          <w:p w14:paraId="50B5D000"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Fully electric propulsion system employing one or more electric motors coupled with a single-speed reduction gearbox [</w:t>
            </w:r>
            <w:r>
              <w:rPr>
                <w:rFonts w:ascii="Times New Roman" w:eastAsia="Times New Roman" w:hAnsi="Times New Roman" w:cs="Times New Roman"/>
                <w:sz w:val="16"/>
                <w:szCs w:val="16"/>
              </w:rPr>
              <w:t>49</w:t>
            </w:r>
            <w:r>
              <w:rPr>
                <w:rFonts w:ascii="Times New Roman" w:eastAsia="Times New Roman" w:hAnsi="Times New Roman" w:cs="Times New Roman"/>
                <w:color w:val="000000"/>
                <w:sz w:val="16"/>
                <w:szCs w:val="16"/>
              </w:rPr>
              <w:t>]</w:t>
            </w:r>
          </w:p>
        </w:tc>
        <w:tc>
          <w:tcPr>
            <w:tcW w:w="1200" w:type="dxa"/>
            <w:tcBorders>
              <w:top w:val="single" w:sz="8" w:space="0" w:color="CCCCCC"/>
              <w:left w:val="nil"/>
              <w:bottom w:val="nil"/>
              <w:right w:val="nil"/>
            </w:tcBorders>
            <w:tcMar>
              <w:top w:w="40" w:type="dxa"/>
              <w:left w:w="40" w:type="dxa"/>
              <w:bottom w:w="40" w:type="dxa"/>
              <w:right w:w="40" w:type="dxa"/>
            </w:tcMar>
          </w:tcPr>
          <w:p w14:paraId="69F96C3C"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High-capacity lithium-ion battery pack (approximately 40–80 kWh) [</w:t>
            </w:r>
            <w:r>
              <w:rPr>
                <w:rFonts w:ascii="Times New Roman" w:eastAsia="Times New Roman" w:hAnsi="Times New Roman" w:cs="Times New Roman"/>
                <w:sz w:val="16"/>
                <w:szCs w:val="16"/>
              </w:rPr>
              <w:t>51</w:t>
            </w:r>
            <w:r>
              <w:rPr>
                <w:rFonts w:ascii="Times New Roman" w:eastAsia="Times New Roman" w:hAnsi="Times New Roman" w:cs="Times New Roman"/>
                <w:color w:val="000000"/>
                <w:sz w:val="16"/>
                <w:szCs w:val="16"/>
              </w:rPr>
              <w:t>]</w:t>
            </w:r>
          </w:p>
        </w:tc>
        <w:tc>
          <w:tcPr>
            <w:tcW w:w="1440" w:type="dxa"/>
            <w:tcBorders>
              <w:top w:val="single" w:sz="8" w:space="0" w:color="CCCCCC"/>
              <w:left w:val="nil"/>
              <w:bottom w:val="nil"/>
              <w:right w:val="nil"/>
            </w:tcBorders>
            <w:tcMar>
              <w:top w:w="40" w:type="dxa"/>
              <w:left w:w="40" w:type="dxa"/>
              <w:bottom w:w="40" w:type="dxa"/>
              <w:right w:w="40" w:type="dxa"/>
            </w:tcMar>
          </w:tcPr>
          <w:p w14:paraId="20BA2AA4"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Low architectural complexity due to absence of internal combustion engine (ICE) and multi-speed transmission [</w:t>
            </w:r>
            <w:r>
              <w:rPr>
                <w:rFonts w:ascii="Times New Roman" w:eastAsia="Times New Roman" w:hAnsi="Times New Roman" w:cs="Times New Roman"/>
                <w:sz w:val="16"/>
                <w:szCs w:val="16"/>
              </w:rPr>
              <w:t>51</w:t>
            </w:r>
            <w:r>
              <w:rPr>
                <w:rFonts w:ascii="Times New Roman" w:eastAsia="Times New Roman" w:hAnsi="Times New Roman" w:cs="Times New Roman"/>
                <w:color w:val="000000"/>
                <w:sz w:val="16"/>
                <w:szCs w:val="16"/>
              </w:rPr>
              <w:t>]</w:t>
            </w:r>
          </w:p>
        </w:tc>
        <w:tc>
          <w:tcPr>
            <w:tcW w:w="1380" w:type="dxa"/>
            <w:tcBorders>
              <w:top w:val="single" w:sz="8" w:space="0" w:color="CCCCCC"/>
              <w:left w:val="nil"/>
              <w:bottom w:val="nil"/>
              <w:right w:val="nil"/>
            </w:tcBorders>
            <w:tcMar>
              <w:top w:w="40" w:type="dxa"/>
              <w:left w:w="40" w:type="dxa"/>
              <w:bottom w:w="40" w:type="dxa"/>
              <w:right w:w="40" w:type="dxa"/>
            </w:tcMar>
          </w:tcPr>
          <w:p w14:paraId="21029E30"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External plug-in charging (AC Level 2 or DC fast charging infrastructure) [</w:t>
            </w:r>
            <w:r>
              <w:rPr>
                <w:rFonts w:ascii="Times New Roman" w:eastAsia="Times New Roman" w:hAnsi="Times New Roman" w:cs="Times New Roman"/>
                <w:sz w:val="16"/>
                <w:szCs w:val="16"/>
              </w:rPr>
              <w:t>51</w:t>
            </w:r>
            <w:r>
              <w:rPr>
                <w:rFonts w:ascii="Times New Roman" w:eastAsia="Times New Roman" w:hAnsi="Times New Roman" w:cs="Times New Roman"/>
                <w:color w:val="000000"/>
                <w:sz w:val="16"/>
                <w:szCs w:val="16"/>
              </w:rPr>
              <w:t>]</w:t>
            </w:r>
          </w:p>
        </w:tc>
        <w:tc>
          <w:tcPr>
            <w:tcW w:w="2010" w:type="dxa"/>
            <w:tcBorders>
              <w:top w:val="single" w:sz="8" w:space="0" w:color="CCCCCC"/>
              <w:left w:val="nil"/>
              <w:bottom w:val="nil"/>
            </w:tcBorders>
            <w:tcMar>
              <w:top w:w="40" w:type="dxa"/>
              <w:left w:w="0" w:type="dxa"/>
              <w:bottom w:w="40" w:type="dxa"/>
              <w:right w:w="0" w:type="dxa"/>
            </w:tcMar>
          </w:tcPr>
          <w:p w14:paraId="7C7B4B49"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Zero tailpipe emissions during vehicle operation [53]</w:t>
            </w:r>
          </w:p>
        </w:tc>
      </w:tr>
      <w:tr w:rsidR="006D0435" w14:paraId="109EC5A5" w14:textId="77777777">
        <w:trPr>
          <w:trHeight w:val="3432"/>
        </w:trPr>
        <w:tc>
          <w:tcPr>
            <w:tcW w:w="1125" w:type="dxa"/>
            <w:tcBorders>
              <w:top w:val="nil"/>
              <w:left w:val="nil"/>
              <w:bottom w:val="nil"/>
              <w:right w:val="nil"/>
            </w:tcBorders>
            <w:tcMar>
              <w:top w:w="40" w:type="dxa"/>
              <w:left w:w="40" w:type="dxa"/>
              <w:bottom w:w="40" w:type="dxa"/>
              <w:right w:w="40" w:type="dxa"/>
            </w:tcMar>
          </w:tcPr>
          <w:p w14:paraId="36E73221"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Hybrid Electric Vehicle (HEV)</w:t>
            </w:r>
          </w:p>
        </w:tc>
        <w:tc>
          <w:tcPr>
            <w:tcW w:w="1125" w:type="dxa"/>
            <w:tcBorders>
              <w:top w:val="nil"/>
              <w:left w:val="nil"/>
              <w:bottom w:val="nil"/>
              <w:right w:val="nil"/>
            </w:tcBorders>
            <w:tcMar>
              <w:top w:w="40" w:type="dxa"/>
              <w:left w:w="40" w:type="dxa"/>
              <w:bottom w:w="40" w:type="dxa"/>
              <w:right w:w="40" w:type="dxa"/>
            </w:tcMar>
          </w:tcPr>
          <w:p w14:paraId="5E7AF30E"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Conventional liquid fuel (gasoline/diesel) combined with a supplementary battery [</w:t>
            </w:r>
            <w:r>
              <w:rPr>
                <w:rFonts w:ascii="Times New Roman" w:eastAsia="Times New Roman" w:hAnsi="Times New Roman" w:cs="Times New Roman"/>
                <w:sz w:val="16"/>
                <w:szCs w:val="16"/>
              </w:rPr>
              <w:t>49</w:t>
            </w:r>
            <w:r>
              <w:rPr>
                <w:rFonts w:ascii="Times New Roman" w:eastAsia="Times New Roman" w:hAnsi="Times New Roman" w:cs="Times New Roman"/>
                <w:color w:val="000000"/>
                <w:sz w:val="16"/>
                <w:szCs w:val="16"/>
              </w:rPr>
              <w:t>]</w:t>
            </w:r>
          </w:p>
        </w:tc>
        <w:tc>
          <w:tcPr>
            <w:tcW w:w="1125" w:type="dxa"/>
            <w:tcBorders>
              <w:top w:val="nil"/>
              <w:left w:val="nil"/>
              <w:bottom w:val="nil"/>
              <w:right w:val="nil"/>
            </w:tcBorders>
            <w:tcMar>
              <w:top w:w="40" w:type="dxa"/>
              <w:left w:w="40" w:type="dxa"/>
              <w:bottom w:w="40" w:type="dxa"/>
              <w:right w:w="40" w:type="dxa"/>
            </w:tcMar>
          </w:tcPr>
          <w:p w14:paraId="2DCB3C79"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Chemical energy from fuel is converted by the ICE to mechanical power; electric motor provides propulsion assistance and regenerative energy recovery [</w:t>
            </w:r>
            <w:r>
              <w:rPr>
                <w:rFonts w:ascii="Times New Roman" w:eastAsia="Times New Roman" w:hAnsi="Times New Roman" w:cs="Times New Roman"/>
                <w:sz w:val="16"/>
                <w:szCs w:val="16"/>
              </w:rPr>
              <w:t>50</w:t>
            </w:r>
            <w:r>
              <w:rPr>
                <w:rFonts w:ascii="Times New Roman" w:eastAsia="Times New Roman" w:hAnsi="Times New Roman" w:cs="Times New Roman"/>
                <w:color w:val="000000"/>
                <w:sz w:val="16"/>
                <w:szCs w:val="16"/>
              </w:rPr>
              <w:t>]</w:t>
            </w:r>
          </w:p>
        </w:tc>
        <w:tc>
          <w:tcPr>
            <w:tcW w:w="1125" w:type="dxa"/>
            <w:tcBorders>
              <w:top w:val="nil"/>
              <w:left w:val="nil"/>
              <w:bottom w:val="nil"/>
              <w:right w:val="nil"/>
            </w:tcBorders>
            <w:tcMar>
              <w:top w:w="40" w:type="dxa"/>
              <w:left w:w="40" w:type="dxa"/>
              <w:bottom w:w="40" w:type="dxa"/>
              <w:right w:w="40" w:type="dxa"/>
            </w:tcMar>
          </w:tcPr>
          <w:p w14:paraId="68DBC65F"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Parallel or power-split hybrid configuration integrating mechanically coupled ICE and electric motor [</w:t>
            </w:r>
            <w:r>
              <w:rPr>
                <w:rFonts w:ascii="Times New Roman" w:eastAsia="Times New Roman" w:hAnsi="Times New Roman" w:cs="Times New Roman"/>
                <w:sz w:val="16"/>
                <w:szCs w:val="16"/>
              </w:rPr>
              <w:t>50</w:t>
            </w:r>
            <w:r>
              <w:rPr>
                <w:rFonts w:ascii="Times New Roman" w:eastAsia="Times New Roman" w:hAnsi="Times New Roman" w:cs="Times New Roman"/>
                <w:color w:val="000000"/>
                <w:sz w:val="16"/>
                <w:szCs w:val="16"/>
              </w:rPr>
              <w:t>]</w:t>
            </w:r>
          </w:p>
        </w:tc>
        <w:tc>
          <w:tcPr>
            <w:tcW w:w="1200" w:type="dxa"/>
            <w:tcBorders>
              <w:top w:val="nil"/>
              <w:left w:val="nil"/>
              <w:bottom w:val="nil"/>
              <w:right w:val="nil"/>
            </w:tcBorders>
            <w:tcMar>
              <w:top w:w="40" w:type="dxa"/>
              <w:left w:w="40" w:type="dxa"/>
              <w:bottom w:w="40" w:type="dxa"/>
              <w:right w:w="40" w:type="dxa"/>
            </w:tcMar>
          </w:tcPr>
          <w:p w14:paraId="5256113D"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Small-capacity battery pack (approximately 1–8 kWh) [</w:t>
            </w:r>
            <w:r>
              <w:rPr>
                <w:rFonts w:ascii="Times New Roman" w:eastAsia="Times New Roman" w:hAnsi="Times New Roman" w:cs="Times New Roman"/>
                <w:sz w:val="16"/>
                <w:szCs w:val="16"/>
              </w:rPr>
              <w:t>51</w:t>
            </w:r>
            <w:r>
              <w:rPr>
                <w:rFonts w:ascii="Times New Roman" w:eastAsia="Times New Roman" w:hAnsi="Times New Roman" w:cs="Times New Roman"/>
                <w:color w:val="000000"/>
                <w:sz w:val="16"/>
                <w:szCs w:val="16"/>
              </w:rPr>
              <w:t>]</w:t>
            </w:r>
          </w:p>
        </w:tc>
        <w:tc>
          <w:tcPr>
            <w:tcW w:w="1440" w:type="dxa"/>
            <w:tcBorders>
              <w:top w:val="nil"/>
              <w:left w:val="nil"/>
              <w:bottom w:val="nil"/>
              <w:right w:val="nil"/>
            </w:tcBorders>
            <w:tcMar>
              <w:top w:w="40" w:type="dxa"/>
              <w:left w:w="40" w:type="dxa"/>
              <w:bottom w:w="40" w:type="dxa"/>
              <w:right w:w="40" w:type="dxa"/>
            </w:tcMar>
          </w:tcPr>
          <w:p w14:paraId="4AE02C1F"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High system complexity due to integration of ICE, electric motor, transmission, and power electronics [</w:t>
            </w:r>
            <w:r>
              <w:rPr>
                <w:rFonts w:ascii="Times New Roman" w:eastAsia="Times New Roman" w:hAnsi="Times New Roman" w:cs="Times New Roman"/>
                <w:sz w:val="16"/>
                <w:szCs w:val="16"/>
              </w:rPr>
              <w:t>51</w:t>
            </w:r>
            <w:r>
              <w:rPr>
                <w:rFonts w:ascii="Times New Roman" w:eastAsia="Times New Roman" w:hAnsi="Times New Roman" w:cs="Times New Roman"/>
                <w:color w:val="000000"/>
                <w:sz w:val="16"/>
                <w:szCs w:val="16"/>
              </w:rPr>
              <w:t>]</w:t>
            </w:r>
          </w:p>
        </w:tc>
        <w:tc>
          <w:tcPr>
            <w:tcW w:w="1380" w:type="dxa"/>
            <w:tcBorders>
              <w:top w:val="nil"/>
              <w:left w:val="nil"/>
              <w:bottom w:val="nil"/>
              <w:right w:val="nil"/>
            </w:tcBorders>
            <w:tcMar>
              <w:top w:w="40" w:type="dxa"/>
              <w:left w:w="40" w:type="dxa"/>
              <w:bottom w:w="40" w:type="dxa"/>
              <w:right w:w="40" w:type="dxa"/>
            </w:tcMar>
          </w:tcPr>
          <w:p w14:paraId="15098EBC"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No external charging; battery recharged through regenerative braking and ICE-driven generation [</w:t>
            </w:r>
            <w:r>
              <w:rPr>
                <w:rFonts w:ascii="Times New Roman" w:eastAsia="Times New Roman" w:hAnsi="Times New Roman" w:cs="Times New Roman"/>
                <w:sz w:val="16"/>
                <w:szCs w:val="16"/>
              </w:rPr>
              <w:t>51</w:t>
            </w:r>
            <w:r>
              <w:rPr>
                <w:rFonts w:ascii="Times New Roman" w:eastAsia="Times New Roman" w:hAnsi="Times New Roman" w:cs="Times New Roman"/>
                <w:color w:val="000000"/>
                <w:sz w:val="16"/>
                <w:szCs w:val="16"/>
              </w:rPr>
              <w:t>]</w:t>
            </w:r>
          </w:p>
        </w:tc>
        <w:tc>
          <w:tcPr>
            <w:tcW w:w="2010" w:type="dxa"/>
            <w:tcBorders>
              <w:top w:val="nil"/>
              <w:left w:val="nil"/>
              <w:bottom w:val="nil"/>
            </w:tcBorders>
            <w:tcMar>
              <w:top w:w="40" w:type="dxa"/>
              <w:left w:w="0" w:type="dxa"/>
              <w:bottom w:w="40" w:type="dxa"/>
              <w:right w:w="0" w:type="dxa"/>
            </w:tcMar>
          </w:tcPr>
          <w:p w14:paraId="2AB5843C"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Tailpipe CO₂ emissions present, though generally lower than conventional ICE vehicles [53]</w:t>
            </w:r>
          </w:p>
        </w:tc>
      </w:tr>
      <w:tr w:rsidR="006D0435" w14:paraId="2521A53C" w14:textId="77777777">
        <w:trPr>
          <w:trHeight w:val="2499"/>
        </w:trPr>
        <w:tc>
          <w:tcPr>
            <w:tcW w:w="1125" w:type="dxa"/>
            <w:tcBorders>
              <w:top w:val="nil"/>
              <w:left w:val="nil"/>
              <w:bottom w:val="nil"/>
              <w:right w:val="nil"/>
            </w:tcBorders>
            <w:tcMar>
              <w:top w:w="40" w:type="dxa"/>
              <w:left w:w="40" w:type="dxa"/>
              <w:bottom w:w="40" w:type="dxa"/>
              <w:right w:w="40" w:type="dxa"/>
            </w:tcMar>
          </w:tcPr>
          <w:p w14:paraId="3611083C"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Plug-in Hybrid Electric Vehicle (PHEV)</w:t>
            </w:r>
          </w:p>
        </w:tc>
        <w:tc>
          <w:tcPr>
            <w:tcW w:w="1125" w:type="dxa"/>
            <w:tcBorders>
              <w:top w:val="nil"/>
              <w:left w:val="nil"/>
              <w:bottom w:val="nil"/>
              <w:right w:val="nil"/>
            </w:tcBorders>
            <w:tcMar>
              <w:top w:w="40" w:type="dxa"/>
              <w:left w:w="40" w:type="dxa"/>
              <w:bottom w:w="40" w:type="dxa"/>
              <w:right w:w="40" w:type="dxa"/>
            </w:tcMar>
          </w:tcPr>
          <w:p w14:paraId="4675AF9A"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Combination of gasoline and grid electricity [</w:t>
            </w:r>
            <w:r>
              <w:rPr>
                <w:rFonts w:ascii="Times New Roman" w:eastAsia="Times New Roman" w:hAnsi="Times New Roman" w:cs="Times New Roman"/>
                <w:sz w:val="16"/>
                <w:szCs w:val="16"/>
              </w:rPr>
              <w:t>50</w:t>
            </w:r>
            <w:r>
              <w:rPr>
                <w:rFonts w:ascii="Times New Roman" w:eastAsia="Times New Roman" w:hAnsi="Times New Roman" w:cs="Times New Roman"/>
                <w:color w:val="000000"/>
                <w:sz w:val="16"/>
                <w:szCs w:val="16"/>
              </w:rPr>
              <w:t>]</w:t>
            </w:r>
          </w:p>
        </w:tc>
        <w:tc>
          <w:tcPr>
            <w:tcW w:w="1125" w:type="dxa"/>
            <w:tcBorders>
              <w:top w:val="nil"/>
              <w:left w:val="nil"/>
              <w:bottom w:val="nil"/>
              <w:right w:val="nil"/>
            </w:tcBorders>
            <w:tcMar>
              <w:top w:w="40" w:type="dxa"/>
              <w:left w:w="40" w:type="dxa"/>
              <w:bottom w:w="40" w:type="dxa"/>
              <w:right w:w="40" w:type="dxa"/>
            </w:tcMar>
          </w:tcPr>
          <w:p w14:paraId="2BDE7D90"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Operates in charge-depleting (electric-only) mode using battery energy; transitions to hybrid mode where ICE supplements propulsion [</w:t>
            </w:r>
            <w:r>
              <w:rPr>
                <w:rFonts w:ascii="Times New Roman" w:eastAsia="Times New Roman" w:hAnsi="Times New Roman" w:cs="Times New Roman"/>
                <w:sz w:val="16"/>
                <w:szCs w:val="16"/>
              </w:rPr>
              <w:t>50</w:t>
            </w:r>
            <w:r>
              <w:rPr>
                <w:rFonts w:ascii="Times New Roman" w:eastAsia="Times New Roman" w:hAnsi="Times New Roman" w:cs="Times New Roman"/>
                <w:color w:val="000000"/>
                <w:sz w:val="16"/>
                <w:szCs w:val="16"/>
              </w:rPr>
              <w:t>]</w:t>
            </w:r>
          </w:p>
        </w:tc>
        <w:tc>
          <w:tcPr>
            <w:tcW w:w="1125" w:type="dxa"/>
            <w:tcBorders>
              <w:top w:val="nil"/>
              <w:left w:val="nil"/>
              <w:bottom w:val="nil"/>
              <w:right w:val="nil"/>
            </w:tcBorders>
            <w:tcMar>
              <w:top w:w="40" w:type="dxa"/>
              <w:left w:w="40" w:type="dxa"/>
              <w:bottom w:w="40" w:type="dxa"/>
              <w:right w:w="40" w:type="dxa"/>
            </w:tcMar>
          </w:tcPr>
          <w:p w14:paraId="1183D641"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Hybrid drivetrain (parallel or power-split) with dedicated EV-only capability [</w:t>
            </w:r>
            <w:r>
              <w:rPr>
                <w:rFonts w:ascii="Times New Roman" w:eastAsia="Times New Roman" w:hAnsi="Times New Roman" w:cs="Times New Roman"/>
                <w:sz w:val="16"/>
                <w:szCs w:val="16"/>
              </w:rPr>
              <w:t>50</w:t>
            </w:r>
            <w:r>
              <w:rPr>
                <w:rFonts w:ascii="Times New Roman" w:eastAsia="Times New Roman" w:hAnsi="Times New Roman" w:cs="Times New Roman"/>
                <w:color w:val="000000"/>
                <w:sz w:val="16"/>
                <w:szCs w:val="16"/>
              </w:rPr>
              <w:t>]</w:t>
            </w:r>
          </w:p>
        </w:tc>
        <w:tc>
          <w:tcPr>
            <w:tcW w:w="1200" w:type="dxa"/>
            <w:tcBorders>
              <w:top w:val="nil"/>
              <w:left w:val="nil"/>
              <w:bottom w:val="nil"/>
              <w:right w:val="nil"/>
            </w:tcBorders>
            <w:tcMar>
              <w:top w:w="40" w:type="dxa"/>
              <w:left w:w="40" w:type="dxa"/>
              <w:bottom w:w="40" w:type="dxa"/>
              <w:right w:w="40" w:type="dxa"/>
            </w:tcMar>
          </w:tcPr>
          <w:p w14:paraId="09BF4665"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Medium-capacity battery pack (approximately 10–15 kWh) in addition to fuel tank [</w:t>
            </w:r>
            <w:r>
              <w:rPr>
                <w:rFonts w:ascii="Times New Roman" w:eastAsia="Times New Roman" w:hAnsi="Times New Roman" w:cs="Times New Roman"/>
                <w:sz w:val="16"/>
                <w:szCs w:val="16"/>
              </w:rPr>
              <w:t>51</w:t>
            </w:r>
            <w:r>
              <w:rPr>
                <w:rFonts w:ascii="Times New Roman" w:eastAsia="Times New Roman" w:hAnsi="Times New Roman" w:cs="Times New Roman"/>
                <w:color w:val="000000"/>
                <w:sz w:val="16"/>
                <w:szCs w:val="16"/>
              </w:rPr>
              <w:t>]</w:t>
            </w:r>
          </w:p>
        </w:tc>
        <w:tc>
          <w:tcPr>
            <w:tcW w:w="1440" w:type="dxa"/>
            <w:tcBorders>
              <w:top w:val="nil"/>
              <w:left w:val="nil"/>
              <w:bottom w:val="nil"/>
              <w:right w:val="nil"/>
            </w:tcBorders>
            <w:tcMar>
              <w:top w:w="40" w:type="dxa"/>
              <w:left w:w="40" w:type="dxa"/>
              <w:bottom w:w="40" w:type="dxa"/>
              <w:right w:w="40" w:type="dxa"/>
            </w:tcMar>
          </w:tcPr>
          <w:p w14:paraId="09FC4ED0"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Very high complexity owing to dual propulsion systems and onboard charging components [</w:t>
            </w:r>
            <w:r>
              <w:rPr>
                <w:rFonts w:ascii="Times New Roman" w:eastAsia="Times New Roman" w:hAnsi="Times New Roman" w:cs="Times New Roman"/>
                <w:sz w:val="16"/>
                <w:szCs w:val="16"/>
              </w:rPr>
              <w:t>51</w:t>
            </w:r>
            <w:r>
              <w:rPr>
                <w:rFonts w:ascii="Times New Roman" w:eastAsia="Times New Roman" w:hAnsi="Times New Roman" w:cs="Times New Roman"/>
                <w:color w:val="000000"/>
                <w:sz w:val="16"/>
                <w:szCs w:val="16"/>
              </w:rPr>
              <w:t>]</w:t>
            </w:r>
          </w:p>
        </w:tc>
        <w:tc>
          <w:tcPr>
            <w:tcW w:w="1380" w:type="dxa"/>
            <w:tcBorders>
              <w:top w:val="nil"/>
              <w:left w:val="nil"/>
              <w:bottom w:val="nil"/>
              <w:right w:val="nil"/>
            </w:tcBorders>
            <w:tcMar>
              <w:top w:w="40" w:type="dxa"/>
              <w:left w:w="40" w:type="dxa"/>
              <w:bottom w:w="40" w:type="dxa"/>
              <w:right w:w="40" w:type="dxa"/>
            </w:tcMar>
          </w:tcPr>
          <w:p w14:paraId="2F6824EE"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External plug-in charging capability (typically AC) in addition to conventional fuel refueling [</w:t>
            </w:r>
            <w:r>
              <w:rPr>
                <w:rFonts w:ascii="Times New Roman" w:eastAsia="Times New Roman" w:hAnsi="Times New Roman" w:cs="Times New Roman"/>
                <w:sz w:val="16"/>
                <w:szCs w:val="16"/>
              </w:rPr>
              <w:t>51</w:t>
            </w:r>
            <w:r>
              <w:rPr>
                <w:rFonts w:ascii="Times New Roman" w:eastAsia="Times New Roman" w:hAnsi="Times New Roman" w:cs="Times New Roman"/>
                <w:color w:val="000000"/>
                <w:sz w:val="16"/>
                <w:szCs w:val="16"/>
              </w:rPr>
              <w:t>]</w:t>
            </w:r>
          </w:p>
        </w:tc>
        <w:tc>
          <w:tcPr>
            <w:tcW w:w="2010" w:type="dxa"/>
            <w:tcBorders>
              <w:top w:val="nil"/>
              <w:left w:val="nil"/>
              <w:bottom w:val="nil"/>
            </w:tcBorders>
            <w:tcMar>
              <w:top w:w="40" w:type="dxa"/>
              <w:left w:w="0" w:type="dxa"/>
              <w:bottom w:w="40" w:type="dxa"/>
              <w:right w:w="0" w:type="dxa"/>
            </w:tcMar>
          </w:tcPr>
          <w:p w14:paraId="495D8E1C"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Zero tailpipe emissions in electric-only mode; CO₂ emissions generated during ICE operation [53]</w:t>
            </w:r>
          </w:p>
        </w:tc>
      </w:tr>
      <w:tr w:rsidR="006D0435" w14:paraId="71089095" w14:textId="77777777">
        <w:trPr>
          <w:trHeight w:val="3360"/>
        </w:trPr>
        <w:tc>
          <w:tcPr>
            <w:tcW w:w="1125" w:type="dxa"/>
            <w:tcBorders>
              <w:top w:val="nil"/>
              <w:left w:val="nil"/>
              <w:bottom w:val="single" w:sz="8" w:space="0" w:color="CCCCCC"/>
              <w:right w:val="nil"/>
            </w:tcBorders>
            <w:tcMar>
              <w:top w:w="40" w:type="dxa"/>
              <w:left w:w="40" w:type="dxa"/>
              <w:bottom w:w="40" w:type="dxa"/>
              <w:right w:w="40" w:type="dxa"/>
            </w:tcMar>
          </w:tcPr>
          <w:p w14:paraId="16CCB934"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lastRenderedPageBreak/>
              <w:t>Fuel Cell Electric Vehicle (FCEV)</w:t>
            </w:r>
          </w:p>
        </w:tc>
        <w:tc>
          <w:tcPr>
            <w:tcW w:w="1125" w:type="dxa"/>
            <w:tcBorders>
              <w:top w:val="nil"/>
              <w:left w:val="nil"/>
              <w:bottom w:val="single" w:sz="8" w:space="0" w:color="CCCCCC"/>
              <w:right w:val="nil"/>
            </w:tcBorders>
            <w:tcMar>
              <w:top w:w="40" w:type="dxa"/>
              <w:left w:w="40" w:type="dxa"/>
              <w:bottom w:w="40" w:type="dxa"/>
              <w:right w:w="40" w:type="dxa"/>
            </w:tcMar>
          </w:tcPr>
          <w:p w14:paraId="46E9C187"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Compressed hydrogen gas (H₂) [</w:t>
            </w:r>
            <w:r>
              <w:rPr>
                <w:rFonts w:ascii="Times New Roman" w:eastAsia="Times New Roman" w:hAnsi="Times New Roman" w:cs="Times New Roman"/>
                <w:sz w:val="16"/>
                <w:szCs w:val="16"/>
              </w:rPr>
              <w:t>52</w:t>
            </w:r>
            <w:r>
              <w:rPr>
                <w:rFonts w:ascii="Times New Roman" w:eastAsia="Times New Roman" w:hAnsi="Times New Roman" w:cs="Times New Roman"/>
                <w:color w:val="000000"/>
                <w:sz w:val="16"/>
                <w:szCs w:val="16"/>
              </w:rPr>
              <w:t>]</w:t>
            </w:r>
          </w:p>
        </w:tc>
        <w:tc>
          <w:tcPr>
            <w:tcW w:w="1125" w:type="dxa"/>
            <w:tcBorders>
              <w:top w:val="nil"/>
              <w:left w:val="nil"/>
              <w:bottom w:val="single" w:sz="8" w:space="0" w:color="CCCCCC"/>
              <w:right w:val="nil"/>
            </w:tcBorders>
            <w:tcMar>
              <w:top w:w="40" w:type="dxa"/>
              <w:left w:w="40" w:type="dxa"/>
              <w:bottom w:w="40" w:type="dxa"/>
              <w:right w:w="40" w:type="dxa"/>
            </w:tcMar>
          </w:tcPr>
          <w:p w14:paraId="10B23662"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Hydrogen undergoes electrochemical conversion in a fuel cell stack to produce electricity, which is supplied via inverter to the electric motor [</w:t>
            </w:r>
            <w:r>
              <w:rPr>
                <w:rFonts w:ascii="Times New Roman" w:eastAsia="Times New Roman" w:hAnsi="Times New Roman" w:cs="Times New Roman"/>
                <w:sz w:val="16"/>
                <w:szCs w:val="16"/>
              </w:rPr>
              <w:t>52</w:t>
            </w:r>
            <w:r>
              <w:rPr>
                <w:rFonts w:ascii="Times New Roman" w:eastAsia="Times New Roman" w:hAnsi="Times New Roman" w:cs="Times New Roman"/>
                <w:color w:val="000000"/>
                <w:sz w:val="16"/>
                <w:szCs w:val="16"/>
              </w:rPr>
              <w:t>]</w:t>
            </w:r>
          </w:p>
        </w:tc>
        <w:tc>
          <w:tcPr>
            <w:tcW w:w="1125" w:type="dxa"/>
            <w:tcBorders>
              <w:top w:val="nil"/>
              <w:left w:val="nil"/>
              <w:bottom w:val="single" w:sz="8" w:space="0" w:color="CCCCCC"/>
              <w:right w:val="nil"/>
            </w:tcBorders>
            <w:tcMar>
              <w:top w:w="40" w:type="dxa"/>
              <w:left w:w="40" w:type="dxa"/>
              <w:bottom w:w="40" w:type="dxa"/>
              <w:right w:w="40" w:type="dxa"/>
            </w:tcMar>
          </w:tcPr>
          <w:p w14:paraId="1FDCF504"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Electric propulsion system comparable to BEV, supplemented by fuel cell stack and hydrogen storage system [4]</w:t>
            </w:r>
          </w:p>
        </w:tc>
        <w:tc>
          <w:tcPr>
            <w:tcW w:w="1200" w:type="dxa"/>
            <w:tcBorders>
              <w:top w:val="nil"/>
              <w:left w:val="nil"/>
              <w:bottom w:val="single" w:sz="8" w:space="0" w:color="CCCCCC"/>
              <w:right w:val="nil"/>
            </w:tcBorders>
            <w:tcMar>
              <w:top w:w="40" w:type="dxa"/>
              <w:left w:w="40" w:type="dxa"/>
              <w:bottom w:w="40" w:type="dxa"/>
              <w:right w:w="40" w:type="dxa"/>
            </w:tcMar>
          </w:tcPr>
          <w:p w14:paraId="7AB062C1"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High-pressure hydrogen storage tank (~700 bar) with auxiliary buffer battery [</w:t>
            </w:r>
            <w:r>
              <w:rPr>
                <w:rFonts w:ascii="Times New Roman" w:eastAsia="Times New Roman" w:hAnsi="Times New Roman" w:cs="Times New Roman"/>
                <w:sz w:val="16"/>
                <w:szCs w:val="16"/>
              </w:rPr>
              <w:t>52</w:t>
            </w:r>
            <w:r>
              <w:rPr>
                <w:rFonts w:ascii="Times New Roman" w:eastAsia="Times New Roman" w:hAnsi="Times New Roman" w:cs="Times New Roman"/>
                <w:color w:val="000000"/>
                <w:sz w:val="16"/>
                <w:szCs w:val="16"/>
              </w:rPr>
              <w:t>]</w:t>
            </w:r>
          </w:p>
        </w:tc>
        <w:tc>
          <w:tcPr>
            <w:tcW w:w="1440" w:type="dxa"/>
            <w:tcBorders>
              <w:top w:val="nil"/>
              <w:left w:val="nil"/>
              <w:bottom w:val="single" w:sz="8" w:space="0" w:color="CCCCCC"/>
              <w:right w:val="nil"/>
            </w:tcBorders>
            <w:tcMar>
              <w:top w:w="40" w:type="dxa"/>
              <w:left w:w="40" w:type="dxa"/>
              <w:bottom w:w="40" w:type="dxa"/>
              <w:right w:w="40" w:type="dxa"/>
            </w:tcMar>
          </w:tcPr>
          <w:p w14:paraId="5BC9912E"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Moderately high complexity due to integration of fuel cell system, hydrogen storage, and electric drivetrain [</w:t>
            </w:r>
            <w:r>
              <w:rPr>
                <w:rFonts w:ascii="Times New Roman" w:eastAsia="Times New Roman" w:hAnsi="Times New Roman" w:cs="Times New Roman"/>
                <w:sz w:val="16"/>
                <w:szCs w:val="16"/>
              </w:rPr>
              <w:t>52</w:t>
            </w:r>
            <w:r>
              <w:rPr>
                <w:rFonts w:ascii="Times New Roman" w:eastAsia="Times New Roman" w:hAnsi="Times New Roman" w:cs="Times New Roman"/>
                <w:color w:val="000000"/>
                <w:sz w:val="16"/>
                <w:szCs w:val="16"/>
              </w:rPr>
              <w:t>]</w:t>
            </w:r>
          </w:p>
        </w:tc>
        <w:tc>
          <w:tcPr>
            <w:tcW w:w="1380" w:type="dxa"/>
            <w:tcBorders>
              <w:top w:val="nil"/>
              <w:left w:val="nil"/>
              <w:bottom w:val="single" w:sz="8" w:space="0" w:color="CCCCCC"/>
              <w:right w:val="nil"/>
            </w:tcBorders>
            <w:tcMar>
              <w:top w:w="40" w:type="dxa"/>
              <w:left w:w="40" w:type="dxa"/>
              <w:bottom w:w="40" w:type="dxa"/>
              <w:right w:w="40" w:type="dxa"/>
            </w:tcMar>
          </w:tcPr>
          <w:p w14:paraId="5ED37058"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Hydrogen refueling at dedicated stations; refueling time approximately 3–5 minutes [</w:t>
            </w:r>
            <w:r>
              <w:rPr>
                <w:rFonts w:ascii="Times New Roman" w:eastAsia="Times New Roman" w:hAnsi="Times New Roman" w:cs="Times New Roman"/>
                <w:sz w:val="16"/>
                <w:szCs w:val="16"/>
              </w:rPr>
              <w:t>52</w:t>
            </w:r>
            <w:r>
              <w:rPr>
                <w:rFonts w:ascii="Times New Roman" w:eastAsia="Times New Roman" w:hAnsi="Times New Roman" w:cs="Times New Roman"/>
                <w:color w:val="000000"/>
                <w:sz w:val="16"/>
                <w:szCs w:val="16"/>
              </w:rPr>
              <w:t>]</w:t>
            </w:r>
          </w:p>
        </w:tc>
        <w:tc>
          <w:tcPr>
            <w:tcW w:w="2010" w:type="dxa"/>
            <w:tcBorders>
              <w:top w:val="nil"/>
              <w:left w:val="nil"/>
              <w:bottom w:val="single" w:sz="8" w:space="0" w:color="CCCCCC"/>
            </w:tcBorders>
            <w:tcMar>
              <w:top w:w="40" w:type="dxa"/>
              <w:left w:w="0" w:type="dxa"/>
              <w:bottom w:w="40" w:type="dxa"/>
              <w:right w:w="0" w:type="dxa"/>
            </w:tcMar>
          </w:tcPr>
          <w:p w14:paraId="7089C99D" w14:textId="77777777" w:rsidR="006D0435" w:rsidRDefault="00000000">
            <w:pPr>
              <w:widowControl w:val="0"/>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Zero harmful tailpipe emissions; water vapor is the only byproduct [</w:t>
            </w:r>
            <w:r>
              <w:rPr>
                <w:rFonts w:ascii="Times New Roman" w:eastAsia="Times New Roman" w:hAnsi="Times New Roman" w:cs="Times New Roman"/>
                <w:sz w:val="16"/>
                <w:szCs w:val="16"/>
              </w:rPr>
              <w:t>52</w:t>
            </w:r>
            <w:r>
              <w:rPr>
                <w:rFonts w:ascii="Times New Roman" w:eastAsia="Times New Roman" w:hAnsi="Times New Roman" w:cs="Times New Roman"/>
                <w:color w:val="000000"/>
                <w:sz w:val="16"/>
                <w:szCs w:val="16"/>
              </w:rPr>
              <w:t>]</w:t>
            </w:r>
          </w:p>
        </w:tc>
      </w:tr>
    </w:tbl>
    <w:p w14:paraId="709F8A67" w14:textId="77777777" w:rsidR="006D0435" w:rsidRDefault="006D0435">
      <w:pPr>
        <w:shd w:val="clear" w:color="auto" w:fill="FFFFFF"/>
        <w:spacing w:line="360" w:lineRule="auto"/>
        <w:rPr>
          <w:rFonts w:ascii="Times New Roman" w:eastAsia="Times New Roman" w:hAnsi="Times New Roman" w:cs="Times New Roman"/>
          <w:color w:val="000000"/>
          <w:sz w:val="24"/>
          <w:szCs w:val="24"/>
        </w:rPr>
      </w:pPr>
    </w:p>
    <w:p w14:paraId="338D8F60" w14:textId="77777777" w:rsidR="006D0435" w:rsidRDefault="00000000">
      <w:pPr>
        <w:shd w:val="clear" w:color="auto" w:fill="FFFFFF"/>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14300" distB="114300" distL="114300" distR="114300" wp14:anchorId="57AC8A1D" wp14:editId="113B6529">
            <wp:extent cx="5731200" cy="1968500"/>
            <wp:effectExtent l="0" t="0" r="0" b="0"/>
            <wp:docPr id="1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9"/>
                    <a:srcRect/>
                    <a:stretch>
                      <a:fillRect/>
                    </a:stretch>
                  </pic:blipFill>
                  <pic:spPr>
                    <a:xfrm>
                      <a:off x="0" y="0"/>
                      <a:ext cx="5731200" cy="1968500"/>
                    </a:xfrm>
                    <a:prstGeom prst="rect">
                      <a:avLst/>
                    </a:prstGeom>
                    <a:ln/>
                  </pic:spPr>
                </pic:pic>
              </a:graphicData>
            </a:graphic>
          </wp:inline>
        </w:drawing>
      </w:r>
      <w:r>
        <w:rPr>
          <w:rFonts w:ascii="Times New Roman" w:eastAsia="Times New Roman" w:hAnsi="Times New Roman" w:cs="Times New Roman"/>
          <w:color w:val="000000"/>
          <w:sz w:val="24"/>
          <w:szCs w:val="24"/>
        </w:rPr>
        <w:br/>
        <w:t xml:space="preserve">Fig. 1: HEV configurations are classified into series, parallel, power-split, and multi-mode. </w:t>
      </w:r>
    </w:p>
    <w:p w14:paraId="58C21663" w14:textId="77777777" w:rsidR="006D0435" w:rsidRDefault="00000000">
      <w:pPr>
        <w:shd w:val="clear" w:color="auto" w:fill="FFFFFF"/>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Powertrain Architectures </w:t>
      </w:r>
    </w:p>
    <w:p w14:paraId="28E1BCDE"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four main powertrain configurations used by hybrid electric vehicles are </w:t>
      </w:r>
      <w:r>
        <w:rPr>
          <w:rFonts w:ascii="Times New Roman" w:eastAsia="Times New Roman" w:hAnsi="Times New Roman" w:cs="Times New Roman"/>
          <w:b/>
          <w:bCs/>
          <w:color w:val="000000"/>
          <w:sz w:val="24"/>
          <w:szCs w:val="24"/>
        </w:rPr>
        <w:t xml:space="preserve">power-split, series, parallel, </w:t>
      </w:r>
      <w:r>
        <w:rPr>
          <w:rFonts w:ascii="Times New Roman" w:eastAsia="Times New Roman" w:hAnsi="Times New Roman" w:cs="Times New Roman"/>
          <w:color w:val="000000"/>
          <w:sz w:val="24"/>
          <w:szCs w:val="24"/>
        </w:rPr>
        <w:t xml:space="preserve">and </w:t>
      </w:r>
      <w:r>
        <w:rPr>
          <w:rFonts w:ascii="Times New Roman" w:eastAsia="Times New Roman" w:hAnsi="Times New Roman" w:cs="Times New Roman"/>
          <w:b/>
          <w:bCs/>
          <w:color w:val="000000"/>
          <w:sz w:val="24"/>
          <w:szCs w:val="24"/>
        </w:rPr>
        <w:t>multi-mode</w:t>
      </w:r>
      <w:r>
        <w:rPr>
          <w:rFonts w:ascii="Times New Roman" w:eastAsia="Times New Roman" w:hAnsi="Times New Roman" w:cs="Times New Roman"/>
          <w:color w:val="000000"/>
          <w:sz w:val="24"/>
          <w:szCs w:val="24"/>
        </w:rPr>
        <w:t xml:space="preserve">. Each of these architectures offers unique performance and efficiency characteristics, and they vary in how they mechanically couple the engine and electric motor. Power-split systems use planetary gears to continuously blend power, parallel designs enable both power sources to drive the wheels, and series configurations use the engine only as a generator. The most sophisticated option is multi-mode hybrid powertrains, which incorporate several operating modes that alternate between power-split, parallel, and series configurations on demand. Because of their adaptability, multi-mode systems can take advantage of the advantages of all three traditional architectures, maximizing drivability and fuel efficiency while optimizing performance under a range of driving circumstances. </w:t>
      </w:r>
    </w:p>
    <w:p w14:paraId="77174F83"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 Parallel hybrid powertrain</w:t>
      </w:r>
      <w:r>
        <w:rPr>
          <w:rFonts w:ascii="Times New Roman" w:eastAsia="Times New Roman" w:hAnsi="Times New Roman" w:cs="Times New Roman"/>
          <w:color w:val="000000"/>
          <w:sz w:val="24"/>
          <w:szCs w:val="24"/>
        </w:rPr>
        <w:t xml:space="preserve"> </w:t>
      </w:r>
    </w:p>
    <w:p w14:paraId="54523DA3"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1.1. Operation mechanism</w:t>
      </w:r>
      <w:r>
        <w:rPr>
          <w:rFonts w:ascii="Times New Roman" w:eastAsia="Times New Roman" w:hAnsi="Times New Roman" w:cs="Times New Roman"/>
          <w:color w:val="000000"/>
          <w:sz w:val="24"/>
          <w:szCs w:val="24"/>
        </w:rPr>
        <w:t xml:space="preserve">  </w:t>
      </w:r>
    </w:p>
    <w:p w14:paraId="72138987" w14:textId="77777777" w:rsidR="006D0435" w:rsidRDefault="00000000">
      <w:pPr>
        <w:shd w:val="clear" w:color="auto" w:fill="FFFFFF"/>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114300" distB="114300" distL="114300" distR="114300" wp14:anchorId="2EA49B94" wp14:editId="7BF153C1">
            <wp:extent cx="5734050" cy="1832409"/>
            <wp:effectExtent l="0" t="0" r="0" b="0"/>
            <wp:docPr id="18" name="image12.png" descr="Wheels &#10;Engine &#10;Mechanical &#10;Mechanical &#10;Computing &#10;Transmission &#10;Battery &#10;Inverter &#10;Motor &#10;Wheels "/>
            <wp:cNvGraphicFramePr/>
            <a:graphic xmlns:a="http://schemas.openxmlformats.org/drawingml/2006/main">
              <a:graphicData uri="http://schemas.openxmlformats.org/drawingml/2006/picture">
                <pic:pic xmlns:pic="http://schemas.openxmlformats.org/drawingml/2006/picture">
                  <pic:nvPicPr>
                    <pic:cNvPr id="0" name="image12.png" descr="Wheels &#10;Engine &#10;Mechanical &#10;Mechanical &#10;Computing &#10;Transmission &#10;Battery &#10;Inverter &#10;Motor &#10;Wheels "/>
                    <pic:cNvPicPr preferRelativeResize="0"/>
                  </pic:nvPicPr>
                  <pic:blipFill>
                    <a:blip r:embed="rId70"/>
                    <a:srcRect t="7953"/>
                    <a:stretch>
                      <a:fillRect/>
                    </a:stretch>
                  </pic:blipFill>
                  <pic:spPr>
                    <a:xfrm>
                      <a:off x="0" y="0"/>
                      <a:ext cx="5734050" cy="1832409"/>
                    </a:xfrm>
                    <a:prstGeom prst="rect">
                      <a:avLst/>
                    </a:prstGeom>
                    <a:ln/>
                  </pic:spPr>
                </pic:pic>
              </a:graphicData>
            </a:graphic>
          </wp:inline>
        </w:drawing>
      </w:r>
    </w:p>
    <w:p w14:paraId="728FEEC9" w14:textId="77777777" w:rsidR="006D0435" w:rsidRDefault="00000000">
      <w:pPr>
        <w:shd w:val="clear" w:color="auto" w:fill="FFFFFF"/>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Fig. 2. Schematic of Parallel Hybrid Powertrain </w:t>
      </w:r>
    </w:p>
    <w:p w14:paraId="16C880D8" w14:textId="77777777" w:rsidR="006D0435" w:rsidRDefault="00000000">
      <w:pPr>
        <w:shd w:val="clear" w:color="auto" w:fill="FFFFFF"/>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14300" distB="114300" distL="114300" distR="114300" wp14:anchorId="74270EE4" wp14:editId="197343BB">
            <wp:extent cx="5734050" cy="1818990"/>
            <wp:effectExtent l="0" t="0" r="0" b="0"/>
            <wp:docPr id="2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1"/>
                    <a:srcRect t="4035"/>
                    <a:stretch>
                      <a:fillRect/>
                    </a:stretch>
                  </pic:blipFill>
                  <pic:spPr>
                    <a:xfrm>
                      <a:off x="0" y="0"/>
                      <a:ext cx="5734050" cy="1818990"/>
                    </a:xfrm>
                    <a:prstGeom prst="rect">
                      <a:avLst/>
                    </a:prstGeom>
                    <a:ln/>
                  </pic:spPr>
                </pic:pic>
              </a:graphicData>
            </a:graphic>
          </wp:inline>
        </w:drawing>
      </w:r>
    </w:p>
    <w:p w14:paraId="2503A0A2" w14:textId="77777777" w:rsidR="006D0435" w:rsidRDefault="00000000">
      <w:pPr>
        <w:shd w:val="clear" w:color="auto" w:fill="FFFFFF"/>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 3. Configuration of subtypes P0 to P4 in parallel HEVs</w:t>
      </w:r>
    </w:p>
    <w:p w14:paraId="1736293E" w14:textId="77777777" w:rsidR="006D0435" w:rsidRDefault="00000000">
      <w:pPr>
        <w:shd w:val="clear" w:color="auto" w:fill="FFFFFF"/>
        <w:spacing w:line="360" w:lineRule="auto"/>
        <w:rPr>
          <w:rFonts w:ascii="Times New Roman" w:eastAsia="Times New Roman" w:hAnsi="Times New Roman" w:cs="Times New Roman"/>
          <w:color w:val="000000"/>
          <w:sz w:val="24"/>
          <w:szCs w:val="24"/>
          <w:highlight w:val="green"/>
        </w:rPr>
      </w:pPr>
      <w:r>
        <w:rPr>
          <w:rFonts w:ascii="Times New Roman" w:eastAsia="Times New Roman" w:hAnsi="Times New Roman" w:cs="Times New Roman"/>
          <w:color w:val="000000"/>
          <w:sz w:val="24"/>
          <w:szCs w:val="24"/>
        </w:rPr>
        <w:t>In parallel HEVs, the output shaft is mechanically connected to both the ICE and MG, as illustrated in Fig. 2.</w:t>
      </w:r>
      <w:r>
        <w:rPr>
          <w:rFonts w:ascii="Times New Roman" w:eastAsia="Times New Roman" w:hAnsi="Times New Roman" w:cs="Times New Roman"/>
          <w:color w:val="000000"/>
          <w:sz w:val="24"/>
          <w:szCs w:val="24"/>
          <w:highlight w:val="white"/>
        </w:rPr>
        <w:t xml:space="preserve"> ICE can drive the wheels mechanically or assist the motor electrically, giving a direct high-efficiency path when ICE alone is used. </w:t>
      </w:r>
      <w:hyperlink r:id="rId72">
        <w:r>
          <w:rPr>
            <w:rFonts w:ascii="Times New Roman" w:eastAsia="Times New Roman" w:hAnsi="Times New Roman" w:cs="Times New Roman"/>
            <w:color w:val="000000"/>
            <w:sz w:val="24"/>
            <w:szCs w:val="24"/>
          </w:rPr>
          <w:t>[</w:t>
        </w:r>
      </w:hyperlink>
      <w:hyperlink r:id="rId73">
        <w:r>
          <w:rPr>
            <w:rFonts w:ascii="Times New Roman" w:eastAsia="Times New Roman" w:hAnsi="Times New Roman" w:cs="Times New Roman"/>
            <w:sz w:val="24"/>
            <w:szCs w:val="24"/>
          </w:rPr>
          <w:t>49</w:t>
        </w:r>
      </w:hyperlink>
      <w:hyperlink r:id="rId74">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The engine operating points are moved to a region with higher efficiency using the available MG. When power demand is low, it functions as a generator; when power demand is high, it functions as a motor. This allows the engine to operate more efficiently than it would in a traditional car. Furthermore, a transmission is required for parallel hybrids in order to balance the high engine speed with the low vehicle speed. </w:t>
      </w:r>
      <w:hyperlink r:id="rId75">
        <w:r>
          <w:rPr>
            <w:rFonts w:ascii="Times New Roman" w:eastAsia="Times New Roman" w:hAnsi="Times New Roman" w:cs="Times New Roman"/>
            <w:color w:val="000000"/>
            <w:sz w:val="24"/>
            <w:szCs w:val="24"/>
          </w:rPr>
          <w:t>[</w:t>
        </w:r>
      </w:hyperlink>
      <w:hyperlink r:id="rId76">
        <w:r>
          <w:rPr>
            <w:rFonts w:ascii="Times New Roman" w:eastAsia="Times New Roman" w:hAnsi="Times New Roman" w:cs="Times New Roman"/>
            <w:sz w:val="24"/>
            <w:szCs w:val="24"/>
          </w:rPr>
          <w:t>50</w:t>
        </w:r>
      </w:hyperlink>
      <w:hyperlink r:id="rId77">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w:t>
      </w:r>
    </w:p>
    <w:p w14:paraId="13D8E074"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1.2. Sub-types and typical models </w:t>
      </w:r>
      <w:r>
        <w:rPr>
          <w:rFonts w:ascii="Times New Roman" w:eastAsia="Times New Roman" w:hAnsi="Times New Roman" w:cs="Times New Roman"/>
          <w:color w:val="000000"/>
          <w:sz w:val="24"/>
          <w:szCs w:val="24"/>
        </w:rPr>
        <w:t xml:space="preserve"> </w:t>
      </w:r>
    </w:p>
    <w:p w14:paraId="02278D13"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parallel configuration requires comparatively little engineering work and investment, and it can be thought of as an incremental addition to a conventional powertrain. Depending on the location and size of the MG, PHP can be further divided into five subtypes: P0, P1, P2, P3, and P4 </w:t>
      </w:r>
      <w:hyperlink r:id="rId78">
        <w:r>
          <w:rPr>
            <w:rFonts w:ascii="Times New Roman" w:eastAsia="Times New Roman" w:hAnsi="Times New Roman" w:cs="Times New Roman"/>
            <w:color w:val="000000"/>
            <w:sz w:val="24"/>
            <w:szCs w:val="24"/>
          </w:rPr>
          <w:t>[</w:t>
        </w:r>
      </w:hyperlink>
      <w:hyperlink r:id="rId79">
        <w:r>
          <w:rPr>
            <w:rFonts w:ascii="Times New Roman" w:eastAsia="Times New Roman" w:hAnsi="Times New Roman" w:cs="Times New Roman"/>
            <w:sz w:val="24"/>
            <w:szCs w:val="24"/>
          </w:rPr>
          <w:t>51</w:t>
        </w:r>
      </w:hyperlink>
      <w:hyperlink r:id="rId80">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w:t>
      </w:r>
    </w:p>
    <w:p w14:paraId="425BB797"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arrangement known as subtype P0 involves a motor that is mounted ahead of the ICE and is belted to it. As a result, another name for it is a belt-driven starter/generator HEV. The starter/generator can only perform the start-stop operation and is small due to the belt's torque limitation </w:t>
      </w:r>
      <w:hyperlink r:id="rId81">
        <w:r>
          <w:rPr>
            <w:rFonts w:ascii="Times New Roman" w:eastAsia="Times New Roman" w:hAnsi="Times New Roman" w:cs="Times New Roman"/>
            <w:color w:val="000000"/>
            <w:sz w:val="24"/>
            <w:szCs w:val="24"/>
          </w:rPr>
          <w:t>[</w:t>
        </w:r>
      </w:hyperlink>
      <w:hyperlink r:id="rId82">
        <w:r>
          <w:rPr>
            <w:rFonts w:ascii="Times New Roman" w:eastAsia="Times New Roman" w:hAnsi="Times New Roman" w:cs="Times New Roman"/>
            <w:sz w:val="24"/>
            <w:szCs w:val="24"/>
          </w:rPr>
          <w:t>52</w:t>
        </w:r>
      </w:hyperlink>
      <w:hyperlink r:id="rId83">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w:t>
      </w:r>
    </w:p>
    <w:p w14:paraId="539F03B5"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The P1 subtype describes the configuration in which the motor is placed on the engine's crankshaft. This motor is consistently called an integrated starter generator (ISG) </w:t>
      </w:r>
      <w:hyperlink r:id="rId84">
        <w:r>
          <w:rPr>
            <w:rFonts w:ascii="Times New Roman" w:eastAsia="Times New Roman" w:hAnsi="Times New Roman" w:cs="Times New Roman"/>
            <w:color w:val="000000"/>
            <w:sz w:val="24"/>
            <w:szCs w:val="24"/>
          </w:rPr>
          <w:t>[</w:t>
        </w:r>
      </w:hyperlink>
      <w:hyperlink r:id="rId85">
        <w:r>
          <w:rPr>
            <w:rFonts w:ascii="Times New Roman" w:eastAsia="Times New Roman" w:hAnsi="Times New Roman" w:cs="Times New Roman"/>
            <w:sz w:val="24"/>
            <w:szCs w:val="24"/>
          </w:rPr>
          <w:t>52</w:t>
        </w:r>
      </w:hyperlink>
      <w:hyperlink r:id="rId86">
        <w:r>
          <w:rPr>
            <w:rFonts w:ascii="Times New Roman" w:eastAsia="Times New Roman" w:hAnsi="Times New Roman" w:cs="Times New Roman"/>
            <w:color w:val="000000"/>
            <w:sz w:val="24"/>
            <w:szCs w:val="24"/>
          </w:rPr>
          <w:t>], [</w:t>
        </w:r>
      </w:hyperlink>
      <w:hyperlink r:id="rId87">
        <w:r>
          <w:rPr>
            <w:rFonts w:ascii="Times New Roman" w:eastAsia="Times New Roman" w:hAnsi="Times New Roman" w:cs="Times New Roman"/>
            <w:sz w:val="24"/>
            <w:szCs w:val="24"/>
          </w:rPr>
          <w:t>53</w:t>
        </w:r>
      </w:hyperlink>
      <w:hyperlink r:id="rId88">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The ISG's size is always limited by where it is installed, which prevents it from producing enough torque to drive the car. Only a few features, like acceleration support, regenerative braking, and start-stop, can be used.  </w:t>
      </w:r>
    </w:p>
    <w:p w14:paraId="165E1E28"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two most widely used parallel HEV subtypes are P2 and P3. In these setups, the motor is installed on the transmission's input and output, respectively. Compared to P0 and P1, the motor in P2 and P3 is substantially larger and can drive the vehicle at comparatively high speeds </w:t>
      </w:r>
      <w:hyperlink r:id="rId89">
        <w:r>
          <w:rPr>
            <w:rFonts w:ascii="Times New Roman" w:eastAsia="Times New Roman" w:hAnsi="Times New Roman" w:cs="Times New Roman"/>
            <w:color w:val="000000"/>
            <w:sz w:val="24"/>
            <w:szCs w:val="24"/>
          </w:rPr>
          <w:t>[</w:t>
        </w:r>
      </w:hyperlink>
      <w:hyperlink r:id="rId90">
        <w:r>
          <w:rPr>
            <w:rFonts w:ascii="Times New Roman" w:eastAsia="Times New Roman" w:hAnsi="Times New Roman" w:cs="Times New Roman"/>
            <w:sz w:val="24"/>
            <w:szCs w:val="24"/>
          </w:rPr>
          <w:t>50</w:t>
        </w:r>
      </w:hyperlink>
      <w:hyperlink r:id="rId91">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w:t>
      </w:r>
    </w:p>
    <w:p w14:paraId="33B7B17C"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The P4 configuration represents a parallel hybrid layout where the electric motor is placed directly on the driveline or integrated into the wheel hub through in-wheel motor systems, as shown in Fig. 3(e). This architecture is rarely implemented on its own and is typically paired with other parallel arrangements such as P2 or P3, especially in vehicles equipped with four-wheel drive. A design parameter–based comparison further indicated that P2 achieves improved fuel efficiency compared to P1 due to its higher motor capacity, while P2 and P3 exhibit nearly equivalent fuel economy performance </w:t>
      </w:r>
      <w:hyperlink r:id="rId92">
        <w:r>
          <w:rPr>
            <w:rFonts w:ascii="Times New Roman" w:eastAsia="Times New Roman" w:hAnsi="Times New Roman" w:cs="Times New Roman"/>
            <w:color w:val="000000"/>
            <w:sz w:val="24"/>
            <w:szCs w:val="24"/>
          </w:rPr>
          <w:t>[</w:t>
        </w:r>
      </w:hyperlink>
      <w:hyperlink r:id="rId93">
        <w:r>
          <w:rPr>
            <w:rFonts w:ascii="Times New Roman" w:eastAsia="Times New Roman" w:hAnsi="Times New Roman" w:cs="Times New Roman"/>
            <w:sz w:val="24"/>
            <w:szCs w:val="24"/>
          </w:rPr>
          <w:t>54</w:t>
        </w:r>
      </w:hyperlink>
      <w:hyperlink r:id="rId94">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w:t>
      </w:r>
    </w:p>
    <w:p w14:paraId="2920AA6E"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1.3. Limitations and challenges </w:t>
      </w:r>
      <w:r>
        <w:rPr>
          <w:rFonts w:ascii="Times New Roman" w:eastAsia="Times New Roman" w:hAnsi="Times New Roman" w:cs="Times New Roman"/>
          <w:color w:val="000000"/>
          <w:sz w:val="24"/>
          <w:szCs w:val="24"/>
        </w:rPr>
        <w:t xml:space="preserve"> </w:t>
      </w:r>
    </w:p>
    <w:p w14:paraId="65370345" w14:textId="77777777" w:rsidR="006D0435" w:rsidRDefault="00000000">
      <w:pPr>
        <w:shd w:val="clear" w:color="auto" w:fill="FFFFFF"/>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Parallel HEVs are effective in urban stop-and-go traffic. This might not be the most effective setup, though. </w:t>
      </w:r>
      <w:r>
        <w:rPr>
          <w:rFonts w:ascii="Times New Roman" w:eastAsia="Times New Roman" w:hAnsi="Times New Roman" w:cs="Times New Roman"/>
          <w:color w:val="000000"/>
          <w:sz w:val="24"/>
          <w:szCs w:val="24"/>
          <w:highlight w:val="white"/>
        </w:rPr>
        <w:t xml:space="preserve">Because clutches or transmissions are needed to connect or disconnect the engine, it has more mechanical complexity. Because the powertrain is heavier, a larger engine and motor sized for maximum power are needed </w:t>
      </w:r>
      <w:hyperlink r:id="rId95">
        <w:r>
          <w:rPr>
            <w:rFonts w:ascii="Times New Roman" w:eastAsia="Times New Roman" w:hAnsi="Times New Roman" w:cs="Times New Roman"/>
            <w:color w:val="000000"/>
            <w:sz w:val="24"/>
            <w:szCs w:val="24"/>
          </w:rPr>
          <w:t>[</w:t>
        </w:r>
      </w:hyperlink>
      <w:hyperlink r:id="rId96">
        <w:r>
          <w:rPr>
            <w:rFonts w:ascii="Times New Roman" w:eastAsia="Times New Roman" w:hAnsi="Times New Roman" w:cs="Times New Roman"/>
            <w:sz w:val="24"/>
            <w:szCs w:val="24"/>
          </w:rPr>
          <w:t>49</w:t>
        </w:r>
      </w:hyperlink>
      <w:hyperlink r:id="rId97">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Furthermore, MG cannot be used to help power the engine and charge the battery at the same time, so power assist and EV operations need to be carefully managed to prevent battery depletion. This issue is made worse when driving in cities because the engine must produce power in its low-efficiency region due to frequent starts and stops, which can use a substantial amount of battery energy. Despite a range of models becoming available, parallel HEVs have a lower market share percentage due to these disadvantages </w:t>
      </w:r>
      <w:hyperlink r:id="rId98">
        <w:r>
          <w:rPr>
            <w:rFonts w:ascii="Times New Roman" w:eastAsia="Times New Roman" w:hAnsi="Times New Roman" w:cs="Times New Roman"/>
            <w:color w:val="000000"/>
            <w:sz w:val="24"/>
            <w:szCs w:val="24"/>
          </w:rPr>
          <w:t>[</w:t>
        </w:r>
      </w:hyperlink>
      <w:hyperlink r:id="rId99">
        <w:r>
          <w:rPr>
            <w:rFonts w:ascii="Times New Roman" w:eastAsia="Times New Roman" w:hAnsi="Times New Roman" w:cs="Times New Roman"/>
            <w:sz w:val="24"/>
            <w:szCs w:val="24"/>
          </w:rPr>
          <w:t>54</w:t>
        </w:r>
      </w:hyperlink>
      <w:hyperlink r:id="rId100">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w:t>
      </w:r>
    </w:p>
    <w:p w14:paraId="0A854895"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2. Series hybrid powertrain</w:t>
      </w:r>
      <w:r>
        <w:rPr>
          <w:rFonts w:ascii="Times New Roman" w:eastAsia="Times New Roman" w:hAnsi="Times New Roman" w:cs="Times New Roman"/>
          <w:color w:val="000000"/>
          <w:sz w:val="24"/>
          <w:szCs w:val="24"/>
        </w:rPr>
        <w:t xml:space="preserve"> </w:t>
      </w:r>
    </w:p>
    <w:p w14:paraId="363E3FCA"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2.1. Operation mechanism </w:t>
      </w:r>
      <w:r>
        <w:rPr>
          <w:rFonts w:ascii="Times New Roman" w:eastAsia="Times New Roman" w:hAnsi="Times New Roman" w:cs="Times New Roman"/>
          <w:color w:val="000000"/>
          <w:sz w:val="24"/>
          <w:szCs w:val="24"/>
        </w:rPr>
        <w:t xml:space="preserve"> </w:t>
      </w:r>
    </w:p>
    <w:p w14:paraId="0D22030D" w14:textId="77777777" w:rsidR="006D0435" w:rsidRDefault="00000000">
      <w:pPr>
        <w:shd w:val="clear" w:color="auto" w:fill="FFFFFF"/>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14300" distB="114300" distL="114300" distR="114300" wp14:anchorId="75FA1CFF" wp14:editId="17374818">
            <wp:extent cx="5715000" cy="1764965"/>
            <wp:effectExtent l="0" t="0" r="0" b="0"/>
            <wp:docPr id="20" name="image32.png" descr="Wheels &#10;Engine &#10;Generator/ &#10;Mechanical &#10;Rectifier &#10;Inverter &#10;Motor &#10;Transmission &#10;Battery &#10;Wheels "/>
            <wp:cNvGraphicFramePr/>
            <a:graphic xmlns:a="http://schemas.openxmlformats.org/drawingml/2006/main">
              <a:graphicData uri="http://schemas.openxmlformats.org/drawingml/2006/picture">
                <pic:pic xmlns:pic="http://schemas.openxmlformats.org/drawingml/2006/picture">
                  <pic:nvPicPr>
                    <pic:cNvPr id="0" name="image32.png" descr="Wheels &#10;Engine &#10;Generator/ &#10;Mechanical &#10;Rectifier &#10;Inverter &#10;Motor &#10;Transmission &#10;Battery &#10;Wheels "/>
                    <pic:cNvPicPr preferRelativeResize="0"/>
                  </pic:nvPicPr>
                  <pic:blipFill>
                    <a:blip r:embed="rId101"/>
                    <a:srcRect t="6885"/>
                    <a:stretch>
                      <a:fillRect/>
                    </a:stretch>
                  </pic:blipFill>
                  <pic:spPr>
                    <a:xfrm>
                      <a:off x="0" y="0"/>
                      <a:ext cx="5715000" cy="1764965"/>
                    </a:xfrm>
                    <a:prstGeom prst="rect">
                      <a:avLst/>
                    </a:prstGeom>
                    <a:ln/>
                  </pic:spPr>
                </pic:pic>
              </a:graphicData>
            </a:graphic>
          </wp:inline>
        </w:drawing>
      </w:r>
    </w:p>
    <w:p w14:paraId="6CDBB4F4" w14:textId="77777777" w:rsidR="006D0435" w:rsidRDefault="00000000">
      <w:pPr>
        <w:shd w:val="clear" w:color="auto" w:fill="FFFFFF"/>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Fig. 4. Schematic of Series Hybrid </w:t>
      </w:r>
      <w:proofErr w:type="spellStart"/>
      <w:r>
        <w:rPr>
          <w:rFonts w:ascii="Times New Roman" w:eastAsia="Times New Roman" w:hAnsi="Times New Roman" w:cs="Times New Roman"/>
          <w:color w:val="000000"/>
          <w:sz w:val="24"/>
          <w:szCs w:val="24"/>
        </w:rPr>
        <w:t>Powerstrain</w:t>
      </w:r>
      <w:proofErr w:type="spellEnd"/>
      <w:r>
        <w:rPr>
          <w:rFonts w:ascii="Times New Roman" w:eastAsia="Times New Roman" w:hAnsi="Times New Roman" w:cs="Times New Roman"/>
          <w:color w:val="000000"/>
          <w:sz w:val="24"/>
          <w:szCs w:val="24"/>
        </w:rPr>
        <w:t xml:space="preserve"> </w:t>
      </w:r>
    </w:p>
    <w:p w14:paraId="43B9ED6D"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Only the electric motor or motors power the wheels; the ICE powers a generator or alternator. The ICE and the wheels are not mechanically connected </w:t>
      </w:r>
      <w:hyperlink r:id="rId102">
        <w:r>
          <w:rPr>
            <w:rFonts w:ascii="Times New Roman" w:eastAsia="Times New Roman" w:hAnsi="Times New Roman" w:cs="Times New Roman"/>
            <w:color w:val="000000"/>
            <w:sz w:val="24"/>
            <w:szCs w:val="24"/>
          </w:rPr>
          <w:t>[</w:t>
        </w:r>
      </w:hyperlink>
      <w:hyperlink r:id="rId103">
        <w:r>
          <w:rPr>
            <w:rFonts w:ascii="Times New Roman" w:eastAsia="Times New Roman" w:hAnsi="Times New Roman" w:cs="Times New Roman"/>
            <w:sz w:val="24"/>
            <w:szCs w:val="24"/>
          </w:rPr>
          <w:t>49</w:t>
        </w:r>
      </w:hyperlink>
      <w:hyperlink r:id="rId104">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In a </w:t>
      </w:r>
      <w:r>
        <w:rPr>
          <w:rFonts w:ascii="Times New Roman" w:eastAsia="Times New Roman" w:hAnsi="Times New Roman" w:cs="Times New Roman"/>
          <w:b/>
          <w:bCs/>
          <w:color w:val="000000"/>
          <w:sz w:val="24"/>
          <w:szCs w:val="24"/>
        </w:rPr>
        <w:t>series hybrid electric vehicle</w:t>
      </w:r>
      <w:r>
        <w:rPr>
          <w:rFonts w:ascii="Times New Roman" w:eastAsia="Times New Roman" w:hAnsi="Times New Roman" w:cs="Times New Roman"/>
          <w:color w:val="000000"/>
          <w:sz w:val="24"/>
          <w:szCs w:val="24"/>
        </w:rPr>
        <w:t xml:space="preserve">, propulsion is typically provided solely by the electric drive motor, while the internal combustion engine (ICE) is mechanically linked to an electrical generator rather than the wheels, as illustrated in Fig. 3. The electric machines receive energy from both the battery pack and the generator, and they may be installed at the front as well as the rear axle to enable an all-wheel-drive electric arrangement. Because there is no direct mechanical link between the internal combustion engine and the drive wheels, the engine can be run within its optimal efficiency region independent of vehicle velocity or driver power demand. In addition, the propulsion motor offers a broader speed–torque capability and typically achieves better efficiency compared with the engine. As a result, the gearbox required in traditional vehicles may be eliminated in a series hybrid layout. Consequently, this type of hybrid drivetrain features a more straightforward structure than other architectures, both in hardware configuration and in control strategy for energy management. </w:t>
      </w:r>
      <w:hyperlink r:id="rId105">
        <w:r>
          <w:rPr>
            <w:rFonts w:ascii="Times New Roman" w:eastAsia="Times New Roman" w:hAnsi="Times New Roman" w:cs="Times New Roman"/>
            <w:color w:val="000000"/>
            <w:sz w:val="24"/>
            <w:szCs w:val="24"/>
          </w:rPr>
          <w:t>[</w:t>
        </w:r>
      </w:hyperlink>
      <w:hyperlink r:id="rId106">
        <w:r>
          <w:rPr>
            <w:rFonts w:ascii="Times New Roman" w:eastAsia="Times New Roman" w:hAnsi="Times New Roman" w:cs="Times New Roman"/>
            <w:sz w:val="24"/>
            <w:szCs w:val="24"/>
          </w:rPr>
          <w:t>55</w:t>
        </w:r>
      </w:hyperlink>
      <w:hyperlink r:id="rId107">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Series hybrids typically require a smaller battery than BEVs</w:t>
      </w:r>
      <w:r>
        <w:rPr>
          <w:rFonts w:ascii="Times New Roman" w:eastAsia="Times New Roman" w:hAnsi="Times New Roman" w:cs="Times New Roman"/>
          <w:color w:val="000000"/>
          <w:sz w:val="24"/>
          <w:szCs w:val="24"/>
        </w:rPr>
        <w:t xml:space="preserve">.  </w:t>
      </w:r>
    </w:p>
    <w:p w14:paraId="4ED640F1"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2.3. Limitations and challenges</w:t>
      </w:r>
      <w:r>
        <w:rPr>
          <w:rFonts w:ascii="Times New Roman" w:eastAsia="Times New Roman" w:hAnsi="Times New Roman" w:cs="Times New Roman"/>
          <w:color w:val="000000"/>
          <w:sz w:val="24"/>
          <w:szCs w:val="24"/>
        </w:rPr>
        <w:t xml:space="preserve"> </w:t>
      </w:r>
    </w:p>
    <w:p w14:paraId="0C864F4C"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Series hybrid electric vehicles may achieve improved fuel efficiency compared with traditional automobiles. Nevertheless, significant conversion losses arise because the entirety of the engine’s mechanical output must initially be transformed into electrical energy. A portion of this generated electricity is directed to charge the battery pack, while the rest supplies power to the drive motors that move the vehicle. Although the motor-generators operate with comparatively high efficiency, and the engine can run near its optimal efficiency region; the repeated energy transformation processes reduce the overall system effectiveness. Furthermore, this layout demands a high-capacity traction motor to satisfy torque demands, since propulsion relies exclusively on the electric machine </w:t>
      </w:r>
      <w:hyperlink r:id="rId108">
        <w:r>
          <w:rPr>
            <w:rFonts w:ascii="Times New Roman" w:eastAsia="Times New Roman" w:hAnsi="Times New Roman" w:cs="Times New Roman"/>
            <w:color w:val="000000"/>
            <w:sz w:val="24"/>
            <w:szCs w:val="24"/>
          </w:rPr>
          <w:t>[</w:t>
        </w:r>
      </w:hyperlink>
      <w:hyperlink r:id="rId109">
        <w:r>
          <w:rPr>
            <w:rFonts w:ascii="Times New Roman" w:eastAsia="Times New Roman" w:hAnsi="Times New Roman" w:cs="Times New Roman"/>
            <w:sz w:val="24"/>
            <w:szCs w:val="24"/>
          </w:rPr>
          <w:t>54</w:t>
        </w:r>
      </w:hyperlink>
      <w:hyperlink r:id="rId110">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w:t>
      </w:r>
    </w:p>
    <w:p w14:paraId="179CBFBF"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3. Power-split hybrid powertrain </w:t>
      </w:r>
      <w:r>
        <w:rPr>
          <w:rFonts w:ascii="Times New Roman" w:eastAsia="Times New Roman" w:hAnsi="Times New Roman" w:cs="Times New Roman"/>
          <w:color w:val="000000"/>
          <w:sz w:val="24"/>
          <w:szCs w:val="24"/>
        </w:rPr>
        <w:t xml:space="preserve"> </w:t>
      </w:r>
    </w:p>
    <w:p w14:paraId="7374D182"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3.1. Operation mechanism </w:t>
      </w:r>
      <w:r>
        <w:rPr>
          <w:rFonts w:ascii="Times New Roman" w:eastAsia="Times New Roman" w:hAnsi="Times New Roman" w:cs="Times New Roman"/>
          <w:color w:val="000000"/>
          <w:sz w:val="24"/>
          <w:szCs w:val="24"/>
        </w:rPr>
        <w:t xml:space="preserve"> </w:t>
      </w:r>
    </w:p>
    <w:p w14:paraId="6396613C" w14:textId="77777777" w:rsidR="006D0435" w:rsidRDefault="00000000">
      <w:pPr>
        <w:shd w:val="clear" w:color="auto" w:fill="FFFFFF"/>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14300" distB="114300" distL="114300" distR="114300" wp14:anchorId="3ED57219" wp14:editId="1D86F776">
            <wp:extent cx="5734050" cy="2162175"/>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11"/>
                    <a:srcRect t="3404"/>
                    <a:stretch>
                      <a:fillRect/>
                    </a:stretch>
                  </pic:blipFill>
                  <pic:spPr>
                    <a:xfrm>
                      <a:off x="0" y="0"/>
                      <a:ext cx="5734050" cy="2162175"/>
                    </a:xfrm>
                    <a:prstGeom prst="rect">
                      <a:avLst/>
                    </a:prstGeom>
                    <a:ln/>
                  </pic:spPr>
                </pic:pic>
              </a:graphicData>
            </a:graphic>
          </wp:inline>
        </w:drawing>
      </w:r>
    </w:p>
    <w:p w14:paraId="1B1D2220" w14:textId="77777777" w:rsidR="006D0435" w:rsidRDefault="00000000">
      <w:pPr>
        <w:shd w:val="clear" w:color="auto" w:fill="FFFFFF"/>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lastRenderedPageBreak/>
        <w:t xml:space="preserve">Fig. 5. </w:t>
      </w:r>
      <w:r>
        <w:rPr>
          <w:rFonts w:ascii="Times New Roman" w:eastAsia="Times New Roman" w:hAnsi="Times New Roman" w:cs="Times New Roman"/>
          <w:color w:val="000000"/>
          <w:sz w:val="24"/>
          <w:szCs w:val="24"/>
        </w:rPr>
        <w:t xml:space="preserve">Schematic of Power-Split Hybrid </w:t>
      </w:r>
      <w:proofErr w:type="spellStart"/>
      <w:r>
        <w:rPr>
          <w:rFonts w:ascii="Times New Roman" w:eastAsia="Times New Roman" w:hAnsi="Times New Roman" w:cs="Times New Roman"/>
          <w:color w:val="000000"/>
          <w:sz w:val="24"/>
          <w:szCs w:val="24"/>
        </w:rPr>
        <w:t>Powerstrain</w:t>
      </w:r>
      <w:proofErr w:type="spellEnd"/>
      <w:r>
        <w:rPr>
          <w:rFonts w:ascii="Times New Roman" w:eastAsia="Times New Roman" w:hAnsi="Times New Roman" w:cs="Times New Roman"/>
          <w:color w:val="000000"/>
          <w:sz w:val="24"/>
          <w:szCs w:val="24"/>
        </w:rPr>
        <w:t xml:space="preserve"> </w:t>
      </w:r>
    </w:p>
    <w:p w14:paraId="47B2EB9C"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Power-split hybrid electric vehicles integrate characteristics of both parallel and series architectures by employing a planetary gear mechanism that functions as an electrically controlled continuously variable transmission [</w:t>
      </w:r>
      <w:r>
        <w:rPr>
          <w:rFonts w:ascii="Times New Roman" w:eastAsia="Times New Roman" w:hAnsi="Times New Roman" w:cs="Times New Roman"/>
          <w:sz w:val="24"/>
          <w:szCs w:val="24"/>
          <w:highlight w:val="white"/>
        </w:rPr>
        <w:t>49</w:t>
      </w:r>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color w:val="000000"/>
          <w:sz w:val="24"/>
          <w:szCs w:val="24"/>
        </w:rPr>
        <w:t xml:space="preserve">In most designs, either a single or a dual set of planetary gears is employed to connect the internal combustion engine, two motor–generator units, and the vehicle’s driveshaft, as illustrated in Fig. 4. </w:t>
      </w:r>
      <w:hyperlink r:id="rId112">
        <w:r>
          <w:rPr>
            <w:rFonts w:ascii="Times New Roman" w:eastAsia="Times New Roman" w:hAnsi="Times New Roman" w:cs="Times New Roman"/>
            <w:color w:val="000000"/>
            <w:sz w:val="24"/>
            <w:szCs w:val="24"/>
          </w:rPr>
          <w:t>[</w:t>
        </w:r>
      </w:hyperlink>
      <w:hyperlink r:id="rId113">
        <w:r>
          <w:rPr>
            <w:rFonts w:ascii="Times New Roman" w:eastAsia="Times New Roman" w:hAnsi="Times New Roman" w:cs="Times New Roman"/>
            <w:sz w:val="24"/>
            <w:szCs w:val="24"/>
          </w:rPr>
          <w:t>56</w:t>
        </w:r>
      </w:hyperlink>
      <w:hyperlink r:id="rId114">
        <w:r>
          <w:rPr>
            <w:rFonts w:ascii="Times New Roman" w:eastAsia="Times New Roman" w:hAnsi="Times New Roman" w:cs="Times New Roman"/>
            <w:color w:val="000000"/>
            <w:sz w:val="24"/>
            <w:szCs w:val="24"/>
          </w:rPr>
          <w:t>], [</w:t>
        </w:r>
      </w:hyperlink>
      <w:hyperlink r:id="rId115">
        <w:r>
          <w:rPr>
            <w:rFonts w:ascii="Times New Roman" w:eastAsia="Times New Roman" w:hAnsi="Times New Roman" w:cs="Times New Roman"/>
            <w:sz w:val="24"/>
            <w:szCs w:val="24"/>
          </w:rPr>
          <w:t>57</w:t>
        </w:r>
      </w:hyperlink>
      <w:hyperlink r:id="rId116">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Planetary gear mechanisms constitute the core element of a power-split hybrid propulsion system. This power division unit isolates the engine’s functioning from direct coupling with wheel rotational speed and performs the role of a continuously variable transmission, allowing the engine to remain within its optimal efficiency region over varying driving speeds. Consequently, in these hybrid configurations, the power division arrangement is often described as an electronically managed CVT, commonly abbreviated as E-CVT </w:t>
      </w:r>
      <w:hyperlink r:id="rId117">
        <w:r>
          <w:rPr>
            <w:rFonts w:ascii="Times New Roman" w:eastAsia="Times New Roman" w:hAnsi="Times New Roman" w:cs="Times New Roman"/>
            <w:color w:val="000000"/>
            <w:sz w:val="24"/>
            <w:szCs w:val="24"/>
          </w:rPr>
          <w:t>[</w:t>
        </w:r>
      </w:hyperlink>
      <w:hyperlink r:id="rId118">
        <w:r>
          <w:rPr>
            <w:rFonts w:ascii="Times New Roman" w:eastAsia="Times New Roman" w:hAnsi="Times New Roman" w:cs="Times New Roman"/>
            <w:sz w:val="24"/>
            <w:szCs w:val="24"/>
          </w:rPr>
          <w:t>58</w:t>
        </w:r>
      </w:hyperlink>
      <w:hyperlink r:id="rId119">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Owing to this separation between engine operation and wheel speed, power-split hybrid electric vehicles typically achieve superior fuel efficiency compared with both series and parallel configurations, especially under urban driving conditions </w:t>
      </w:r>
      <w:hyperlink r:id="rId120">
        <w:r>
          <w:rPr>
            <w:rFonts w:ascii="Times New Roman" w:eastAsia="Times New Roman" w:hAnsi="Times New Roman" w:cs="Times New Roman"/>
            <w:color w:val="000000"/>
            <w:sz w:val="24"/>
            <w:szCs w:val="24"/>
          </w:rPr>
          <w:t>[</w:t>
        </w:r>
      </w:hyperlink>
      <w:hyperlink r:id="rId121">
        <w:r>
          <w:rPr>
            <w:rFonts w:ascii="Times New Roman" w:eastAsia="Times New Roman" w:hAnsi="Times New Roman" w:cs="Times New Roman"/>
            <w:sz w:val="24"/>
            <w:szCs w:val="24"/>
          </w:rPr>
          <w:t>54</w:t>
        </w:r>
      </w:hyperlink>
      <w:hyperlink r:id="rId122">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w:t>
      </w:r>
    </w:p>
    <w:p w14:paraId="36058C2D"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PSD enables engine power to reach the driveshaft via two possible routes: a direct mechanical connection or an indirect electrical path </w:t>
      </w:r>
      <w:hyperlink r:id="rId123">
        <w:r>
          <w:rPr>
            <w:rFonts w:ascii="Times New Roman" w:eastAsia="Times New Roman" w:hAnsi="Times New Roman" w:cs="Times New Roman"/>
            <w:color w:val="000000"/>
            <w:sz w:val="24"/>
            <w:szCs w:val="24"/>
          </w:rPr>
          <w:t>[</w:t>
        </w:r>
      </w:hyperlink>
      <w:hyperlink r:id="rId124">
        <w:r>
          <w:rPr>
            <w:rFonts w:ascii="Times New Roman" w:eastAsia="Times New Roman" w:hAnsi="Times New Roman" w:cs="Times New Roman"/>
            <w:sz w:val="24"/>
            <w:szCs w:val="24"/>
          </w:rPr>
          <w:t>59</w:t>
        </w:r>
      </w:hyperlink>
      <w:hyperlink r:id="rId125">
        <w:r>
          <w:rPr>
            <w:rFonts w:ascii="Times New Roman" w:eastAsia="Times New Roman" w:hAnsi="Times New Roman" w:cs="Times New Roman"/>
            <w:color w:val="000000"/>
            <w:sz w:val="24"/>
            <w:szCs w:val="24"/>
          </w:rPr>
          <w:t>], [</w:t>
        </w:r>
      </w:hyperlink>
      <w:hyperlink r:id="rId126">
        <w:r>
          <w:rPr>
            <w:rFonts w:ascii="Times New Roman" w:eastAsia="Times New Roman" w:hAnsi="Times New Roman" w:cs="Times New Roman"/>
            <w:sz w:val="24"/>
            <w:szCs w:val="24"/>
          </w:rPr>
          <w:t>60</w:t>
        </w:r>
      </w:hyperlink>
      <w:hyperlink r:id="rId127">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In the electrical route, the PSD works like a series hybrid, with part of the engine’s output converted into electricity by a generator to drive the motor or charge the battery. In the mechanical route, it allows the engine to deliver power directly to the driveshaft, similar to a parallel hybrid. Thus, power-split HEVs combine the advantages of both series and parallel systems </w:t>
      </w:r>
      <w:hyperlink r:id="rId128">
        <w:r>
          <w:rPr>
            <w:rFonts w:ascii="Times New Roman" w:eastAsia="Times New Roman" w:hAnsi="Times New Roman" w:cs="Times New Roman"/>
            <w:color w:val="000000"/>
            <w:sz w:val="24"/>
            <w:szCs w:val="24"/>
          </w:rPr>
          <w:t>[</w:t>
        </w:r>
      </w:hyperlink>
      <w:hyperlink r:id="rId129">
        <w:r>
          <w:rPr>
            <w:rFonts w:ascii="Times New Roman" w:eastAsia="Times New Roman" w:hAnsi="Times New Roman" w:cs="Times New Roman"/>
            <w:sz w:val="24"/>
            <w:szCs w:val="24"/>
          </w:rPr>
          <w:t>54</w:t>
        </w:r>
      </w:hyperlink>
      <w:hyperlink r:id="rId130">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w:t>
      </w:r>
    </w:p>
    <w:p w14:paraId="0DDF5F49"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3.2. Sub-types and typical models </w:t>
      </w:r>
      <w:r>
        <w:rPr>
          <w:rFonts w:ascii="Times New Roman" w:eastAsia="Times New Roman" w:hAnsi="Times New Roman" w:cs="Times New Roman"/>
          <w:color w:val="000000"/>
          <w:sz w:val="24"/>
          <w:szCs w:val="24"/>
        </w:rPr>
        <w:t xml:space="preserve"> </w:t>
      </w:r>
    </w:p>
    <w:p w14:paraId="4D572B31"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Power-split hybrid drivetrains can be categorized into three subtypes based on where the power is divided: input-split, output-split, and compound-split </w:t>
      </w:r>
      <w:hyperlink r:id="rId131">
        <w:r>
          <w:rPr>
            <w:rFonts w:ascii="Times New Roman" w:eastAsia="Times New Roman" w:hAnsi="Times New Roman" w:cs="Times New Roman"/>
            <w:color w:val="000000"/>
            <w:sz w:val="24"/>
            <w:szCs w:val="24"/>
          </w:rPr>
          <w:t>[37]</w:t>
        </w:r>
      </w:hyperlink>
      <w:r>
        <w:rPr>
          <w:rFonts w:ascii="Times New Roman" w:eastAsia="Times New Roman" w:hAnsi="Times New Roman" w:cs="Times New Roman"/>
          <w:color w:val="000000"/>
          <w:sz w:val="24"/>
          <w:szCs w:val="24"/>
        </w:rPr>
        <w:t xml:space="preserve">. In an input-split HEV, the engine’s power is divided at the transmission input by placing a motor–generator on the output shaft, sometimes with extra gears in between. For an output-split vehicle, the power is divided at the transmission output by positioning a motor–generator alongside the engine, again occasionally with additional gears. In a compound-split configuration, no motor–generator is directly collocated with either the engine or the output shaft </w:t>
      </w:r>
      <w:hyperlink r:id="rId132">
        <w:r>
          <w:rPr>
            <w:rFonts w:ascii="Times New Roman" w:eastAsia="Times New Roman" w:hAnsi="Times New Roman" w:cs="Times New Roman"/>
            <w:color w:val="000000"/>
            <w:sz w:val="24"/>
            <w:szCs w:val="24"/>
          </w:rPr>
          <w:t>[</w:t>
        </w:r>
      </w:hyperlink>
      <w:hyperlink r:id="rId133">
        <w:r>
          <w:rPr>
            <w:rFonts w:ascii="Times New Roman" w:eastAsia="Times New Roman" w:hAnsi="Times New Roman" w:cs="Times New Roman"/>
            <w:sz w:val="24"/>
            <w:szCs w:val="24"/>
          </w:rPr>
          <w:t>54</w:t>
        </w:r>
      </w:hyperlink>
      <w:hyperlink r:id="rId134">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w:t>
      </w:r>
    </w:p>
    <w:p w14:paraId="2420CF11"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input-split subtype is the most commercially successful power-split hybrid, exemplified by the Toyota Hybrid System (THS) or Hybrid Synergy Drive (HSD) developed by Toyota Motor Corporation </w:t>
      </w:r>
      <w:hyperlink r:id="rId135">
        <w:r>
          <w:rPr>
            <w:rFonts w:ascii="Times New Roman" w:eastAsia="Times New Roman" w:hAnsi="Times New Roman" w:cs="Times New Roman"/>
            <w:color w:val="000000"/>
            <w:sz w:val="24"/>
            <w:szCs w:val="24"/>
          </w:rPr>
          <w:t>[</w:t>
        </w:r>
      </w:hyperlink>
      <w:hyperlink r:id="rId136">
        <w:r>
          <w:rPr>
            <w:rFonts w:ascii="Times New Roman" w:eastAsia="Times New Roman" w:hAnsi="Times New Roman" w:cs="Times New Roman"/>
            <w:sz w:val="24"/>
            <w:szCs w:val="24"/>
          </w:rPr>
          <w:t>61</w:t>
        </w:r>
      </w:hyperlink>
      <w:hyperlink r:id="rId137">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This subtype was initially introduced in the Toyota Prius in Japan in 1997 and later expanded to the Camry and Lexus hybrid models. The second-generation THS, released in 2004, provided higher efficiency, greater power output, and improved scalability </w:t>
      </w:r>
      <w:hyperlink r:id="rId138">
        <w:r>
          <w:rPr>
            <w:rFonts w:ascii="Times New Roman" w:eastAsia="Times New Roman" w:hAnsi="Times New Roman" w:cs="Times New Roman"/>
            <w:color w:val="000000"/>
            <w:sz w:val="24"/>
            <w:szCs w:val="24"/>
          </w:rPr>
          <w:t>[</w:t>
        </w:r>
      </w:hyperlink>
      <w:hyperlink r:id="rId139">
        <w:r>
          <w:rPr>
            <w:rFonts w:ascii="Times New Roman" w:eastAsia="Times New Roman" w:hAnsi="Times New Roman" w:cs="Times New Roman"/>
            <w:sz w:val="24"/>
            <w:szCs w:val="24"/>
          </w:rPr>
          <w:t>62</w:t>
        </w:r>
      </w:hyperlink>
      <w:hyperlink r:id="rId140">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Scalability in the THS enables adaptation to different vehicle sizes by modifying the reduction paths of ICE/MG1 and MG2. A similar input-split approach was implemented by Ford in its Fusion Hybrid and C-Max models. Meanwhile, two types of power-split drivetrains were developed by General Motors using the other subtypes, with the </w:t>
      </w:r>
      <w:proofErr w:type="spellStart"/>
      <w:r>
        <w:rPr>
          <w:rFonts w:ascii="Times New Roman" w:eastAsia="Times New Roman" w:hAnsi="Times New Roman" w:cs="Times New Roman"/>
          <w:color w:val="000000"/>
          <w:sz w:val="24"/>
          <w:szCs w:val="24"/>
        </w:rPr>
        <w:t>Voltec</w:t>
      </w:r>
      <w:proofErr w:type="spellEnd"/>
      <w:r>
        <w:rPr>
          <w:rFonts w:ascii="Times New Roman" w:eastAsia="Times New Roman" w:hAnsi="Times New Roman" w:cs="Times New Roman"/>
          <w:color w:val="000000"/>
          <w:sz w:val="24"/>
          <w:szCs w:val="24"/>
        </w:rPr>
        <w:t xml:space="preserve"> Hybrid Powertrain operating in an output-split </w:t>
      </w:r>
      <w:r>
        <w:rPr>
          <w:rFonts w:ascii="Times New Roman" w:eastAsia="Times New Roman" w:hAnsi="Times New Roman" w:cs="Times New Roman"/>
          <w:color w:val="000000"/>
          <w:sz w:val="24"/>
          <w:szCs w:val="24"/>
        </w:rPr>
        <w:lastRenderedPageBreak/>
        <w:t xml:space="preserve">configuration </w:t>
      </w:r>
      <w:hyperlink r:id="rId141">
        <w:r>
          <w:rPr>
            <w:rFonts w:ascii="Times New Roman" w:eastAsia="Times New Roman" w:hAnsi="Times New Roman" w:cs="Times New Roman"/>
            <w:color w:val="000000"/>
            <w:sz w:val="24"/>
            <w:szCs w:val="24"/>
          </w:rPr>
          <w:t>[</w:t>
        </w:r>
      </w:hyperlink>
      <w:hyperlink r:id="rId142">
        <w:r>
          <w:rPr>
            <w:rFonts w:ascii="Times New Roman" w:eastAsia="Times New Roman" w:hAnsi="Times New Roman" w:cs="Times New Roman"/>
            <w:sz w:val="24"/>
            <w:szCs w:val="24"/>
          </w:rPr>
          <w:t>63</w:t>
        </w:r>
      </w:hyperlink>
      <w:hyperlink r:id="rId143">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Additionally, the Allison Hybrid System (AHS) was designed to operate using both an input-split and a compound-split mode </w:t>
      </w:r>
      <w:hyperlink r:id="rId144">
        <w:r>
          <w:rPr>
            <w:rFonts w:ascii="Times New Roman" w:eastAsia="Times New Roman" w:hAnsi="Times New Roman" w:cs="Times New Roman"/>
            <w:color w:val="000000"/>
            <w:sz w:val="24"/>
            <w:szCs w:val="24"/>
          </w:rPr>
          <w:t>[</w:t>
        </w:r>
      </w:hyperlink>
      <w:hyperlink r:id="rId145">
        <w:r>
          <w:rPr>
            <w:rFonts w:ascii="Times New Roman" w:eastAsia="Times New Roman" w:hAnsi="Times New Roman" w:cs="Times New Roman"/>
            <w:sz w:val="24"/>
            <w:szCs w:val="24"/>
          </w:rPr>
          <w:t>63</w:t>
        </w:r>
      </w:hyperlink>
      <w:hyperlink r:id="rId146">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w:t>
      </w:r>
    </w:p>
    <w:p w14:paraId="19B497F8"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Power-split HEVs exhibit numerous design variations that result from altering the placement of their key components </w:t>
      </w:r>
      <w:hyperlink r:id="rId147">
        <w:r>
          <w:rPr>
            <w:rFonts w:ascii="Times New Roman" w:eastAsia="Times New Roman" w:hAnsi="Times New Roman" w:cs="Times New Roman"/>
            <w:color w:val="000000"/>
            <w:sz w:val="24"/>
            <w:szCs w:val="24"/>
          </w:rPr>
          <w:t>[</w:t>
        </w:r>
      </w:hyperlink>
      <w:hyperlink r:id="rId148">
        <w:r>
          <w:rPr>
            <w:rFonts w:ascii="Times New Roman" w:eastAsia="Times New Roman" w:hAnsi="Times New Roman" w:cs="Times New Roman"/>
            <w:sz w:val="24"/>
            <w:szCs w:val="24"/>
          </w:rPr>
          <w:t>69</w:t>
        </w:r>
      </w:hyperlink>
      <w:hyperlink r:id="rId149">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To investigate all potential configurations, Liu and Peng developed an automated modeling approach to efficiently simulate the dynamics of a power-split HEV and pinpointed a design achieving optimal fuel efficiency </w:t>
      </w:r>
      <w:hyperlink r:id="rId150">
        <w:r>
          <w:rPr>
            <w:rFonts w:ascii="Times New Roman" w:eastAsia="Times New Roman" w:hAnsi="Times New Roman" w:cs="Times New Roman"/>
            <w:color w:val="000000"/>
            <w:sz w:val="24"/>
            <w:szCs w:val="24"/>
          </w:rPr>
          <w:t>[</w:t>
        </w:r>
      </w:hyperlink>
      <w:hyperlink r:id="rId151">
        <w:r>
          <w:rPr>
            <w:rFonts w:ascii="Times New Roman" w:eastAsia="Times New Roman" w:hAnsi="Times New Roman" w:cs="Times New Roman"/>
            <w:sz w:val="24"/>
            <w:szCs w:val="24"/>
          </w:rPr>
          <w:t>70</w:t>
        </w:r>
      </w:hyperlink>
      <w:hyperlink r:id="rId152">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Using a bond graph, Bayrak et al. identified all feasible powertrains and produced comprehensive design sets through exhaustive search </w:t>
      </w:r>
      <w:hyperlink r:id="rId153">
        <w:r>
          <w:rPr>
            <w:rFonts w:ascii="Times New Roman" w:eastAsia="Times New Roman" w:hAnsi="Times New Roman" w:cs="Times New Roman"/>
            <w:color w:val="000000"/>
            <w:sz w:val="24"/>
            <w:szCs w:val="24"/>
          </w:rPr>
          <w:t>[</w:t>
        </w:r>
      </w:hyperlink>
      <w:hyperlink r:id="rId154">
        <w:r>
          <w:rPr>
            <w:rFonts w:ascii="Times New Roman" w:eastAsia="Times New Roman" w:hAnsi="Times New Roman" w:cs="Times New Roman"/>
            <w:sz w:val="24"/>
            <w:szCs w:val="24"/>
          </w:rPr>
          <w:t>71</w:t>
        </w:r>
      </w:hyperlink>
      <w:hyperlink r:id="rId155">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Kim et al. structured all possible single-PG configurations into a compound-level design space and selected the optimal layout by balancing fuel efficiency and drivability </w:t>
      </w:r>
      <w:hyperlink r:id="rId156">
        <w:r>
          <w:rPr>
            <w:rFonts w:ascii="Times New Roman" w:eastAsia="Times New Roman" w:hAnsi="Times New Roman" w:cs="Times New Roman"/>
            <w:color w:val="000000"/>
            <w:sz w:val="24"/>
            <w:szCs w:val="24"/>
          </w:rPr>
          <w:t>[</w:t>
        </w:r>
      </w:hyperlink>
      <w:hyperlink r:id="rId157">
        <w:r>
          <w:rPr>
            <w:rFonts w:ascii="Times New Roman" w:eastAsia="Times New Roman" w:hAnsi="Times New Roman" w:cs="Times New Roman"/>
            <w:sz w:val="24"/>
            <w:szCs w:val="24"/>
          </w:rPr>
          <w:t>72</w:t>
        </w:r>
      </w:hyperlink>
      <w:hyperlink r:id="rId158">
        <w:r>
          <w:rPr>
            <w:rFonts w:ascii="Times New Roman" w:eastAsia="Times New Roman" w:hAnsi="Times New Roman" w:cs="Times New Roman"/>
            <w:color w:val="000000"/>
            <w:sz w:val="24"/>
            <w:szCs w:val="24"/>
          </w:rPr>
          <w:t>], [</w:t>
        </w:r>
      </w:hyperlink>
      <w:hyperlink r:id="rId159">
        <w:r>
          <w:rPr>
            <w:rFonts w:ascii="Times New Roman" w:eastAsia="Times New Roman" w:hAnsi="Times New Roman" w:cs="Times New Roman"/>
            <w:sz w:val="24"/>
            <w:szCs w:val="24"/>
          </w:rPr>
          <w:t>73</w:t>
        </w:r>
      </w:hyperlink>
      <w:hyperlink r:id="rId160">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w:t>
      </w:r>
    </w:p>
    <w:p w14:paraId="4036C1F0"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3.3. Limitations and challenges </w:t>
      </w:r>
      <w:r>
        <w:rPr>
          <w:rFonts w:ascii="Times New Roman" w:eastAsia="Times New Roman" w:hAnsi="Times New Roman" w:cs="Times New Roman"/>
          <w:color w:val="000000"/>
          <w:sz w:val="24"/>
          <w:szCs w:val="24"/>
        </w:rPr>
        <w:t xml:space="preserve"> </w:t>
      </w:r>
    </w:p>
    <w:p w14:paraId="0FBADA8C"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electrical path in power-split HEVs experiences higher energy losses than the mechanical path due to additional conversions. Greater ICE power routed through the electrical path increases losses from the PSD. When either MG is stationary, the engine–generator–motor route transmits no power, achieving maximum efficiency—this is called the </w:t>
      </w:r>
      <w:r>
        <w:rPr>
          <w:rFonts w:ascii="Times New Roman" w:eastAsia="Times New Roman" w:hAnsi="Times New Roman" w:cs="Times New Roman"/>
          <w:sz w:val="24"/>
          <w:szCs w:val="24"/>
        </w:rPr>
        <w:t>"mechanical point."</w:t>
      </w:r>
      <w:r>
        <w:rPr>
          <w:rFonts w:ascii="Times New Roman" w:eastAsia="Times New Roman" w:hAnsi="Times New Roman" w:cs="Times New Roman"/>
          <w:color w:val="000000"/>
          <w:sz w:val="24"/>
          <w:szCs w:val="24"/>
        </w:rPr>
        <w:t xml:space="preserve"> As a result, energy losses in the electrical path can make power-split HEVs less efficient than parallel HEVs in certain cases, especially during high-speed cruising </w:t>
      </w:r>
      <w:hyperlink r:id="rId161">
        <w:r>
          <w:rPr>
            <w:rFonts w:ascii="Times New Roman" w:eastAsia="Times New Roman" w:hAnsi="Times New Roman" w:cs="Times New Roman"/>
            <w:color w:val="000000"/>
            <w:sz w:val="24"/>
            <w:szCs w:val="24"/>
          </w:rPr>
          <w:t>[</w:t>
        </w:r>
      </w:hyperlink>
      <w:hyperlink r:id="rId162">
        <w:r>
          <w:rPr>
            <w:rFonts w:ascii="Times New Roman" w:eastAsia="Times New Roman" w:hAnsi="Times New Roman" w:cs="Times New Roman"/>
            <w:sz w:val="24"/>
            <w:szCs w:val="24"/>
          </w:rPr>
          <w:t>58</w:t>
        </w:r>
      </w:hyperlink>
      <w:hyperlink r:id="rId163">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w:t>
      </w:r>
    </w:p>
    <w:p w14:paraId="0E5EF5D8"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4. Multi-mode hybrid powertrain</w:t>
      </w:r>
      <w:r>
        <w:rPr>
          <w:rFonts w:ascii="Times New Roman" w:eastAsia="Times New Roman" w:hAnsi="Times New Roman" w:cs="Times New Roman"/>
          <w:color w:val="000000"/>
          <w:sz w:val="24"/>
          <w:szCs w:val="24"/>
        </w:rPr>
        <w:t xml:space="preserve"> </w:t>
      </w:r>
    </w:p>
    <w:p w14:paraId="6C0A0FCC"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4.1. Operation mechanism</w:t>
      </w:r>
      <w:r>
        <w:rPr>
          <w:rFonts w:ascii="Times New Roman" w:eastAsia="Times New Roman" w:hAnsi="Times New Roman" w:cs="Times New Roman"/>
          <w:color w:val="000000"/>
          <w:sz w:val="24"/>
          <w:szCs w:val="24"/>
        </w:rPr>
        <w:t xml:space="preserve">  </w:t>
      </w:r>
    </w:p>
    <w:p w14:paraId="590CE504" w14:textId="77777777" w:rsidR="006D0435" w:rsidRDefault="00000000">
      <w:pPr>
        <w:shd w:val="clear" w:color="auto" w:fill="FFFFFF"/>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14300" distB="114300" distL="114300" distR="114300" wp14:anchorId="5DD01D31" wp14:editId="13FCCAE7">
            <wp:extent cx="5734050" cy="1985466"/>
            <wp:effectExtent l="0" t="0" r="0" b="0"/>
            <wp:docPr id="22" name="image10.png" descr="Engine &#10;Wheels &#10;Inverter &#10;Generator &#10;Mechanical &#10;Mechanical &#10;Computing &#10;Transmission &#10;Battery &#10;Inverter &#10;Motor &#10;Wheels "/>
            <wp:cNvGraphicFramePr/>
            <a:graphic xmlns:a="http://schemas.openxmlformats.org/drawingml/2006/main">
              <a:graphicData uri="http://schemas.openxmlformats.org/drawingml/2006/picture">
                <pic:pic xmlns:pic="http://schemas.openxmlformats.org/drawingml/2006/picture">
                  <pic:nvPicPr>
                    <pic:cNvPr id="0" name="image10.png" descr="Engine &#10;Wheels &#10;Inverter &#10;Generator &#10;Mechanical &#10;Mechanical &#10;Computing &#10;Transmission &#10;Battery &#10;Inverter &#10;Motor &#10;Wheels "/>
                    <pic:cNvPicPr preferRelativeResize="0"/>
                  </pic:nvPicPr>
                  <pic:blipFill>
                    <a:blip r:embed="rId164"/>
                    <a:srcRect t="3941"/>
                    <a:stretch>
                      <a:fillRect/>
                    </a:stretch>
                  </pic:blipFill>
                  <pic:spPr>
                    <a:xfrm>
                      <a:off x="0" y="0"/>
                      <a:ext cx="5734050" cy="1985466"/>
                    </a:xfrm>
                    <a:prstGeom prst="rect">
                      <a:avLst/>
                    </a:prstGeom>
                    <a:ln/>
                  </pic:spPr>
                </pic:pic>
              </a:graphicData>
            </a:graphic>
          </wp:inline>
        </w:drawing>
      </w:r>
    </w:p>
    <w:p w14:paraId="5EBAB779" w14:textId="77777777" w:rsidR="006D0435" w:rsidRDefault="00000000">
      <w:pPr>
        <w:shd w:val="clear" w:color="auto" w:fill="FFFFFF"/>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Fig. 5. Schematic of Multi-Mode Hybrid </w:t>
      </w:r>
      <w:proofErr w:type="spellStart"/>
      <w:r>
        <w:rPr>
          <w:rFonts w:ascii="Times New Roman" w:eastAsia="Times New Roman" w:hAnsi="Times New Roman" w:cs="Times New Roman"/>
          <w:color w:val="000000"/>
          <w:sz w:val="24"/>
          <w:szCs w:val="24"/>
        </w:rPr>
        <w:t>Powerstrain</w:t>
      </w:r>
      <w:proofErr w:type="spellEnd"/>
      <w:r>
        <w:rPr>
          <w:rFonts w:ascii="Times New Roman" w:eastAsia="Times New Roman" w:hAnsi="Times New Roman" w:cs="Times New Roman"/>
          <w:color w:val="000000"/>
          <w:sz w:val="24"/>
          <w:szCs w:val="24"/>
        </w:rPr>
        <w:t xml:space="preserve"> </w:t>
      </w:r>
    </w:p>
    <w:p w14:paraId="3C1D81D0"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multi-mode hybrid powertrain is created by incorporating clutches into parallel or power-split systems, allowing a single drivetrain to operate in series, parallel, or power-split modes. Each mode is considered a subtype or operating mode. This flexibility enables higher energy efficiency and performance compared with the previously discussed HEV configurations </w:t>
      </w:r>
      <w:hyperlink r:id="rId165">
        <w:r>
          <w:rPr>
            <w:rFonts w:ascii="Times New Roman" w:eastAsia="Times New Roman" w:hAnsi="Times New Roman" w:cs="Times New Roman"/>
            <w:color w:val="000000"/>
            <w:sz w:val="24"/>
            <w:szCs w:val="24"/>
          </w:rPr>
          <w:t>[</w:t>
        </w:r>
      </w:hyperlink>
      <w:hyperlink r:id="rId166">
        <w:r>
          <w:rPr>
            <w:rFonts w:ascii="Times New Roman" w:eastAsia="Times New Roman" w:hAnsi="Times New Roman" w:cs="Times New Roman"/>
            <w:sz w:val="24"/>
            <w:szCs w:val="24"/>
          </w:rPr>
          <w:t>54</w:t>
        </w:r>
      </w:hyperlink>
      <w:hyperlink r:id="rId167">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w:t>
      </w:r>
    </w:p>
    <w:p w14:paraId="5309CEC5"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4.2. Sub-types and typical models</w:t>
      </w:r>
      <w:r>
        <w:rPr>
          <w:rFonts w:ascii="Times New Roman" w:eastAsia="Times New Roman" w:hAnsi="Times New Roman" w:cs="Times New Roman"/>
          <w:color w:val="000000"/>
          <w:sz w:val="24"/>
          <w:szCs w:val="24"/>
        </w:rPr>
        <w:t xml:space="preserve">  </w:t>
      </w:r>
    </w:p>
    <w:p w14:paraId="3A4E3CF9"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Multi-mode hybrids are classified into two subtypes—series-parallel and PG-coupled—depending on whether planetary gear sets are used to link the powertrain components.</w:t>
      </w:r>
    </w:p>
    <w:p w14:paraId="6685FB64"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(1) Series-parallel multi-mode configuration </w:t>
      </w:r>
      <w:r>
        <w:rPr>
          <w:rFonts w:ascii="Times New Roman" w:eastAsia="Times New Roman" w:hAnsi="Times New Roman" w:cs="Times New Roman"/>
          <w:color w:val="000000"/>
          <w:sz w:val="24"/>
          <w:szCs w:val="24"/>
        </w:rPr>
        <w:t xml:space="preserve"> </w:t>
      </w:r>
    </w:p>
    <w:p w14:paraId="3D0A0A7D"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series-parallel subtype was first introduced by Honda in 2014 in its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xml:space="preserve">-MMD system, which is installed in the Accord plug-in hybrid. Two MGs are used in this configuration: One is fully coupled with the ICE, and the other connects directly to the drive shaft </w:t>
      </w:r>
      <w:hyperlink r:id="rId168">
        <w:r>
          <w:rPr>
            <w:rFonts w:ascii="Times New Roman" w:eastAsia="Times New Roman" w:hAnsi="Times New Roman" w:cs="Times New Roman"/>
            <w:color w:val="000000"/>
            <w:sz w:val="24"/>
            <w:szCs w:val="24"/>
          </w:rPr>
          <w:t>[48]</w:t>
        </w:r>
      </w:hyperlink>
      <w:r>
        <w:rPr>
          <w:rFonts w:ascii="Times New Roman" w:eastAsia="Times New Roman" w:hAnsi="Times New Roman" w:cs="Times New Roman"/>
          <w:color w:val="000000"/>
          <w:sz w:val="24"/>
          <w:szCs w:val="24"/>
        </w:rPr>
        <w:t xml:space="preserve">. A clutch disconnects the ICE from the output shaft, enabling three modes: EV, series, and parallel. The mode-shifting strategy prevents inefficient engine operation—EV mode is used when battery SOC is high, while series and parallel modes engage at low and high speeds, respectively. A conventional transmission is no longer needed, reducing drivetrain cost. However, because a mechanical link remains between the ICE and driveshaft in parallel mode, the engine cannot operate at optimal efficiency across all speeds </w:t>
      </w:r>
      <w:hyperlink r:id="rId169">
        <w:r>
          <w:rPr>
            <w:rFonts w:ascii="Times New Roman" w:eastAsia="Times New Roman" w:hAnsi="Times New Roman" w:cs="Times New Roman"/>
            <w:color w:val="000000"/>
            <w:sz w:val="24"/>
            <w:szCs w:val="24"/>
          </w:rPr>
          <w:t>[</w:t>
        </w:r>
      </w:hyperlink>
      <w:hyperlink r:id="rId170">
        <w:r>
          <w:rPr>
            <w:rFonts w:ascii="Times New Roman" w:eastAsia="Times New Roman" w:hAnsi="Times New Roman" w:cs="Times New Roman"/>
            <w:sz w:val="24"/>
            <w:szCs w:val="24"/>
          </w:rPr>
          <w:t>54</w:t>
        </w:r>
      </w:hyperlink>
      <w:hyperlink r:id="rId171">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w:t>
      </w:r>
    </w:p>
    <w:p w14:paraId="45412B1C" w14:textId="77777777" w:rsidR="006D0435" w:rsidRDefault="00000000">
      <w:pPr>
        <w:shd w:val="clear" w:color="auto" w:fill="FFFFFF"/>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 PG coupling multi-mode configuration</w:t>
      </w:r>
    </w:p>
    <w:p w14:paraId="701FB8DF"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PG-coupling subtype is created by inserting clutches between the planetary gear nodes in a power-split layout, with the Advanced Hybrid System, patented by General Motors in 2002, serving as a typical example </w:t>
      </w:r>
      <w:hyperlink r:id="rId172">
        <w:r>
          <w:rPr>
            <w:rFonts w:ascii="Times New Roman" w:eastAsia="Times New Roman" w:hAnsi="Times New Roman" w:cs="Times New Roman"/>
            <w:color w:val="000000"/>
            <w:sz w:val="24"/>
            <w:szCs w:val="24"/>
          </w:rPr>
          <w:t>[</w:t>
        </w:r>
      </w:hyperlink>
      <w:hyperlink r:id="rId173">
        <w:r>
          <w:rPr>
            <w:rFonts w:ascii="Times New Roman" w:eastAsia="Times New Roman" w:hAnsi="Times New Roman" w:cs="Times New Roman"/>
            <w:sz w:val="24"/>
            <w:szCs w:val="24"/>
          </w:rPr>
          <w:t>68</w:t>
        </w:r>
      </w:hyperlink>
      <w:hyperlink r:id="rId174">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By engaging and disengaging the two clutches, the system can operate in either input-split or compound-split mode. Input-split delivers high output torque, ideal for low-speed driving, while compound-split improves efficiency at high speeds by limiting MG2’s speed rise with vehicle velocity. Proper mode selection thus enhances fuel economy and </w:t>
      </w:r>
      <w:proofErr w:type="gramStart"/>
      <w:r>
        <w:rPr>
          <w:rFonts w:ascii="Times New Roman" w:eastAsia="Times New Roman" w:hAnsi="Times New Roman" w:cs="Times New Roman"/>
          <w:color w:val="000000"/>
          <w:sz w:val="24"/>
          <w:szCs w:val="24"/>
        </w:rPr>
        <w:t>launch</w:t>
      </w:r>
      <w:proofErr w:type="gramEnd"/>
      <w:r>
        <w:rPr>
          <w:rFonts w:ascii="Times New Roman" w:eastAsia="Times New Roman" w:hAnsi="Times New Roman" w:cs="Times New Roman"/>
          <w:color w:val="000000"/>
          <w:sz w:val="24"/>
          <w:szCs w:val="24"/>
        </w:rPr>
        <w:t xml:space="preserve"> performance, especially for buses that demand high torque at low speeds. </w:t>
      </w:r>
      <w:hyperlink r:id="rId175">
        <w:r>
          <w:rPr>
            <w:rFonts w:ascii="Times New Roman" w:eastAsia="Times New Roman" w:hAnsi="Times New Roman" w:cs="Times New Roman"/>
            <w:color w:val="000000"/>
            <w:sz w:val="24"/>
            <w:szCs w:val="24"/>
          </w:rPr>
          <w:t>[</w:t>
        </w:r>
      </w:hyperlink>
      <w:hyperlink r:id="rId176">
        <w:r>
          <w:rPr>
            <w:rFonts w:ascii="Times New Roman" w:eastAsia="Times New Roman" w:hAnsi="Times New Roman" w:cs="Times New Roman"/>
            <w:sz w:val="24"/>
            <w:szCs w:val="24"/>
          </w:rPr>
          <w:t>54</w:t>
        </w:r>
      </w:hyperlink>
      <w:hyperlink r:id="rId177">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w:t>
      </w:r>
    </w:p>
    <w:p w14:paraId="0C042BD7"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Alongside AHS, GM launched the </w:t>
      </w:r>
      <w:proofErr w:type="spellStart"/>
      <w:r>
        <w:rPr>
          <w:rFonts w:ascii="Times New Roman" w:eastAsia="Times New Roman" w:hAnsi="Times New Roman" w:cs="Times New Roman"/>
          <w:color w:val="000000"/>
          <w:sz w:val="24"/>
          <w:szCs w:val="24"/>
        </w:rPr>
        <w:t>Voltec</w:t>
      </w:r>
      <w:proofErr w:type="spellEnd"/>
      <w:r>
        <w:rPr>
          <w:rFonts w:ascii="Times New Roman" w:eastAsia="Times New Roman" w:hAnsi="Times New Roman" w:cs="Times New Roman"/>
          <w:color w:val="000000"/>
          <w:sz w:val="24"/>
          <w:szCs w:val="24"/>
        </w:rPr>
        <w:t xml:space="preserve"> multi-mode powertrain in 2011, starting with a single-PG setup and three clutches (Gen1) [</w:t>
      </w:r>
      <w:r>
        <w:rPr>
          <w:rFonts w:ascii="Times New Roman" w:eastAsia="Times New Roman" w:hAnsi="Times New Roman" w:cs="Times New Roman"/>
          <w:sz w:val="24"/>
          <w:szCs w:val="24"/>
        </w:rPr>
        <w:t>76</w:t>
      </w:r>
      <w:r>
        <w:rPr>
          <w:rFonts w:ascii="Times New Roman" w:eastAsia="Times New Roman" w:hAnsi="Times New Roman" w:cs="Times New Roman"/>
          <w:color w:val="000000"/>
          <w:sz w:val="24"/>
          <w:szCs w:val="24"/>
        </w:rPr>
        <w:t xml:space="preserve">], which was upgraded to a dual-PG design (Gen2) in 2015 </w:t>
      </w:r>
      <w:hyperlink r:id="rId178">
        <w:r>
          <w:rPr>
            <w:rFonts w:ascii="Times New Roman" w:eastAsia="Times New Roman" w:hAnsi="Times New Roman" w:cs="Times New Roman"/>
            <w:color w:val="000000"/>
            <w:sz w:val="24"/>
            <w:szCs w:val="24"/>
          </w:rPr>
          <w:t>[63]</w:t>
        </w:r>
      </w:hyperlink>
      <w:r>
        <w:rPr>
          <w:rFonts w:ascii="Times New Roman" w:eastAsia="Times New Roman" w:hAnsi="Times New Roman" w:cs="Times New Roman"/>
          <w:color w:val="000000"/>
          <w:sz w:val="24"/>
          <w:szCs w:val="24"/>
        </w:rPr>
        <w:t>.  The Gen2 system’s three clutches provide five distinct operating modes, featuring input-split and compound-split modes like AHS, as well as two EV modes to support plug-in operation.</w:t>
      </w:r>
    </w:p>
    <w:p w14:paraId="17128F14"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Toyota created a multi-mode hybrid system by integrating a </w:t>
      </w:r>
      <w:proofErr w:type="spellStart"/>
      <w:r>
        <w:rPr>
          <w:rFonts w:ascii="Times New Roman" w:eastAsia="Times New Roman" w:hAnsi="Times New Roman" w:cs="Times New Roman"/>
          <w:color w:val="000000"/>
          <w:sz w:val="24"/>
          <w:szCs w:val="24"/>
        </w:rPr>
        <w:t>Ravigneaux</w:t>
      </w:r>
      <w:proofErr w:type="spellEnd"/>
      <w:r>
        <w:rPr>
          <w:rFonts w:ascii="Times New Roman" w:eastAsia="Times New Roman" w:hAnsi="Times New Roman" w:cs="Times New Roman"/>
          <w:color w:val="000000"/>
          <w:sz w:val="24"/>
          <w:szCs w:val="24"/>
        </w:rPr>
        <w:t xml:space="preserve">-type planetary gear and two clutches into its THS </w:t>
      </w:r>
      <w:hyperlink r:id="rId179">
        <w:r>
          <w:rPr>
            <w:rFonts w:ascii="Times New Roman" w:eastAsia="Times New Roman" w:hAnsi="Times New Roman" w:cs="Times New Roman"/>
            <w:color w:val="000000"/>
            <w:sz w:val="24"/>
            <w:szCs w:val="24"/>
          </w:rPr>
          <w:t>[</w:t>
        </w:r>
      </w:hyperlink>
      <w:hyperlink r:id="rId180">
        <w:r>
          <w:rPr>
            <w:rFonts w:ascii="Times New Roman" w:eastAsia="Times New Roman" w:hAnsi="Times New Roman" w:cs="Times New Roman"/>
            <w:sz w:val="24"/>
            <w:szCs w:val="24"/>
          </w:rPr>
          <w:t>75</w:t>
        </w:r>
      </w:hyperlink>
      <w:hyperlink r:id="rId181">
        <w:r>
          <w:rPr>
            <w:rFonts w:ascii="Times New Roman" w:eastAsia="Times New Roman" w:hAnsi="Times New Roman" w:cs="Times New Roman"/>
            <w:color w:val="000000"/>
            <w:sz w:val="24"/>
            <w:szCs w:val="24"/>
          </w:rPr>
          <w:t>], [</w:t>
        </w:r>
      </w:hyperlink>
      <w:hyperlink r:id="rId182">
        <w:r>
          <w:rPr>
            <w:rFonts w:ascii="Times New Roman" w:eastAsia="Times New Roman" w:hAnsi="Times New Roman" w:cs="Times New Roman"/>
            <w:sz w:val="24"/>
            <w:szCs w:val="24"/>
          </w:rPr>
          <w:t>76</w:t>
        </w:r>
      </w:hyperlink>
      <w:hyperlink r:id="rId183">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The second MG’s gear ratio is shifted between low and high settings for low- and high-speed operation, respectively. In 2017, Toyota enhanced the THS by integrating a four-speed automatic transmission to increase output torque for a more powerful hybrid system </w:t>
      </w:r>
      <w:hyperlink r:id="rId184">
        <w:r>
          <w:rPr>
            <w:rFonts w:ascii="Times New Roman" w:eastAsia="Times New Roman" w:hAnsi="Times New Roman" w:cs="Times New Roman"/>
            <w:color w:val="000000"/>
            <w:sz w:val="24"/>
            <w:szCs w:val="24"/>
          </w:rPr>
          <w:t>[</w:t>
        </w:r>
      </w:hyperlink>
      <w:hyperlink r:id="rId185">
        <w:r>
          <w:rPr>
            <w:rFonts w:ascii="Times New Roman" w:eastAsia="Times New Roman" w:hAnsi="Times New Roman" w:cs="Times New Roman"/>
            <w:sz w:val="24"/>
            <w:szCs w:val="24"/>
          </w:rPr>
          <w:t>77</w:t>
        </w:r>
      </w:hyperlink>
      <w:hyperlink r:id="rId186">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This configuration forms the multi-stage hybrid system used in Lexus LC 500h and LS 500h models </w:t>
      </w:r>
      <w:hyperlink r:id="rId187">
        <w:r>
          <w:rPr>
            <w:rFonts w:ascii="Times New Roman" w:eastAsia="Times New Roman" w:hAnsi="Times New Roman" w:cs="Times New Roman"/>
            <w:color w:val="000000"/>
            <w:sz w:val="24"/>
            <w:szCs w:val="24"/>
          </w:rPr>
          <w:t>[78]</w:t>
        </w:r>
      </w:hyperlink>
      <w:r>
        <w:rPr>
          <w:rFonts w:ascii="Times New Roman" w:eastAsia="Times New Roman" w:hAnsi="Times New Roman" w:cs="Times New Roman"/>
          <w:color w:val="000000"/>
          <w:sz w:val="24"/>
          <w:szCs w:val="24"/>
        </w:rPr>
        <w:t xml:space="preserve">. </w:t>
      </w:r>
    </w:p>
    <w:p w14:paraId="3E07C00B"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Despite numerous patented multi-mode designs, a significant portion of possible configurations has yet to be investigated </w:t>
      </w:r>
      <w:hyperlink r:id="rId188">
        <w:r>
          <w:rPr>
            <w:rFonts w:ascii="Times New Roman" w:eastAsia="Times New Roman" w:hAnsi="Times New Roman" w:cs="Times New Roman"/>
            <w:color w:val="000000"/>
            <w:sz w:val="24"/>
            <w:szCs w:val="24"/>
          </w:rPr>
          <w:t>[</w:t>
        </w:r>
      </w:hyperlink>
      <w:hyperlink r:id="rId189">
        <w:r>
          <w:rPr>
            <w:rFonts w:ascii="Times New Roman" w:eastAsia="Times New Roman" w:hAnsi="Times New Roman" w:cs="Times New Roman"/>
            <w:sz w:val="24"/>
            <w:szCs w:val="24"/>
          </w:rPr>
          <w:t>79</w:t>
        </w:r>
      </w:hyperlink>
      <w:hyperlink r:id="rId190">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A multi-mode hybrid can be created through two approaches. The first adjusts the placement of key powertrain components—engine, two MGs, and the output node to the drive axle—allowing each element to connect to any node of the PG sets. The second approach varies the number and arrangement of </w:t>
      </w:r>
      <w:r>
        <w:rPr>
          <w:rFonts w:ascii="Times New Roman" w:eastAsia="Times New Roman" w:hAnsi="Times New Roman" w:cs="Times New Roman"/>
          <w:color w:val="000000"/>
          <w:sz w:val="24"/>
          <w:szCs w:val="24"/>
        </w:rPr>
        <w:lastRenderedPageBreak/>
        <w:t xml:space="preserve">permanent links and clutches, producing distinct hybrid configurations. The total number of clutches that can link two nodes, or a node to the ground, is determined by a combinatorial formula, which is as follows </w:t>
      </w:r>
      <w:hyperlink r:id="rId191">
        <w:r>
          <w:rPr>
            <w:rFonts w:ascii="Times New Roman" w:eastAsia="Times New Roman" w:hAnsi="Times New Roman" w:cs="Times New Roman"/>
            <w:sz w:val="24"/>
            <w:szCs w:val="24"/>
          </w:rPr>
          <w:t>[54]</w:t>
        </w:r>
      </w:hyperlink>
      <w:r>
        <w:rPr>
          <w:rFonts w:ascii="Times New Roman" w:eastAsia="Times New Roman" w:hAnsi="Times New Roman" w:cs="Times New Roman"/>
          <w:color w:val="000000"/>
          <w:sz w:val="24"/>
          <w:szCs w:val="24"/>
        </w:rPr>
        <w:t xml:space="preserve">: </w:t>
      </w:r>
    </w:p>
    <w:p w14:paraId="4A5F2E4D"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N</w:t>
      </w:r>
      <w:r>
        <w:rPr>
          <w:rFonts w:ascii="Times New Roman" w:eastAsia="Times New Roman" w:hAnsi="Times New Roman" w:cs="Times New Roman"/>
          <w:color w:val="000000"/>
          <w:sz w:val="24"/>
          <w:szCs w:val="24"/>
          <w:vertAlign w:val="subscript"/>
        </w:rPr>
        <w:t>clutch</w:t>
      </w:r>
      <w:proofErr w:type="spellEnd"/>
      <w:r>
        <w:rPr>
          <w:rFonts w:ascii="Times New Roman" w:eastAsia="Times New Roman" w:hAnsi="Times New Roman" w:cs="Times New Roman"/>
          <w:color w:val="000000"/>
          <w:sz w:val="24"/>
          <w:szCs w:val="24"/>
          <w:vertAlign w:val="subscript"/>
        </w:rPr>
        <w:t xml:space="preserve"> </w:t>
      </w:r>
      <w:r>
        <w:rPr>
          <w:rFonts w:ascii="Times New Roman" w:eastAsia="Times New Roman" w:hAnsi="Times New Roman" w:cs="Times New Roman"/>
          <w:color w:val="000000"/>
          <w:sz w:val="24"/>
          <w:szCs w:val="24"/>
        </w:rPr>
        <w:t>= C</w:t>
      </w:r>
      <w:r>
        <w:rPr>
          <w:rFonts w:ascii="Times New Roman" w:eastAsia="Times New Roman" w:hAnsi="Times New Roman" w:cs="Times New Roman"/>
          <w:color w:val="000000"/>
          <w:sz w:val="24"/>
          <w:szCs w:val="24"/>
          <w:vertAlign w:val="subscript"/>
        </w:rPr>
        <w:t>3Np</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xml:space="preserve"> + 3N</w:t>
      </w:r>
      <w:r>
        <w:rPr>
          <w:rFonts w:ascii="Times New Roman" w:eastAsia="Times New Roman" w:hAnsi="Times New Roman" w:cs="Times New Roman"/>
          <w:color w:val="000000"/>
          <w:sz w:val="24"/>
          <w:szCs w:val="24"/>
          <w:vertAlign w:val="subscript"/>
        </w:rPr>
        <w:t>p</w:t>
      </w:r>
      <w:r>
        <w:rPr>
          <w:rFonts w:ascii="Times New Roman" w:eastAsia="Times New Roman" w:hAnsi="Times New Roman" w:cs="Times New Roman"/>
          <w:color w:val="000000"/>
          <w:sz w:val="24"/>
          <w:szCs w:val="24"/>
        </w:rPr>
        <w:t xml:space="preserve"> - 2N</w:t>
      </w:r>
      <w:r>
        <w:rPr>
          <w:rFonts w:ascii="Times New Roman" w:eastAsia="Times New Roman" w:hAnsi="Times New Roman" w:cs="Times New Roman"/>
          <w:color w:val="000000"/>
          <w:sz w:val="24"/>
          <w:szCs w:val="24"/>
          <w:vertAlign w:val="subscript"/>
        </w:rPr>
        <w:t>p</w:t>
      </w:r>
      <w:r>
        <w:rPr>
          <w:rFonts w:ascii="Times New Roman" w:eastAsia="Times New Roman" w:hAnsi="Times New Roman" w:cs="Times New Roman"/>
          <w:color w:val="000000"/>
          <w:sz w:val="24"/>
          <w:szCs w:val="24"/>
        </w:rPr>
        <w:t xml:space="preserve"> – 1                                                                                </w:t>
      </w:r>
      <w:proofErr w:type="gramStart"/>
      <w:r>
        <w:rPr>
          <w:rFonts w:ascii="Times New Roman" w:eastAsia="Times New Roman" w:hAnsi="Times New Roman" w:cs="Times New Roman"/>
          <w:color w:val="000000"/>
          <w:sz w:val="24"/>
          <w:szCs w:val="24"/>
        </w:rPr>
        <w:t xml:space="preserve">   (</w:t>
      </w:r>
      <w:proofErr w:type="gramEnd"/>
      <w:r>
        <w:rPr>
          <w:rFonts w:ascii="Times New Roman" w:eastAsia="Times New Roman" w:hAnsi="Times New Roman" w:cs="Times New Roman"/>
          <w:color w:val="000000"/>
          <w:sz w:val="24"/>
          <w:szCs w:val="24"/>
        </w:rPr>
        <w:t xml:space="preserve">1) </w:t>
      </w:r>
    </w:p>
    <w:p w14:paraId="408024AD"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first term counts clutches that can connect any two nodes, while the second term accounts for all possible grounding clutches. The third term removes duplicates, as locking any two of the three PG nodes results in identical dynamics. The output node is excluded from grounding. By varying component placements and clutch positions, the number of potential configurations reaches into the billions [</w:t>
      </w:r>
      <w:r>
        <w:rPr>
          <w:rFonts w:ascii="Times New Roman" w:eastAsia="Times New Roman" w:hAnsi="Times New Roman" w:cs="Times New Roman"/>
          <w:sz w:val="24"/>
          <w:szCs w:val="24"/>
        </w:rPr>
        <w:t>81</w:t>
      </w:r>
      <w:r>
        <w:rPr>
          <w:rFonts w:ascii="Times New Roman" w:eastAsia="Times New Roman" w:hAnsi="Times New Roman" w:cs="Times New Roman"/>
          <w:color w:val="000000"/>
          <w:sz w:val="24"/>
          <w:szCs w:val="24"/>
        </w:rPr>
        <w:t xml:space="preserve">]. </w:t>
      </w:r>
    </w:p>
    <w:p w14:paraId="0F0BDF7C"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highlight w:val="white"/>
        </w:rPr>
        <w:t>4.3. Limitations and challenges</w:t>
      </w:r>
      <w:r>
        <w:rPr>
          <w:rFonts w:ascii="Times New Roman" w:eastAsia="Times New Roman" w:hAnsi="Times New Roman" w:cs="Times New Roman"/>
          <w:color w:val="000000"/>
          <w:sz w:val="24"/>
          <w:szCs w:val="24"/>
        </w:rPr>
        <w:t xml:space="preserve">  </w:t>
      </w:r>
    </w:p>
    <w:p w14:paraId="55895B55"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Using multiple operating modes can lead to significant mode-shift issues [</w:t>
      </w:r>
      <w:r>
        <w:rPr>
          <w:rFonts w:ascii="Times New Roman" w:eastAsia="Times New Roman" w:hAnsi="Times New Roman" w:cs="Times New Roman"/>
          <w:sz w:val="24"/>
          <w:szCs w:val="24"/>
        </w:rPr>
        <w:t>80</w:t>
      </w:r>
      <w:r>
        <w:rPr>
          <w:rFonts w:ascii="Times New Roman" w:eastAsia="Times New Roman" w:hAnsi="Times New Roman" w:cs="Times New Roman"/>
          <w:color w:val="000000"/>
          <w:sz w:val="24"/>
          <w:szCs w:val="24"/>
        </w:rPr>
        <w:t xml:space="preserve">], and incorrect transitions may elevate noise, vibration, and harshness (NVH) levels </w:t>
      </w:r>
      <w:hyperlink r:id="rId192">
        <w:r>
          <w:rPr>
            <w:rFonts w:ascii="Times New Roman" w:eastAsia="Times New Roman" w:hAnsi="Times New Roman" w:cs="Times New Roman"/>
            <w:color w:val="000000"/>
            <w:sz w:val="24"/>
            <w:szCs w:val="24"/>
          </w:rPr>
          <w:t>[</w:t>
        </w:r>
      </w:hyperlink>
      <w:hyperlink r:id="rId193">
        <w:r>
          <w:rPr>
            <w:rFonts w:ascii="Times New Roman" w:eastAsia="Times New Roman" w:hAnsi="Times New Roman" w:cs="Times New Roman"/>
            <w:sz w:val="24"/>
            <w:szCs w:val="24"/>
          </w:rPr>
          <w:t>80</w:t>
        </w:r>
      </w:hyperlink>
      <w:hyperlink r:id="rId194">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raise energy consumption </w:t>
      </w:r>
      <w:hyperlink r:id="rId195">
        <w:r>
          <w:rPr>
            <w:rFonts w:ascii="Times New Roman" w:eastAsia="Times New Roman" w:hAnsi="Times New Roman" w:cs="Times New Roman"/>
            <w:color w:val="000000"/>
            <w:sz w:val="24"/>
            <w:szCs w:val="24"/>
          </w:rPr>
          <w:t>[</w:t>
        </w:r>
      </w:hyperlink>
      <w:hyperlink r:id="rId196">
        <w:r>
          <w:rPr>
            <w:rFonts w:ascii="Times New Roman" w:eastAsia="Times New Roman" w:hAnsi="Times New Roman" w:cs="Times New Roman"/>
            <w:sz w:val="24"/>
            <w:szCs w:val="24"/>
          </w:rPr>
          <w:t>81</w:t>
        </w:r>
      </w:hyperlink>
      <w:hyperlink r:id="rId197">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and negatively affect ride comfort </w:t>
      </w:r>
      <w:hyperlink r:id="rId198">
        <w:r>
          <w:rPr>
            <w:rFonts w:ascii="Times New Roman" w:eastAsia="Times New Roman" w:hAnsi="Times New Roman" w:cs="Times New Roman"/>
            <w:color w:val="000000"/>
            <w:sz w:val="24"/>
            <w:szCs w:val="24"/>
          </w:rPr>
          <w:t>[</w:t>
        </w:r>
      </w:hyperlink>
      <w:hyperlink r:id="rId199">
        <w:r>
          <w:rPr>
            <w:rFonts w:ascii="Times New Roman" w:eastAsia="Times New Roman" w:hAnsi="Times New Roman" w:cs="Times New Roman"/>
            <w:sz w:val="24"/>
            <w:szCs w:val="24"/>
          </w:rPr>
          <w:t>82</w:t>
        </w:r>
      </w:hyperlink>
      <w:hyperlink r:id="rId200">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as well as vehicle drivability </w:t>
      </w:r>
      <w:hyperlink r:id="rId201">
        <w:r>
          <w:rPr>
            <w:rFonts w:ascii="Times New Roman" w:eastAsia="Times New Roman" w:hAnsi="Times New Roman" w:cs="Times New Roman"/>
            <w:color w:val="000000"/>
            <w:sz w:val="24"/>
            <w:szCs w:val="24"/>
          </w:rPr>
          <w:t>[</w:t>
        </w:r>
      </w:hyperlink>
      <w:hyperlink r:id="rId202">
        <w:r>
          <w:rPr>
            <w:rFonts w:ascii="Times New Roman" w:eastAsia="Times New Roman" w:hAnsi="Times New Roman" w:cs="Times New Roman"/>
            <w:sz w:val="24"/>
            <w:szCs w:val="24"/>
          </w:rPr>
          <w:t>83</w:t>
        </w:r>
      </w:hyperlink>
      <w:hyperlink r:id="rId203">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w:t>
      </w:r>
    </w:p>
    <w:p w14:paraId="1181AA11"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mitigate the adverse effects of mode shifts, researchers have focused on studying transitions in series-parallel HEVs, especially from EV mode to hybrid-drive modes </w:t>
      </w:r>
      <w:hyperlink r:id="rId204">
        <w:r>
          <w:rPr>
            <w:rFonts w:ascii="Times New Roman" w:eastAsia="Times New Roman" w:hAnsi="Times New Roman" w:cs="Times New Roman"/>
            <w:color w:val="000000"/>
            <w:sz w:val="24"/>
            <w:szCs w:val="24"/>
          </w:rPr>
          <w:t>[</w:t>
        </w:r>
      </w:hyperlink>
      <w:hyperlink r:id="rId205">
        <w:r>
          <w:rPr>
            <w:rFonts w:ascii="Times New Roman" w:eastAsia="Times New Roman" w:hAnsi="Times New Roman" w:cs="Times New Roman"/>
            <w:sz w:val="24"/>
            <w:szCs w:val="24"/>
          </w:rPr>
          <w:t>84</w:t>
        </w:r>
      </w:hyperlink>
      <w:hyperlink r:id="rId206">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w:t>
      </w:r>
    </w:p>
    <w:p w14:paraId="36660E04"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Compared with series-parallel HEVs, PG-based multi-mode HEVs exhibit higher NVH, as they use PG sets to mechanically link the engine and driveline without a torque converter or clutch, which in series-parallel HEVs helps passively damp vibrations. Studies on PG-based multi-mode HEVs have approached mode shifts from two angles, the first being mode-shift map design </w:t>
      </w:r>
      <w:hyperlink r:id="rId207">
        <w:r>
          <w:rPr>
            <w:rFonts w:ascii="Times New Roman" w:eastAsia="Times New Roman" w:hAnsi="Times New Roman" w:cs="Times New Roman"/>
            <w:color w:val="000000"/>
            <w:sz w:val="24"/>
            <w:szCs w:val="24"/>
          </w:rPr>
          <w:t>[</w:t>
        </w:r>
      </w:hyperlink>
      <w:hyperlink r:id="rId208">
        <w:r>
          <w:rPr>
            <w:rFonts w:ascii="Times New Roman" w:eastAsia="Times New Roman" w:hAnsi="Times New Roman" w:cs="Times New Roman"/>
            <w:sz w:val="24"/>
            <w:szCs w:val="24"/>
          </w:rPr>
          <w:t>85</w:t>
        </w:r>
      </w:hyperlink>
      <w:hyperlink r:id="rId209">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and mode-transition control. Mode-shift duration should be kept as short as possible to minimize torque gaps and energy losses during transitions. At the same time, driveline torsional vibrations and engine torque pulsations must be controlled to reduce NVH </w:t>
      </w:r>
      <w:hyperlink r:id="rId210">
        <w:r>
          <w:rPr>
            <w:rFonts w:ascii="Times New Roman" w:eastAsia="Times New Roman" w:hAnsi="Times New Roman" w:cs="Times New Roman"/>
            <w:color w:val="000000"/>
            <w:sz w:val="24"/>
            <w:szCs w:val="24"/>
          </w:rPr>
          <w:t>[</w:t>
        </w:r>
      </w:hyperlink>
      <w:hyperlink r:id="rId211">
        <w:r>
          <w:rPr>
            <w:rFonts w:ascii="Times New Roman" w:eastAsia="Times New Roman" w:hAnsi="Times New Roman" w:cs="Times New Roman"/>
            <w:sz w:val="24"/>
            <w:szCs w:val="24"/>
          </w:rPr>
          <w:t>80</w:t>
        </w:r>
      </w:hyperlink>
      <w:hyperlink r:id="rId212">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and enhance vehicle drivability </w:t>
      </w:r>
      <w:hyperlink r:id="rId213">
        <w:r>
          <w:rPr>
            <w:rFonts w:ascii="Times New Roman" w:eastAsia="Times New Roman" w:hAnsi="Times New Roman" w:cs="Times New Roman"/>
            <w:color w:val="000000"/>
            <w:sz w:val="24"/>
            <w:szCs w:val="24"/>
          </w:rPr>
          <w:t>[</w:t>
        </w:r>
      </w:hyperlink>
      <w:hyperlink r:id="rId214">
        <w:r>
          <w:rPr>
            <w:rFonts w:ascii="Times New Roman" w:eastAsia="Times New Roman" w:hAnsi="Times New Roman" w:cs="Times New Roman"/>
            <w:sz w:val="24"/>
            <w:szCs w:val="24"/>
          </w:rPr>
          <w:t>83</w:t>
        </w:r>
      </w:hyperlink>
      <w:hyperlink r:id="rId215">
        <w:r>
          <w:rPr>
            <w:rFonts w:ascii="Times New Roman" w:eastAsia="Times New Roman" w:hAnsi="Times New Roman" w:cs="Times New Roman"/>
            <w:color w:val="000000"/>
            <w:sz w:val="24"/>
            <w:szCs w:val="24"/>
          </w:rPr>
          <w:t>], [</w:t>
        </w:r>
      </w:hyperlink>
      <w:hyperlink r:id="rId216">
        <w:r>
          <w:rPr>
            <w:rFonts w:ascii="Times New Roman" w:eastAsia="Times New Roman" w:hAnsi="Times New Roman" w:cs="Times New Roman"/>
            <w:sz w:val="24"/>
            <w:szCs w:val="24"/>
          </w:rPr>
          <w:t>86</w:t>
        </w:r>
      </w:hyperlink>
      <w:hyperlink r:id="rId217">
        <w:r>
          <w:rPr>
            <w:rFonts w:ascii="Times New Roman" w:eastAsia="Times New Roman" w:hAnsi="Times New Roman" w:cs="Times New Roman"/>
            <w:color w:val="000000"/>
            <w:sz w:val="24"/>
            <w:szCs w:val="24"/>
          </w:rPr>
          <w:t>]</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87</w:t>
      </w:r>
      <w:r>
        <w:rPr>
          <w:rFonts w:ascii="Times New Roman" w:eastAsia="Times New Roman" w:hAnsi="Times New Roman" w:cs="Times New Roman"/>
          <w:color w:val="000000"/>
          <w:sz w:val="24"/>
          <w:szCs w:val="24"/>
        </w:rPr>
        <w:t xml:space="preserve">]. Fortunately, the fast torque response of the electric motor can help offset these torque disturbances </w:t>
      </w:r>
      <w:hyperlink r:id="rId218">
        <w:r>
          <w:rPr>
            <w:rFonts w:ascii="Times New Roman" w:eastAsia="Times New Roman" w:hAnsi="Times New Roman" w:cs="Times New Roman"/>
            <w:color w:val="000000"/>
            <w:sz w:val="24"/>
            <w:szCs w:val="24"/>
          </w:rPr>
          <w:t>[</w:t>
        </w:r>
      </w:hyperlink>
      <w:hyperlink r:id="rId219">
        <w:r>
          <w:rPr>
            <w:rFonts w:ascii="Times New Roman" w:eastAsia="Times New Roman" w:hAnsi="Times New Roman" w:cs="Times New Roman"/>
            <w:sz w:val="24"/>
            <w:szCs w:val="24"/>
          </w:rPr>
          <w:t>87</w:t>
        </w:r>
      </w:hyperlink>
      <w:hyperlink r:id="rId220">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w:t>
      </w:r>
    </w:p>
    <w:p w14:paraId="04348001" w14:textId="77777777" w:rsidR="006D0435" w:rsidRDefault="00000000">
      <w:pPr>
        <w:shd w:val="clear" w:color="auto" w:fill="FFFFFF"/>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Table II:  </w:t>
      </w:r>
      <w:r>
        <w:rPr>
          <w:rFonts w:ascii="Times New Roman" w:eastAsia="Times New Roman" w:hAnsi="Times New Roman" w:cs="Times New Roman"/>
          <w:color w:val="000000"/>
          <w:sz w:val="24"/>
          <w:szCs w:val="24"/>
        </w:rPr>
        <w:t xml:space="preserve">Comparisons </w:t>
      </w:r>
      <w:r>
        <w:rPr>
          <w:rFonts w:ascii="Times New Roman" w:eastAsia="Times New Roman" w:hAnsi="Times New Roman" w:cs="Times New Roman"/>
          <w:sz w:val="24"/>
          <w:szCs w:val="24"/>
        </w:rPr>
        <w:t>Between Power Strains</w:t>
      </w:r>
      <w:r>
        <w:rPr>
          <w:rFonts w:ascii="Times New Roman" w:eastAsia="Times New Roman" w:hAnsi="Times New Roman" w:cs="Times New Roman"/>
          <w:color w:val="000000"/>
          <w:sz w:val="24"/>
          <w:szCs w:val="24"/>
        </w:rPr>
        <w:t xml:space="preserve"> of EV </w:t>
      </w:r>
    </w:p>
    <w:tbl>
      <w:tblPr>
        <w:tblStyle w:val="a0"/>
        <w:tblW w:w="1041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600" w:firstRow="0" w:lastRow="0" w:firstColumn="0" w:lastColumn="0" w:noHBand="1" w:noVBand="1"/>
      </w:tblPr>
      <w:tblGrid>
        <w:gridCol w:w="1665"/>
        <w:gridCol w:w="1695"/>
        <w:gridCol w:w="1575"/>
        <w:gridCol w:w="2340"/>
        <w:gridCol w:w="3135"/>
      </w:tblGrid>
      <w:tr w:rsidR="006D0435" w14:paraId="41B79D9F" w14:textId="77777777">
        <w:trPr>
          <w:trHeight w:val="660"/>
        </w:trPr>
        <w:tc>
          <w:tcPr>
            <w:tcW w:w="1665" w:type="dxa"/>
            <w:tcBorders>
              <w:top w:val="single" w:sz="8" w:space="0" w:color="909090"/>
              <w:left w:val="nil"/>
              <w:bottom w:val="single" w:sz="8" w:space="0" w:color="909090"/>
              <w:right w:val="nil"/>
            </w:tcBorders>
            <w:tcMar>
              <w:top w:w="40" w:type="dxa"/>
              <w:left w:w="0" w:type="dxa"/>
              <w:bottom w:w="40" w:type="dxa"/>
              <w:right w:w="0" w:type="dxa"/>
            </w:tcMar>
          </w:tcPr>
          <w:p w14:paraId="6D1F63F4" w14:textId="77777777" w:rsidR="006D0435" w:rsidRDefault="00000000">
            <w:pPr>
              <w:spacing w:before="40" w:after="40" w:line="360" w:lineRule="auto"/>
              <w:ind w:left="-80"/>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Aspects</w:t>
            </w:r>
          </w:p>
        </w:tc>
        <w:tc>
          <w:tcPr>
            <w:tcW w:w="1695" w:type="dxa"/>
            <w:tcBorders>
              <w:top w:val="single" w:sz="8" w:space="0" w:color="909090"/>
              <w:left w:val="nil"/>
              <w:bottom w:val="single" w:sz="8" w:space="0" w:color="909090"/>
              <w:right w:val="nil"/>
            </w:tcBorders>
            <w:tcMar>
              <w:top w:w="40" w:type="dxa"/>
              <w:left w:w="0" w:type="dxa"/>
              <w:bottom w:w="40" w:type="dxa"/>
              <w:right w:w="0" w:type="dxa"/>
            </w:tcMar>
          </w:tcPr>
          <w:p w14:paraId="684A6D51"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Series</w:t>
            </w:r>
            <w:r>
              <w:rPr>
                <w:rFonts w:ascii="Times New Roman" w:eastAsia="Times New Roman" w:hAnsi="Times New Roman" w:cs="Times New Roman"/>
                <w:color w:val="000000"/>
                <w:sz w:val="20"/>
                <w:szCs w:val="20"/>
              </w:rPr>
              <w:t xml:space="preserve"> </w:t>
            </w:r>
          </w:p>
        </w:tc>
        <w:tc>
          <w:tcPr>
            <w:tcW w:w="1575" w:type="dxa"/>
            <w:tcBorders>
              <w:top w:val="single" w:sz="8" w:space="0" w:color="909090"/>
              <w:left w:val="nil"/>
              <w:bottom w:val="single" w:sz="8" w:space="0" w:color="909090"/>
              <w:right w:val="nil"/>
            </w:tcBorders>
            <w:tcMar>
              <w:top w:w="40" w:type="dxa"/>
              <w:left w:w="0" w:type="dxa"/>
              <w:bottom w:w="40" w:type="dxa"/>
              <w:right w:w="0" w:type="dxa"/>
            </w:tcMar>
          </w:tcPr>
          <w:p w14:paraId="0A50A900"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Parallel</w:t>
            </w:r>
            <w:r>
              <w:rPr>
                <w:rFonts w:ascii="Times New Roman" w:eastAsia="Times New Roman" w:hAnsi="Times New Roman" w:cs="Times New Roman"/>
                <w:color w:val="000000"/>
                <w:sz w:val="20"/>
                <w:szCs w:val="20"/>
              </w:rPr>
              <w:t xml:space="preserve"> </w:t>
            </w:r>
          </w:p>
        </w:tc>
        <w:tc>
          <w:tcPr>
            <w:tcW w:w="2340" w:type="dxa"/>
            <w:tcBorders>
              <w:top w:val="single" w:sz="8" w:space="0" w:color="909090"/>
              <w:left w:val="nil"/>
              <w:bottom w:val="single" w:sz="8" w:space="0" w:color="909090"/>
              <w:right w:val="nil"/>
            </w:tcBorders>
            <w:tcMar>
              <w:top w:w="40" w:type="dxa"/>
              <w:left w:w="0" w:type="dxa"/>
              <w:bottom w:w="40" w:type="dxa"/>
              <w:right w:w="0" w:type="dxa"/>
            </w:tcMar>
          </w:tcPr>
          <w:p w14:paraId="5370200B"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Power-Split (Series–Parallel)</w:t>
            </w:r>
            <w:r>
              <w:rPr>
                <w:rFonts w:ascii="Times New Roman" w:eastAsia="Times New Roman" w:hAnsi="Times New Roman" w:cs="Times New Roman"/>
                <w:color w:val="000000"/>
                <w:sz w:val="20"/>
                <w:szCs w:val="20"/>
              </w:rPr>
              <w:t xml:space="preserve"> </w:t>
            </w:r>
          </w:p>
        </w:tc>
        <w:tc>
          <w:tcPr>
            <w:tcW w:w="3135" w:type="dxa"/>
            <w:tcBorders>
              <w:top w:val="single" w:sz="8" w:space="0" w:color="909090"/>
              <w:left w:val="nil"/>
              <w:bottom w:val="single" w:sz="8" w:space="0" w:color="909090"/>
              <w:right w:val="nil"/>
            </w:tcBorders>
            <w:tcMar>
              <w:top w:w="40" w:type="dxa"/>
              <w:left w:w="0" w:type="dxa"/>
              <w:bottom w:w="40" w:type="dxa"/>
              <w:right w:w="0" w:type="dxa"/>
            </w:tcMar>
          </w:tcPr>
          <w:p w14:paraId="0F8A24EF"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Multi-Mode</w:t>
            </w:r>
            <w:r>
              <w:rPr>
                <w:rFonts w:ascii="Times New Roman" w:eastAsia="Times New Roman" w:hAnsi="Times New Roman" w:cs="Times New Roman"/>
                <w:color w:val="000000"/>
                <w:sz w:val="20"/>
                <w:szCs w:val="20"/>
              </w:rPr>
              <w:t xml:space="preserve"> </w:t>
            </w:r>
          </w:p>
        </w:tc>
      </w:tr>
      <w:tr w:rsidR="006D0435" w14:paraId="32D86444" w14:textId="77777777">
        <w:trPr>
          <w:trHeight w:val="586"/>
        </w:trPr>
        <w:tc>
          <w:tcPr>
            <w:tcW w:w="1665" w:type="dxa"/>
            <w:tcBorders>
              <w:top w:val="single" w:sz="8" w:space="0" w:color="909090"/>
              <w:left w:val="nil"/>
              <w:bottom w:val="nil"/>
              <w:right w:val="nil"/>
            </w:tcBorders>
            <w:tcMar>
              <w:top w:w="40" w:type="dxa"/>
              <w:left w:w="0" w:type="dxa"/>
              <w:bottom w:w="40" w:type="dxa"/>
              <w:right w:w="0" w:type="dxa"/>
            </w:tcMar>
          </w:tcPr>
          <w:p w14:paraId="3C26AA77"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Wheel propulsion </w:t>
            </w:r>
          </w:p>
        </w:tc>
        <w:tc>
          <w:tcPr>
            <w:tcW w:w="1695" w:type="dxa"/>
            <w:tcBorders>
              <w:top w:val="single" w:sz="8" w:space="0" w:color="909090"/>
              <w:left w:val="nil"/>
              <w:bottom w:val="nil"/>
              <w:right w:val="nil"/>
            </w:tcBorders>
            <w:tcMar>
              <w:top w:w="40" w:type="dxa"/>
              <w:left w:w="0" w:type="dxa"/>
              <w:bottom w:w="40" w:type="dxa"/>
              <w:right w:w="0" w:type="dxa"/>
            </w:tcMar>
          </w:tcPr>
          <w:p w14:paraId="32665892"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Electric motor only </w:t>
            </w:r>
          </w:p>
        </w:tc>
        <w:tc>
          <w:tcPr>
            <w:tcW w:w="1575" w:type="dxa"/>
            <w:tcBorders>
              <w:top w:val="single" w:sz="8" w:space="0" w:color="909090"/>
              <w:left w:val="nil"/>
              <w:bottom w:val="nil"/>
              <w:right w:val="nil"/>
            </w:tcBorders>
            <w:tcMar>
              <w:top w:w="40" w:type="dxa"/>
              <w:left w:w="0" w:type="dxa"/>
              <w:bottom w:w="40" w:type="dxa"/>
              <w:right w:w="0" w:type="dxa"/>
            </w:tcMar>
          </w:tcPr>
          <w:p w14:paraId="1B609B81"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Engine and/or motor </w:t>
            </w:r>
          </w:p>
        </w:tc>
        <w:tc>
          <w:tcPr>
            <w:tcW w:w="2340" w:type="dxa"/>
            <w:tcBorders>
              <w:top w:val="single" w:sz="8" w:space="0" w:color="909090"/>
              <w:left w:val="nil"/>
              <w:bottom w:val="nil"/>
              <w:right w:val="nil"/>
            </w:tcBorders>
            <w:tcMar>
              <w:top w:w="40" w:type="dxa"/>
              <w:left w:w="0" w:type="dxa"/>
              <w:bottom w:w="40" w:type="dxa"/>
              <w:right w:w="0" w:type="dxa"/>
            </w:tcMar>
          </w:tcPr>
          <w:p w14:paraId="643A5BC2"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Engine + motor </w:t>
            </w:r>
          </w:p>
          <w:p w14:paraId="2DDF0EA6"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via planetary gear </w:t>
            </w:r>
          </w:p>
        </w:tc>
        <w:tc>
          <w:tcPr>
            <w:tcW w:w="3135" w:type="dxa"/>
            <w:tcBorders>
              <w:top w:val="single" w:sz="8" w:space="0" w:color="909090"/>
              <w:left w:val="nil"/>
              <w:bottom w:val="nil"/>
              <w:right w:val="nil"/>
            </w:tcBorders>
            <w:tcMar>
              <w:top w:w="40" w:type="dxa"/>
              <w:left w:w="0" w:type="dxa"/>
              <w:bottom w:w="40" w:type="dxa"/>
              <w:right w:w="0" w:type="dxa"/>
            </w:tcMar>
          </w:tcPr>
          <w:p w14:paraId="6141C2BB"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Engine + multiple motors via clutches &amp; gearsets </w:t>
            </w:r>
          </w:p>
        </w:tc>
      </w:tr>
      <w:tr w:rsidR="006D0435" w14:paraId="271EA227" w14:textId="77777777">
        <w:trPr>
          <w:trHeight w:val="780"/>
        </w:trPr>
        <w:tc>
          <w:tcPr>
            <w:tcW w:w="1665" w:type="dxa"/>
            <w:tcBorders>
              <w:top w:val="nil"/>
              <w:left w:val="nil"/>
              <w:bottom w:val="nil"/>
              <w:right w:val="nil"/>
            </w:tcBorders>
            <w:tcMar>
              <w:top w:w="40" w:type="dxa"/>
              <w:left w:w="0" w:type="dxa"/>
              <w:bottom w:w="40" w:type="dxa"/>
              <w:right w:w="0" w:type="dxa"/>
            </w:tcMar>
          </w:tcPr>
          <w:p w14:paraId="328B407F"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Engine mechanically coupled to wheels </w:t>
            </w:r>
          </w:p>
        </w:tc>
        <w:tc>
          <w:tcPr>
            <w:tcW w:w="1695" w:type="dxa"/>
            <w:tcBorders>
              <w:top w:val="nil"/>
              <w:left w:val="nil"/>
              <w:bottom w:val="nil"/>
              <w:right w:val="nil"/>
            </w:tcBorders>
            <w:tcMar>
              <w:top w:w="40" w:type="dxa"/>
              <w:left w:w="0" w:type="dxa"/>
              <w:bottom w:w="40" w:type="dxa"/>
              <w:right w:w="0" w:type="dxa"/>
            </w:tcMar>
          </w:tcPr>
          <w:p w14:paraId="23362008"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 </w:t>
            </w:r>
          </w:p>
        </w:tc>
        <w:tc>
          <w:tcPr>
            <w:tcW w:w="1575" w:type="dxa"/>
            <w:tcBorders>
              <w:top w:val="nil"/>
              <w:left w:val="nil"/>
              <w:bottom w:val="nil"/>
              <w:right w:val="nil"/>
            </w:tcBorders>
            <w:tcMar>
              <w:top w:w="40" w:type="dxa"/>
              <w:left w:w="0" w:type="dxa"/>
              <w:bottom w:w="40" w:type="dxa"/>
              <w:right w:w="0" w:type="dxa"/>
            </w:tcMar>
          </w:tcPr>
          <w:p w14:paraId="6E7788DA"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Yes </w:t>
            </w:r>
          </w:p>
        </w:tc>
        <w:tc>
          <w:tcPr>
            <w:tcW w:w="2340" w:type="dxa"/>
            <w:tcBorders>
              <w:top w:val="nil"/>
              <w:left w:val="nil"/>
              <w:bottom w:val="nil"/>
              <w:right w:val="nil"/>
            </w:tcBorders>
            <w:tcMar>
              <w:top w:w="40" w:type="dxa"/>
              <w:left w:w="0" w:type="dxa"/>
              <w:bottom w:w="40" w:type="dxa"/>
              <w:right w:w="0" w:type="dxa"/>
            </w:tcMar>
          </w:tcPr>
          <w:p w14:paraId="7ACA0B01"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Yes </w:t>
            </w:r>
          </w:p>
        </w:tc>
        <w:tc>
          <w:tcPr>
            <w:tcW w:w="3135" w:type="dxa"/>
            <w:tcBorders>
              <w:top w:val="nil"/>
              <w:left w:val="nil"/>
              <w:bottom w:val="nil"/>
              <w:right w:val="nil"/>
            </w:tcBorders>
            <w:tcMar>
              <w:top w:w="40" w:type="dxa"/>
              <w:left w:w="0" w:type="dxa"/>
              <w:bottom w:w="40" w:type="dxa"/>
              <w:right w:w="0" w:type="dxa"/>
            </w:tcMar>
          </w:tcPr>
          <w:p w14:paraId="34151049"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Yes </w:t>
            </w:r>
          </w:p>
        </w:tc>
      </w:tr>
      <w:tr w:rsidR="006D0435" w14:paraId="5D74EB4B" w14:textId="77777777">
        <w:trPr>
          <w:trHeight w:val="630"/>
        </w:trPr>
        <w:tc>
          <w:tcPr>
            <w:tcW w:w="1665" w:type="dxa"/>
            <w:tcBorders>
              <w:top w:val="nil"/>
              <w:left w:val="nil"/>
              <w:bottom w:val="nil"/>
              <w:right w:val="nil"/>
            </w:tcBorders>
            <w:tcMar>
              <w:top w:w="40" w:type="dxa"/>
              <w:left w:w="0" w:type="dxa"/>
              <w:bottom w:w="40" w:type="dxa"/>
              <w:right w:w="0" w:type="dxa"/>
            </w:tcMar>
          </w:tcPr>
          <w:p w14:paraId="5D3F7FA4"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Electric motor drives wheels </w:t>
            </w:r>
          </w:p>
        </w:tc>
        <w:tc>
          <w:tcPr>
            <w:tcW w:w="1695" w:type="dxa"/>
            <w:tcBorders>
              <w:top w:val="nil"/>
              <w:left w:val="nil"/>
              <w:bottom w:val="nil"/>
              <w:right w:val="nil"/>
            </w:tcBorders>
            <w:tcMar>
              <w:top w:w="40" w:type="dxa"/>
              <w:left w:w="0" w:type="dxa"/>
              <w:bottom w:w="40" w:type="dxa"/>
              <w:right w:w="0" w:type="dxa"/>
            </w:tcMar>
          </w:tcPr>
          <w:p w14:paraId="6810AFBC"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Always </w:t>
            </w:r>
          </w:p>
        </w:tc>
        <w:tc>
          <w:tcPr>
            <w:tcW w:w="1575" w:type="dxa"/>
            <w:tcBorders>
              <w:top w:val="nil"/>
              <w:left w:val="nil"/>
              <w:bottom w:val="nil"/>
              <w:right w:val="nil"/>
            </w:tcBorders>
            <w:tcMar>
              <w:top w:w="40" w:type="dxa"/>
              <w:left w:w="0" w:type="dxa"/>
              <w:bottom w:w="40" w:type="dxa"/>
              <w:right w:w="0" w:type="dxa"/>
            </w:tcMar>
          </w:tcPr>
          <w:p w14:paraId="6332B47C"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Sometimes </w:t>
            </w:r>
          </w:p>
        </w:tc>
        <w:tc>
          <w:tcPr>
            <w:tcW w:w="2340" w:type="dxa"/>
            <w:tcBorders>
              <w:top w:val="nil"/>
              <w:left w:val="nil"/>
              <w:bottom w:val="nil"/>
              <w:right w:val="nil"/>
            </w:tcBorders>
            <w:tcMar>
              <w:top w:w="40" w:type="dxa"/>
              <w:left w:w="0" w:type="dxa"/>
              <w:bottom w:w="40" w:type="dxa"/>
              <w:right w:w="0" w:type="dxa"/>
            </w:tcMar>
          </w:tcPr>
          <w:p w14:paraId="2B42D62F"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Yes </w:t>
            </w:r>
          </w:p>
        </w:tc>
        <w:tc>
          <w:tcPr>
            <w:tcW w:w="3135" w:type="dxa"/>
            <w:tcBorders>
              <w:top w:val="nil"/>
              <w:left w:val="nil"/>
              <w:bottom w:val="nil"/>
              <w:right w:val="nil"/>
            </w:tcBorders>
            <w:tcMar>
              <w:top w:w="40" w:type="dxa"/>
              <w:left w:w="0" w:type="dxa"/>
              <w:bottom w:w="40" w:type="dxa"/>
              <w:right w:w="0" w:type="dxa"/>
            </w:tcMar>
          </w:tcPr>
          <w:p w14:paraId="3E1F9A72"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Yes </w:t>
            </w:r>
          </w:p>
        </w:tc>
      </w:tr>
      <w:tr w:rsidR="006D0435" w14:paraId="02E36C4B" w14:textId="77777777">
        <w:trPr>
          <w:trHeight w:val="765"/>
        </w:trPr>
        <w:tc>
          <w:tcPr>
            <w:tcW w:w="1665" w:type="dxa"/>
            <w:tcBorders>
              <w:top w:val="nil"/>
              <w:left w:val="nil"/>
              <w:bottom w:val="nil"/>
              <w:right w:val="nil"/>
            </w:tcBorders>
            <w:tcMar>
              <w:top w:w="40" w:type="dxa"/>
              <w:left w:w="0" w:type="dxa"/>
              <w:bottom w:w="40" w:type="dxa"/>
              <w:right w:w="0" w:type="dxa"/>
            </w:tcMar>
          </w:tcPr>
          <w:p w14:paraId="69737AF4"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xml:space="preserve">Primary components </w:t>
            </w:r>
          </w:p>
        </w:tc>
        <w:tc>
          <w:tcPr>
            <w:tcW w:w="1695" w:type="dxa"/>
            <w:tcBorders>
              <w:top w:val="nil"/>
              <w:left w:val="nil"/>
              <w:bottom w:val="nil"/>
              <w:right w:val="nil"/>
            </w:tcBorders>
            <w:tcMar>
              <w:top w:w="40" w:type="dxa"/>
              <w:left w:w="0" w:type="dxa"/>
              <w:bottom w:w="40" w:type="dxa"/>
              <w:right w:w="0" w:type="dxa"/>
            </w:tcMar>
          </w:tcPr>
          <w:p w14:paraId="0E40D343"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ICE, generator, traction motor, battery </w:t>
            </w:r>
          </w:p>
        </w:tc>
        <w:tc>
          <w:tcPr>
            <w:tcW w:w="1575" w:type="dxa"/>
            <w:tcBorders>
              <w:top w:val="nil"/>
              <w:left w:val="nil"/>
              <w:bottom w:val="nil"/>
              <w:right w:val="nil"/>
            </w:tcBorders>
            <w:tcMar>
              <w:top w:w="40" w:type="dxa"/>
              <w:left w:w="0" w:type="dxa"/>
              <w:bottom w:w="40" w:type="dxa"/>
              <w:right w:w="0" w:type="dxa"/>
            </w:tcMar>
          </w:tcPr>
          <w:p w14:paraId="67F5650A"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ICE, motor, transmission, battery </w:t>
            </w:r>
          </w:p>
        </w:tc>
        <w:tc>
          <w:tcPr>
            <w:tcW w:w="2340" w:type="dxa"/>
            <w:tcBorders>
              <w:top w:val="nil"/>
              <w:left w:val="nil"/>
              <w:bottom w:val="nil"/>
              <w:right w:val="nil"/>
            </w:tcBorders>
            <w:tcMar>
              <w:top w:w="40" w:type="dxa"/>
              <w:left w:w="0" w:type="dxa"/>
              <w:bottom w:w="40" w:type="dxa"/>
              <w:right w:w="0" w:type="dxa"/>
            </w:tcMar>
          </w:tcPr>
          <w:p w14:paraId="4C321736"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ICE, two motors, planetary gear, battery </w:t>
            </w:r>
          </w:p>
        </w:tc>
        <w:tc>
          <w:tcPr>
            <w:tcW w:w="3135" w:type="dxa"/>
            <w:tcBorders>
              <w:top w:val="nil"/>
              <w:left w:val="nil"/>
              <w:bottom w:val="nil"/>
              <w:right w:val="nil"/>
            </w:tcBorders>
            <w:tcMar>
              <w:top w:w="40" w:type="dxa"/>
              <w:left w:w="0" w:type="dxa"/>
              <w:bottom w:w="40" w:type="dxa"/>
              <w:right w:w="0" w:type="dxa"/>
            </w:tcMar>
          </w:tcPr>
          <w:p w14:paraId="38B13FA5"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ICE, two or more motors, planetary gears, multiple clutches, battery </w:t>
            </w:r>
          </w:p>
        </w:tc>
      </w:tr>
      <w:tr w:rsidR="006D0435" w14:paraId="7F9F3A66" w14:textId="77777777">
        <w:trPr>
          <w:trHeight w:val="615"/>
        </w:trPr>
        <w:tc>
          <w:tcPr>
            <w:tcW w:w="1665" w:type="dxa"/>
            <w:tcBorders>
              <w:top w:val="nil"/>
              <w:left w:val="nil"/>
              <w:bottom w:val="nil"/>
              <w:right w:val="nil"/>
            </w:tcBorders>
            <w:tcMar>
              <w:top w:w="40" w:type="dxa"/>
              <w:left w:w="0" w:type="dxa"/>
              <w:bottom w:w="40" w:type="dxa"/>
              <w:right w:w="0" w:type="dxa"/>
            </w:tcMar>
          </w:tcPr>
          <w:p w14:paraId="69BE3A6E"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Operating principle </w:t>
            </w:r>
          </w:p>
        </w:tc>
        <w:tc>
          <w:tcPr>
            <w:tcW w:w="1695" w:type="dxa"/>
            <w:tcBorders>
              <w:top w:val="nil"/>
              <w:left w:val="nil"/>
              <w:bottom w:val="nil"/>
              <w:right w:val="nil"/>
            </w:tcBorders>
            <w:tcMar>
              <w:top w:w="40" w:type="dxa"/>
              <w:left w:w="0" w:type="dxa"/>
              <w:bottom w:w="40" w:type="dxa"/>
              <w:right w:w="0" w:type="dxa"/>
            </w:tcMar>
          </w:tcPr>
          <w:p w14:paraId="41D48F37"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Engine generates electricity; motor provides traction </w:t>
            </w:r>
          </w:p>
        </w:tc>
        <w:tc>
          <w:tcPr>
            <w:tcW w:w="1575" w:type="dxa"/>
            <w:tcBorders>
              <w:top w:val="nil"/>
              <w:left w:val="nil"/>
              <w:bottom w:val="nil"/>
              <w:right w:val="nil"/>
            </w:tcBorders>
            <w:tcMar>
              <w:top w:w="40" w:type="dxa"/>
              <w:left w:w="0" w:type="dxa"/>
              <w:bottom w:w="40" w:type="dxa"/>
              <w:right w:w="0" w:type="dxa"/>
            </w:tcMar>
          </w:tcPr>
          <w:p w14:paraId="12870820"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Engine and motor provide torque in parallel </w:t>
            </w:r>
          </w:p>
        </w:tc>
        <w:tc>
          <w:tcPr>
            <w:tcW w:w="2340" w:type="dxa"/>
            <w:tcBorders>
              <w:top w:val="nil"/>
              <w:left w:val="nil"/>
              <w:bottom w:val="nil"/>
              <w:right w:val="nil"/>
            </w:tcBorders>
            <w:tcMar>
              <w:top w:w="40" w:type="dxa"/>
              <w:left w:w="0" w:type="dxa"/>
              <w:bottom w:w="40" w:type="dxa"/>
              <w:right w:w="0" w:type="dxa"/>
            </w:tcMar>
          </w:tcPr>
          <w:p w14:paraId="614F709D"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Power is split between mechanical and electrical paths </w:t>
            </w:r>
          </w:p>
        </w:tc>
        <w:tc>
          <w:tcPr>
            <w:tcW w:w="3135" w:type="dxa"/>
            <w:tcBorders>
              <w:top w:val="nil"/>
              <w:left w:val="nil"/>
              <w:bottom w:val="nil"/>
              <w:right w:val="nil"/>
            </w:tcBorders>
            <w:tcMar>
              <w:top w:w="40" w:type="dxa"/>
              <w:left w:w="0" w:type="dxa"/>
              <w:bottom w:w="40" w:type="dxa"/>
              <w:right w:w="0" w:type="dxa"/>
            </w:tcMar>
          </w:tcPr>
          <w:p w14:paraId="3FA031B1"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Discrete operating modes using clutches and gearsets </w:t>
            </w:r>
          </w:p>
        </w:tc>
      </w:tr>
      <w:tr w:rsidR="006D0435" w14:paraId="3AB96378" w14:textId="77777777">
        <w:trPr>
          <w:trHeight w:val="930"/>
        </w:trPr>
        <w:tc>
          <w:tcPr>
            <w:tcW w:w="1665" w:type="dxa"/>
            <w:tcBorders>
              <w:top w:val="nil"/>
              <w:left w:val="nil"/>
              <w:bottom w:val="nil"/>
              <w:right w:val="nil"/>
            </w:tcBorders>
            <w:tcMar>
              <w:top w:w="40" w:type="dxa"/>
              <w:left w:w="0" w:type="dxa"/>
              <w:bottom w:w="40" w:type="dxa"/>
              <w:right w:w="0" w:type="dxa"/>
            </w:tcMar>
          </w:tcPr>
          <w:p w14:paraId="1A9058DD"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Typical operating modes </w:t>
            </w:r>
          </w:p>
        </w:tc>
        <w:tc>
          <w:tcPr>
            <w:tcW w:w="1695" w:type="dxa"/>
            <w:tcBorders>
              <w:top w:val="nil"/>
              <w:left w:val="nil"/>
              <w:bottom w:val="nil"/>
              <w:right w:val="nil"/>
            </w:tcBorders>
            <w:tcMar>
              <w:top w:w="40" w:type="dxa"/>
              <w:left w:w="0" w:type="dxa"/>
              <w:bottom w:w="40" w:type="dxa"/>
              <w:right w:w="0" w:type="dxa"/>
            </w:tcMar>
          </w:tcPr>
          <w:p w14:paraId="2EADC8DD"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EV, engine-generated EV </w:t>
            </w:r>
          </w:p>
        </w:tc>
        <w:tc>
          <w:tcPr>
            <w:tcW w:w="1575" w:type="dxa"/>
            <w:tcBorders>
              <w:top w:val="nil"/>
              <w:left w:val="nil"/>
              <w:bottom w:val="nil"/>
              <w:right w:val="nil"/>
            </w:tcBorders>
            <w:tcMar>
              <w:top w:w="40" w:type="dxa"/>
              <w:left w:w="0" w:type="dxa"/>
              <w:bottom w:w="40" w:type="dxa"/>
              <w:right w:w="0" w:type="dxa"/>
            </w:tcMar>
          </w:tcPr>
          <w:p w14:paraId="5BFF9110"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EV, ICE, combined </w:t>
            </w:r>
          </w:p>
        </w:tc>
        <w:tc>
          <w:tcPr>
            <w:tcW w:w="2340" w:type="dxa"/>
            <w:tcBorders>
              <w:top w:val="nil"/>
              <w:left w:val="nil"/>
              <w:bottom w:val="nil"/>
              <w:right w:val="nil"/>
            </w:tcBorders>
            <w:tcMar>
              <w:top w:w="40" w:type="dxa"/>
              <w:left w:w="0" w:type="dxa"/>
              <w:bottom w:w="40" w:type="dxa"/>
              <w:right w:w="0" w:type="dxa"/>
            </w:tcMar>
          </w:tcPr>
          <w:p w14:paraId="766CF74A"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EV, series, parallel (continuously blended) </w:t>
            </w:r>
          </w:p>
        </w:tc>
        <w:tc>
          <w:tcPr>
            <w:tcW w:w="3135" w:type="dxa"/>
            <w:tcBorders>
              <w:top w:val="nil"/>
              <w:left w:val="nil"/>
              <w:bottom w:val="nil"/>
              <w:right w:val="nil"/>
            </w:tcBorders>
            <w:tcMar>
              <w:top w:w="40" w:type="dxa"/>
              <w:left w:w="0" w:type="dxa"/>
              <w:bottom w:w="40" w:type="dxa"/>
              <w:right w:w="0" w:type="dxa"/>
            </w:tcMar>
          </w:tcPr>
          <w:p w14:paraId="4D57C1FA"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EV, series, parallel, multiple fixed gear modes </w:t>
            </w:r>
          </w:p>
        </w:tc>
      </w:tr>
      <w:tr w:rsidR="006D0435" w14:paraId="561B48F2" w14:textId="77777777">
        <w:trPr>
          <w:trHeight w:val="765"/>
        </w:trPr>
        <w:tc>
          <w:tcPr>
            <w:tcW w:w="1665" w:type="dxa"/>
            <w:tcBorders>
              <w:top w:val="nil"/>
              <w:left w:val="nil"/>
              <w:bottom w:val="nil"/>
              <w:right w:val="nil"/>
            </w:tcBorders>
            <w:tcMar>
              <w:top w:w="40" w:type="dxa"/>
              <w:left w:w="0" w:type="dxa"/>
              <w:bottom w:w="40" w:type="dxa"/>
              <w:right w:w="0" w:type="dxa"/>
            </w:tcMar>
          </w:tcPr>
          <w:p w14:paraId="7529CFA7"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Energy conversion path </w:t>
            </w:r>
          </w:p>
        </w:tc>
        <w:tc>
          <w:tcPr>
            <w:tcW w:w="1695" w:type="dxa"/>
            <w:tcBorders>
              <w:top w:val="nil"/>
              <w:left w:val="nil"/>
              <w:bottom w:val="nil"/>
              <w:right w:val="nil"/>
            </w:tcBorders>
            <w:tcMar>
              <w:top w:w="40" w:type="dxa"/>
              <w:left w:w="0" w:type="dxa"/>
              <w:bottom w:w="40" w:type="dxa"/>
              <w:right w:w="0" w:type="dxa"/>
            </w:tcMar>
          </w:tcPr>
          <w:p w14:paraId="60102A6F"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Cardo" w:eastAsia="Cardo" w:hAnsi="Cardo" w:cs="Cardo"/>
                <w:color w:val="000000"/>
                <w:sz w:val="20"/>
                <w:szCs w:val="20"/>
              </w:rPr>
              <w:t xml:space="preserve">Mechanical → electrical → mechanical </w:t>
            </w:r>
          </w:p>
        </w:tc>
        <w:tc>
          <w:tcPr>
            <w:tcW w:w="1575" w:type="dxa"/>
            <w:tcBorders>
              <w:top w:val="nil"/>
              <w:left w:val="nil"/>
              <w:bottom w:val="nil"/>
              <w:right w:val="nil"/>
            </w:tcBorders>
            <w:tcMar>
              <w:top w:w="40" w:type="dxa"/>
              <w:left w:w="0" w:type="dxa"/>
              <w:bottom w:w="40" w:type="dxa"/>
              <w:right w:w="0" w:type="dxa"/>
            </w:tcMar>
          </w:tcPr>
          <w:p w14:paraId="6738CC66"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Mostly mechanical </w:t>
            </w:r>
          </w:p>
        </w:tc>
        <w:tc>
          <w:tcPr>
            <w:tcW w:w="2340" w:type="dxa"/>
            <w:tcBorders>
              <w:top w:val="nil"/>
              <w:left w:val="nil"/>
              <w:bottom w:val="nil"/>
              <w:right w:val="nil"/>
            </w:tcBorders>
            <w:tcMar>
              <w:top w:w="40" w:type="dxa"/>
              <w:left w:w="0" w:type="dxa"/>
              <w:bottom w:w="40" w:type="dxa"/>
              <w:right w:w="0" w:type="dxa"/>
            </w:tcMar>
          </w:tcPr>
          <w:p w14:paraId="09064A5D"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Mixed mechanical–electrical </w:t>
            </w:r>
          </w:p>
        </w:tc>
        <w:tc>
          <w:tcPr>
            <w:tcW w:w="3135" w:type="dxa"/>
            <w:tcBorders>
              <w:top w:val="nil"/>
              <w:left w:val="nil"/>
              <w:bottom w:val="nil"/>
              <w:right w:val="nil"/>
            </w:tcBorders>
            <w:tcMar>
              <w:top w:w="40" w:type="dxa"/>
              <w:left w:w="0" w:type="dxa"/>
              <w:bottom w:w="40" w:type="dxa"/>
              <w:right w:w="0" w:type="dxa"/>
            </w:tcMar>
          </w:tcPr>
          <w:p w14:paraId="515F7513"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Mostly mechanical with electrical assist </w:t>
            </w:r>
          </w:p>
        </w:tc>
      </w:tr>
      <w:tr w:rsidR="006D0435" w14:paraId="0831A142" w14:textId="77777777">
        <w:trPr>
          <w:trHeight w:val="195"/>
        </w:trPr>
        <w:tc>
          <w:tcPr>
            <w:tcW w:w="1665" w:type="dxa"/>
            <w:tcBorders>
              <w:top w:val="nil"/>
              <w:left w:val="nil"/>
              <w:bottom w:val="nil"/>
              <w:right w:val="nil"/>
            </w:tcBorders>
            <w:tcMar>
              <w:top w:w="40" w:type="dxa"/>
              <w:left w:w="0" w:type="dxa"/>
              <w:bottom w:w="40" w:type="dxa"/>
              <w:right w:w="0" w:type="dxa"/>
            </w:tcMar>
          </w:tcPr>
          <w:p w14:paraId="6FCA4D18"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City driving efficiency </w:t>
            </w:r>
          </w:p>
        </w:tc>
        <w:tc>
          <w:tcPr>
            <w:tcW w:w="1695" w:type="dxa"/>
            <w:tcBorders>
              <w:top w:val="nil"/>
              <w:left w:val="nil"/>
              <w:bottom w:val="nil"/>
              <w:right w:val="nil"/>
            </w:tcBorders>
            <w:tcMar>
              <w:top w:w="40" w:type="dxa"/>
              <w:left w:w="0" w:type="dxa"/>
              <w:bottom w:w="40" w:type="dxa"/>
              <w:right w:w="0" w:type="dxa"/>
            </w:tcMar>
          </w:tcPr>
          <w:p w14:paraId="3EFC821D"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High </w:t>
            </w:r>
          </w:p>
        </w:tc>
        <w:tc>
          <w:tcPr>
            <w:tcW w:w="1575" w:type="dxa"/>
            <w:tcBorders>
              <w:top w:val="nil"/>
              <w:left w:val="nil"/>
              <w:bottom w:val="nil"/>
              <w:right w:val="nil"/>
            </w:tcBorders>
            <w:tcMar>
              <w:top w:w="40" w:type="dxa"/>
              <w:left w:w="0" w:type="dxa"/>
              <w:bottom w:w="40" w:type="dxa"/>
              <w:right w:w="0" w:type="dxa"/>
            </w:tcMar>
          </w:tcPr>
          <w:p w14:paraId="781857B1"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Moderate </w:t>
            </w:r>
          </w:p>
        </w:tc>
        <w:tc>
          <w:tcPr>
            <w:tcW w:w="2340" w:type="dxa"/>
            <w:tcBorders>
              <w:top w:val="nil"/>
              <w:left w:val="nil"/>
              <w:bottom w:val="nil"/>
              <w:right w:val="nil"/>
            </w:tcBorders>
            <w:tcMar>
              <w:top w:w="40" w:type="dxa"/>
              <w:left w:w="0" w:type="dxa"/>
              <w:bottom w:w="40" w:type="dxa"/>
              <w:right w:w="0" w:type="dxa"/>
            </w:tcMar>
          </w:tcPr>
          <w:p w14:paraId="58E9143D"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High </w:t>
            </w:r>
          </w:p>
        </w:tc>
        <w:tc>
          <w:tcPr>
            <w:tcW w:w="3135" w:type="dxa"/>
            <w:tcBorders>
              <w:top w:val="nil"/>
              <w:left w:val="nil"/>
              <w:bottom w:val="nil"/>
              <w:right w:val="nil"/>
            </w:tcBorders>
            <w:tcMar>
              <w:top w:w="40" w:type="dxa"/>
              <w:left w:w="0" w:type="dxa"/>
              <w:bottom w:w="40" w:type="dxa"/>
              <w:right w:w="0" w:type="dxa"/>
            </w:tcMar>
          </w:tcPr>
          <w:p w14:paraId="00BA5A94"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High </w:t>
            </w:r>
          </w:p>
        </w:tc>
      </w:tr>
      <w:tr w:rsidR="006D0435" w14:paraId="3908DB51" w14:textId="77777777">
        <w:trPr>
          <w:trHeight w:val="181"/>
        </w:trPr>
        <w:tc>
          <w:tcPr>
            <w:tcW w:w="1665" w:type="dxa"/>
            <w:tcBorders>
              <w:top w:val="nil"/>
              <w:left w:val="nil"/>
              <w:bottom w:val="nil"/>
              <w:right w:val="nil"/>
            </w:tcBorders>
            <w:tcMar>
              <w:top w:w="40" w:type="dxa"/>
              <w:left w:w="0" w:type="dxa"/>
              <w:bottom w:w="40" w:type="dxa"/>
              <w:right w:w="0" w:type="dxa"/>
            </w:tcMar>
          </w:tcPr>
          <w:p w14:paraId="73040B02"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Highway driving efficiency </w:t>
            </w:r>
          </w:p>
        </w:tc>
        <w:tc>
          <w:tcPr>
            <w:tcW w:w="1695" w:type="dxa"/>
            <w:tcBorders>
              <w:top w:val="nil"/>
              <w:left w:val="nil"/>
              <w:bottom w:val="nil"/>
              <w:right w:val="nil"/>
            </w:tcBorders>
            <w:tcMar>
              <w:top w:w="40" w:type="dxa"/>
              <w:left w:w="0" w:type="dxa"/>
              <w:bottom w:w="40" w:type="dxa"/>
              <w:right w:w="0" w:type="dxa"/>
            </w:tcMar>
          </w:tcPr>
          <w:p w14:paraId="7D27539B"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Low–moderate </w:t>
            </w:r>
          </w:p>
        </w:tc>
        <w:tc>
          <w:tcPr>
            <w:tcW w:w="1575" w:type="dxa"/>
            <w:tcBorders>
              <w:top w:val="nil"/>
              <w:left w:val="nil"/>
              <w:bottom w:val="nil"/>
              <w:right w:val="nil"/>
            </w:tcBorders>
            <w:tcMar>
              <w:top w:w="40" w:type="dxa"/>
              <w:left w:w="0" w:type="dxa"/>
              <w:bottom w:w="40" w:type="dxa"/>
              <w:right w:w="0" w:type="dxa"/>
            </w:tcMar>
          </w:tcPr>
          <w:p w14:paraId="68BF5DEA"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High </w:t>
            </w:r>
          </w:p>
        </w:tc>
        <w:tc>
          <w:tcPr>
            <w:tcW w:w="2340" w:type="dxa"/>
            <w:tcBorders>
              <w:top w:val="nil"/>
              <w:left w:val="nil"/>
              <w:bottom w:val="nil"/>
              <w:right w:val="nil"/>
            </w:tcBorders>
            <w:tcMar>
              <w:top w:w="40" w:type="dxa"/>
              <w:left w:w="0" w:type="dxa"/>
              <w:bottom w:w="40" w:type="dxa"/>
              <w:right w:w="0" w:type="dxa"/>
            </w:tcMar>
          </w:tcPr>
          <w:p w14:paraId="1082B68C"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Moderate–high </w:t>
            </w:r>
          </w:p>
        </w:tc>
        <w:tc>
          <w:tcPr>
            <w:tcW w:w="3135" w:type="dxa"/>
            <w:tcBorders>
              <w:top w:val="nil"/>
              <w:left w:val="nil"/>
              <w:bottom w:val="nil"/>
              <w:right w:val="nil"/>
            </w:tcBorders>
            <w:tcMar>
              <w:top w:w="40" w:type="dxa"/>
              <w:left w:w="0" w:type="dxa"/>
              <w:bottom w:w="40" w:type="dxa"/>
              <w:right w:w="0" w:type="dxa"/>
            </w:tcMar>
          </w:tcPr>
          <w:p w14:paraId="01A1D8DA"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High </w:t>
            </w:r>
          </w:p>
        </w:tc>
      </w:tr>
      <w:tr w:rsidR="006D0435" w14:paraId="489F0013" w14:textId="77777777">
        <w:trPr>
          <w:trHeight w:val="210"/>
        </w:trPr>
        <w:tc>
          <w:tcPr>
            <w:tcW w:w="1665" w:type="dxa"/>
            <w:tcBorders>
              <w:top w:val="nil"/>
              <w:left w:val="nil"/>
              <w:bottom w:val="nil"/>
              <w:right w:val="nil"/>
            </w:tcBorders>
            <w:tcMar>
              <w:top w:w="40" w:type="dxa"/>
              <w:left w:w="0" w:type="dxa"/>
              <w:bottom w:w="40" w:type="dxa"/>
              <w:right w:w="0" w:type="dxa"/>
            </w:tcMar>
          </w:tcPr>
          <w:p w14:paraId="23D28E24"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EV-only capability </w:t>
            </w:r>
          </w:p>
        </w:tc>
        <w:tc>
          <w:tcPr>
            <w:tcW w:w="1695" w:type="dxa"/>
            <w:tcBorders>
              <w:top w:val="nil"/>
              <w:left w:val="nil"/>
              <w:bottom w:val="nil"/>
              <w:right w:val="nil"/>
            </w:tcBorders>
            <w:tcMar>
              <w:top w:w="40" w:type="dxa"/>
              <w:left w:w="0" w:type="dxa"/>
              <w:bottom w:w="40" w:type="dxa"/>
              <w:right w:w="0" w:type="dxa"/>
            </w:tcMar>
          </w:tcPr>
          <w:p w14:paraId="5FA3C69B"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Strong </w:t>
            </w:r>
          </w:p>
        </w:tc>
        <w:tc>
          <w:tcPr>
            <w:tcW w:w="1575" w:type="dxa"/>
            <w:tcBorders>
              <w:top w:val="nil"/>
              <w:left w:val="nil"/>
              <w:bottom w:val="nil"/>
              <w:right w:val="nil"/>
            </w:tcBorders>
            <w:tcMar>
              <w:top w:w="40" w:type="dxa"/>
              <w:left w:w="0" w:type="dxa"/>
              <w:bottom w:w="40" w:type="dxa"/>
              <w:right w:w="0" w:type="dxa"/>
            </w:tcMar>
          </w:tcPr>
          <w:p w14:paraId="290705BF"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Limited </w:t>
            </w:r>
          </w:p>
        </w:tc>
        <w:tc>
          <w:tcPr>
            <w:tcW w:w="2340" w:type="dxa"/>
            <w:tcBorders>
              <w:top w:val="nil"/>
              <w:left w:val="nil"/>
              <w:bottom w:val="nil"/>
              <w:right w:val="nil"/>
            </w:tcBorders>
            <w:tcMar>
              <w:top w:w="40" w:type="dxa"/>
              <w:left w:w="0" w:type="dxa"/>
              <w:bottom w:w="40" w:type="dxa"/>
              <w:right w:w="0" w:type="dxa"/>
            </w:tcMar>
          </w:tcPr>
          <w:p w14:paraId="0D743746"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Moderate to strong </w:t>
            </w:r>
          </w:p>
        </w:tc>
        <w:tc>
          <w:tcPr>
            <w:tcW w:w="3135" w:type="dxa"/>
            <w:tcBorders>
              <w:top w:val="nil"/>
              <w:left w:val="nil"/>
              <w:bottom w:val="nil"/>
              <w:right w:val="nil"/>
            </w:tcBorders>
            <w:tcMar>
              <w:top w:w="40" w:type="dxa"/>
              <w:left w:w="0" w:type="dxa"/>
              <w:bottom w:w="40" w:type="dxa"/>
              <w:right w:w="0" w:type="dxa"/>
            </w:tcMar>
          </w:tcPr>
          <w:p w14:paraId="3E792576"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Strong </w:t>
            </w:r>
          </w:p>
        </w:tc>
      </w:tr>
      <w:tr w:rsidR="006D0435" w14:paraId="4329480D" w14:textId="77777777">
        <w:trPr>
          <w:trHeight w:val="195"/>
        </w:trPr>
        <w:tc>
          <w:tcPr>
            <w:tcW w:w="1665" w:type="dxa"/>
            <w:tcBorders>
              <w:top w:val="nil"/>
              <w:left w:val="nil"/>
              <w:bottom w:val="nil"/>
              <w:right w:val="nil"/>
            </w:tcBorders>
            <w:tcMar>
              <w:top w:w="40" w:type="dxa"/>
              <w:left w:w="0" w:type="dxa"/>
              <w:bottom w:w="40" w:type="dxa"/>
              <w:right w:w="0" w:type="dxa"/>
            </w:tcMar>
          </w:tcPr>
          <w:p w14:paraId="16D2BB70"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Mechanical complexity </w:t>
            </w:r>
          </w:p>
        </w:tc>
        <w:tc>
          <w:tcPr>
            <w:tcW w:w="1695" w:type="dxa"/>
            <w:tcBorders>
              <w:top w:val="nil"/>
              <w:left w:val="nil"/>
              <w:bottom w:val="nil"/>
              <w:right w:val="nil"/>
            </w:tcBorders>
            <w:tcMar>
              <w:top w:w="40" w:type="dxa"/>
              <w:left w:w="0" w:type="dxa"/>
              <w:bottom w:w="40" w:type="dxa"/>
              <w:right w:w="0" w:type="dxa"/>
            </w:tcMar>
          </w:tcPr>
          <w:p w14:paraId="2D6D65B2"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Low </w:t>
            </w:r>
          </w:p>
        </w:tc>
        <w:tc>
          <w:tcPr>
            <w:tcW w:w="1575" w:type="dxa"/>
            <w:tcBorders>
              <w:top w:val="nil"/>
              <w:left w:val="nil"/>
              <w:bottom w:val="nil"/>
              <w:right w:val="nil"/>
            </w:tcBorders>
            <w:tcMar>
              <w:top w:w="40" w:type="dxa"/>
              <w:left w:w="0" w:type="dxa"/>
              <w:bottom w:w="40" w:type="dxa"/>
              <w:right w:w="0" w:type="dxa"/>
            </w:tcMar>
          </w:tcPr>
          <w:p w14:paraId="58E3255F"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Medium </w:t>
            </w:r>
          </w:p>
        </w:tc>
        <w:tc>
          <w:tcPr>
            <w:tcW w:w="2340" w:type="dxa"/>
            <w:tcBorders>
              <w:top w:val="nil"/>
              <w:left w:val="nil"/>
              <w:bottom w:val="nil"/>
              <w:right w:val="nil"/>
            </w:tcBorders>
            <w:tcMar>
              <w:top w:w="40" w:type="dxa"/>
              <w:left w:w="0" w:type="dxa"/>
              <w:bottom w:w="40" w:type="dxa"/>
              <w:right w:w="0" w:type="dxa"/>
            </w:tcMar>
          </w:tcPr>
          <w:p w14:paraId="1D1D80D6"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Medium–high </w:t>
            </w:r>
          </w:p>
        </w:tc>
        <w:tc>
          <w:tcPr>
            <w:tcW w:w="3135" w:type="dxa"/>
            <w:tcBorders>
              <w:top w:val="nil"/>
              <w:left w:val="nil"/>
              <w:bottom w:val="nil"/>
              <w:right w:val="nil"/>
            </w:tcBorders>
            <w:tcMar>
              <w:top w:w="40" w:type="dxa"/>
              <w:left w:w="0" w:type="dxa"/>
              <w:bottom w:w="40" w:type="dxa"/>
              <w:right w:w="0" w:type="dxa"/>
            </w:tcMar>
          </w:tcPr>
          <w:p w14:paraId="0FE4449F"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High </w:t>
            </w:r>
          </w:p>
        </w:tc>
      </w:tr>
      <w:tr w:rsidR="006D0435" w14:paraId="5488BB9D" w14:textId="77777777">
        <w:trPr>
          <w:trHeight w:val="345"/>
        </w:trPr>
        <w:tc>
          <w:tcPr>
            <w:tcW w:w="1665" w:type="dxa"/>
            <w:tcBorders>
              <w:top w:val="nil"/>
              <w:left w:val="nil"/>
              <w:bottom w:val="nil"/>
              <w:right w:val="nil"/>
            </w:tcBorders>
            <w:tcMar>
              <w:top w:w="40" w:type="dxa"/>
              <w:left w:w="0" w:type="dxa"/>
              <w:bottom w:w="40" w:type="dxa"/>
              <w:right w:w="0" w:type="dxa"/>
            </w:tcMar>
          </w:tcPr>
          <w:p w14:paraId="21BDEEB8"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Control complexity </w:t>
            </w:r>
          </w:p>
        </w:tc>
        <w:tc>
          <w:tcPr>
            <w:tcW w:w="1695" w:type="dxa"/>
            <w:tcBorders>
              <w:top w:val="nil"/>
              <w:left w:val="nil"/>
              <w:bottom w:val="nil"/>
              <w:right w:val="nil"/>
            </w:tcBorders>
            <w:tcMar>
              <w:top w:w="40" w:type="dxa"/>
              <w:left w:w="0" w:type="dxa"/>
              <w:bottom w:w="40" w:type="dxa"/>
              <w:right w:w="0" w:type="dxa"/>
            </w:tcMar>
          </w:tcPr>
          <w:p w14:paraId="0E7BD413"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Low–medium </w:t>
            </w:r>
          </w:p>
        </w:tc>
        <w:tc>
          <w:tcPr>
            <w:tcW w:w="1575" w:type="dxa"/>
            <w:tcBorders>
              <w:top w:val="nil"/>
              <w:left w:val="nil"/>
              <w:bottom w:val="nil"/>
              <w:right w:val="nil"/>
            </w:tcBorders>
            <w:tcMar>
              <w:top w:w="40" w:type="dxa"/>
              <w:left w:w="0" w:type="dxa"/>
              <w:bottom w:w="40" w:type="dxa"/>
              <w:right w:w="0" w:type="dxa"/>
            </w:tcMar>
          </w:tcPr>
          <w:p w14:paraId="3F839E77"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Medium </w:t>
            </w:r>
          </w:p>
        </w:tc>
        <w:tc>
          <w:tcPr>
            <w:tcW w:w="2340" w:type="dxa"/>
            <w:tcBorders>
              <w:top w:val="nil"/>
              <w:left w:val="nil"/>
              <w:bottom w:val="nil"/>
              <w:right w:val="nil"/>
            </w:tcBorders>
            <w:tcMar>
              <w:top w:w="40" w:type="dxa"/>
              <w:left w:w="0" w:type="dxa"/>
              <w:bottom w:w="40" w:type="dxa"/>
              <w:right w:w="0" w:type="dxa"/>
            </w:tcMar>
          </w:tcPr>
          <w:p w14:paraId="37631299"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High </w:t>
            </w:r>
          </w:p>
        </w:tc>
        <w:tc>
          <w:tcPr>
            <w:tcW w:w="3135" w:type="dxa"/>
            <w:tcBorders>
              <w:top w:val="nil"/>
              <w:left w:val="nil"/>
              <w:bottom w:val="nil"/>
              <w:right w:val="nil"/>
            </w:tcBorders>
            <w:tcMar>
              <w:top w:w="40" w:type="dxa"/>
              <w:left w:w="0" w:type="dxa"/>
              <w:bottom w:w="40" w:type="dxa"/>
              <w:right w:w="0" w:type="dxa"/>
            </w:tcMar>
          </w:tcPr>
          <w:p w14:paraId="6ECD497A"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Very high </w:t>
            </w:r>
          </w:p>
        </w:tc>
      </w:tr>
      <w:tr w:rsidR="006D0435" w14:paraId="3A6A956B" w14:textId="77777777">
        <w:trPr>
          <w:trHeight w:val="375"/>
        </w:trPr>
        <w:tc>
          <w:tcPr>
            <w:tcW w:w="1665" w:type="dxa"/>
            <w:tcBorders>
              <w:top w:val="nil"/>
              <w:left w:val="nil"/>
              <w:bottom w:val="nil"/>
              <w:right w:val="nil"/>
            </w:tcBorders>
            <w:tcMar>
              <w:top w:w="40" w:type="dxa"/>
              <w:left w:w="0" w:type="dxa"/>
              <w:bottom w:w="40" w:type="dxa"/>
              <w:right w:w="0" w:type="dxa"/>
            </w:tcMar>
          </w:tcPr>
          <w:p w14:paraId="1C925E43"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System cost </w:t>
            </w:r>
          </w:p>
        </w:tc>
        <w:tc>
          <w:tcPr>
            <w:tcW w:w="1695" w:type="dxa"/>
            <w:tcBorders>
              <w:top w:val="nil"/>
              <w:left w:val="nil"/>
              <w:bottom w:val="nil"/>
              <w:right w:val="nil"/>
            </w:tcBorders>
            <w:tcMar>
              <w:top w:w="40" w:type="dxa"/>
              <w:left w:w="0" w:type="dxa"/>
              <w:bottom w:w="40" w:type="dxa"/>
              <w:right w:w="0" w:type="dxa"/>
            </w:tcMar>
          </w:tcPr>
          <w:p w14:paraId="3636FD38"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Low–medium </w:t>
            </w:r>
          </w:p>
        </w:tc>
        <w:tc>
          <w:tcPr>
            <w:tcW w:w="1575" w:type="dxa"/>
            <w:tcBorders>
              <w:top w:val="nil"/>
              <w:left w:val="nil"/>
              <w:bottom w:val="nil"/>
              <w:right w:val="nil"/>
            </w:tcBorders>
            <w:tcMar>
              <w:top w:w="40" w:type="dxa"/>
              <w:left w:w="0" w:type="dxa"/>
              <w:bottom w:w="40" w:type="dxa"/>
              <w:right w:w="0" w:type="dxa"/>
            </w:tcMar>
          </w:tcPr>
          <w:p w14:paraId="769D0EC1"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Low </w:t>
            </w:r>
          </w:p>
        </w:tc>
        <w:tc>
          <w:tcPr>
            <w:tcW w:w="2340" w:type="dxa"/>
            <w:tcBorders>
              <w:top w:val="nil"/>
              <w:left w:val="nil"/>
              <w:bottom w:val="nil"/>
              <w:right w:val="nil"/>
            </w:tcBorders>
            <w:tcMar>
              <w:top w:w="40" w:type="dxa"/>
              <w:left w:w="0" w:type="dxa"/>
              <w:bottom w:w="40" w:type="dxa"/>
              <w:right w:w="0" w:type="dxa"/>
            </w:tcMar>
          </w:tcPr>
          <w:p w14:paraId="024BF1E9"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Medium </w:t>
            </w:r>
          </w:p>
        </w:tc>
        <w:tc>
          <w:tcPr>
            <w:tcW w:w="3135" w:type="dxa"/>
            <w:tcBorders>
              <w:top w:val="nil"/>
              <w:left w:val="nil"/>
              <w:bottom w:val="nil"/>
              <w:right w:val="nil"/>
            </w:tcBorders>
            <w:tcMar>
              <w:top w:w="40" w:type="dxa"/>
              <w:left w:w="0" w:type="dxa"/>
              <w:bottom w:w="40" w:type="dxa"/>
              <w:right w:w="0" w:type="dxa"/>
            </w:tcMar>
          </w:tcPr>
          <w:p w14:paraId="368C2B6C"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High </w:t>
            </w:r>
          </w:p>
        </w:tc>
      </w:tr>
      <w:tr w:rsidR="006D0435" w14:paraId="76AC0BB2" w14:textId="77777777">
        <w:trPr>
          <w:trHeight w:val="660"/>
        </w:trPr>
        <w:tc>
          <w:tcPr>
            <w:tcW w:w="1665" w:type="dxa"/>
            <w:tcBorders>
              <w:top w:val="nil"/>
              <w:left w:val="nil"/>
              <w:bottom w:val="nil"/>
              <w:right w:val="nil"/>
            </w:tcBorders>
            <w:tcMar>
              <w:top w:w="40" w:type="dxa"/>
              <w:left w:w="0" w:type="dxa"/>
              <w:bottom w:w="40" w:type="dxa"/>
              <w:right w:w="0" w:type="dxa"/>
            </w:tcMar>
          </w:tcPr>
          <w:p w14:paraId="25F309C8"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Packaging flexibility </w:t>
            </w:r>
          </w:p>
        </w:tc>
        <w:tc>
          <w:tcPr>
            <w:tcW w:w="1695" w:type="dxa"/>
            <w:tcBorders>
              <w:top w:val="nil"/>
              <w:left w:val="nil"/>
              <w:bottom w:val="nil"/>
              <w:right w:val="nil"/>
            </w:tcBorders>
            <w:tcMar>
              <w:top w:w="40" w:type="dxa"/>
              <w:left w:w="0" w:type="dxa"/>
              <w:bottom w:w="40" w:type="dxa"/>
              <w:right w:w="0" w:type="dxa"/>
            </w:tcMar>
          </w:tcPr>
          <w:p w14:paraId="77CB0450"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High </w:t>
            </w:r>
          </w:p>
        </w:tc>
        <w:tc>
          <w:tcPr>
            <w:tcW w:w="1575" w:type="dxa"/>
            <w:tcBorders>
              <w:top w:val="nil"/>
              <w:left w:val="nil"/>
              <w:bottom w:val="nil"/>
              <w:right w:val="nil"/>
            </w:tcBorders>
            <w:tcMar>
              <w:top w:w="40" w:type="dxa"/>
              <w:left w:w="0" w:type="dxa"/>
              <w:bottom w:w="40" w:type="dxa"/>
              <w:right w:w="0" w:type="dxa"/>
            </w:tcMar>
          </w:tcPr>
          <w:p w14:paraId="427155EB"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Moderate </w:t>
            </w:r>
          </w:p>
        </w:tc>
        <w:tc>
          <w:tcPr>
            <w:tcW w:w="2340" w:type="dxa"/>
            <w:tcBorders>
              <w:top w:val="nil"/>
              <w:left w:val="nil"/>
              <w:bottom w:val="nil"/>
              <w:right w:val="nil"/>
            </w:tcBorders>
            <w:tcMar>
              <w:top w:w="40" w:type="dxa"/>
              <w:left w:w="0" w:type="dxa"/>
              <w:bottom w:w="40" w:type="dxa"/>
              <w:right w:w="0" w:type="dxa"/>
            </w:tcMar>
          </w:tcPr>
          <w:p w14:paraId="10F9DEBB"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Moderate </w:t>
            </w:r>
          </w:p>
        </w:tc>
        <w:tc>
          <w:tcPr>
            <w:tcW w:w="3135" w:type="dxa"/>
            <w:tcBorders>
              <w:top w:val="nil"/>
              <w:left w:val="nil"/>
              <w:bottom w:val="nil"/>
              <w:right w:val="nil"/>
            </w:tcBorders>
            <w:tcMar>
              <w:top w:w="40" w:type="dxa"/>
              <w:left w:w="0" w:type="dxa"/>
              <w:bottom w:w="40" w:type="dxa"/>
              <w:right w:w="0" w:type="dxa"/>
            </w:tcMar>
          </w:tcPr>
          <w:p w14:paraId="5CE274EA"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Low </w:t>
            </w:r>
          </w:p>
        </w:tc>
      </w:tr>
      <w:tr w:rsidR="006D0435" w14:paraId="000924D3" w14:textId="77777777">
        <w:trPr>
          <w:trHeight w:val="196"/>
        </w:trPr>
        <w:tc>
          <w:tcPr>
            <w:tcW w:w="1665" w:type="dxa"/>
            <w:tcBorders>
              <w:top w:val="nil"/>
              <w:left w:val="nil"/>
              <w:bottom w:val="nil"/>
              <w:right w:val="nil"/>
            </w:tcBorders>
            <w:tcMar>
              <w:top w:w="40" w:type="dxa"/>
              <w:left w:w="0" w:type="dxa"/>
              <w:bottom w:w="40" w:type="dxa"/>
              <w:right w:w="0" w:type="dxa"/>
            </w:tcMar>
          </w:tcPr>
          <w:p w14:paraId="4149B1F0"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Representative implementations </w:t>
            </w:r>
          </w:p>
        </w:tc>
        <w:tc>
          <w:tcPr>
            <w:tcW w:w="1695" w:type="dxa"/>
            <w:tcBorders>
              <w:top w:val="nil"/>
              <w:left w:val="nil"/>
              <w:bottom w:val="nil"/>
              <w:right w:val="nil"/>
            </w:tcBorders>
            <w:tcMar>
              <w:top w:w="40" w:type="dxa"/>
              <w:left w:w="0" w:type="dxa"/>
              <w:bottom w:w="40" w:type="dxa"/>
              <w:right w:w="0" w:type="dxa"/>
            </w:tcMar>
          </w:tcPr>
          <w:p w14:paraId="433C0AD8"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Nissan e-Power, BMW i3 </w:t>
            </w:r>
            <w:proofErr w:type="spellStart"/>
            <w:r>
              <w:rPr>
                <w:rFonts w:ascii="Times New Roman" w:eastAsia="Times New Roman" w:hAnsi="Times New Roman" w:cs="Times New Roman"/>
                <w:color w:val="000000"/>
                <w:sz w:val="20"/>
                <w:szCs w:val="20"/>
              </w:rPr>
              <w:t>REx</w:t>
            </w:r>
            <w:proofErr w:type="spellEnd"/>
            <w:r>
              <w:rPr>
                <w:rFonts w:ascii="Times New Roman" w:eastAsia="Times New Roman" w:hAnsi="Times New Roman" w:cs="Times New Roman"/>
                <w:color w:val="000000"/>
                <w:sz w:val="20"/>
                <w:szCs w:val="20"/>
              </w:rPr>
              <w:t xml:space="preserve"> </w:t>
            </w:r>
          </w:p>
        </w:tc>
        <w:tc>
          <w:tcPr>
            <w:tcW w:w="1575" w:type="dxa"/>
            <w:tcBorders>
              <w:top w:val="nil"/>
              <w:left w:val="nil"/>
              <w:bottom w:val="nil"/>
              <w:right w:val="nil"/>
            </w:tcBorders>
            <w:tcMar>
              <w:top w:w="40" w:type="dxa"/>
              <w:left w:w="0" w:type="dxa"/>
              <w:bottom w:w="40" w:type="dxa"/>
              <w:right w:w="0" w:type="dxa"/>
            </w:tcMar>
          </w:tcPr>
          <w:p w14:paraId="7178E552"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Hyundai/Kia hybrids </w:t>
            </w:r>
          </w:p>
        </w:tc>
        <w:tc>
          <w:tcPr>
            <w:tcW w:w="2340" w:type="dxa"/>
            <w:tcBorders>
              <w:top w:val="nil"/>
              <w:left w:val="nil"/>
              <w:bottom w:val="nil"/>
              <w:right w:val="nil"/>
            </w:tcBorders>
            <w:tcMar>
              <w:top w:w="40" w:type="dxa"/>
              <w:left w:w="0" w:type="dxa"/>
              <w:bottom w:w="40" w:type="dxa"/>
              <w:right w:w="0" w:type="dxa"/>
            </w:tcMar>
          </w:tcPr>
          <w:p w14:paraId="4602675C"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Toyota Hybrid System (Prius) </w:t>
            </w:r>
          </w:p>
        </w:tc>
        <w:tc>
          <w:tcPr>
            <w:tcW w:w="3135" w:type="dxa"/>
            <w:tcBorders>
              <w:top w:val="nil"/>
              <w:left w:val="nil"/>
              <w:bottom w:val="nil"/>
              <w:right w:val="nil"/>
            </w:tcBorders>
            <w:tcMar>
              <w:top w:w="40" w:type="dxa"/>
              <w:left w:w="0" w:type="dxa"/>
              <w:bottom w:w="40" w:type="dxa"/>
              <w:right w:w="0" w:type="dxa"/>
            </w:tcMar>
          </w:tcPr>
          <w:p w14:paraId="654415E7"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GM Two-Mode, modern PHEV SUVs </w:t>
            </w:r>
          </w:p>
        </w:tc>
      </w:tr>
      <w:tr w:rsidR="006D0435" w14:paraId="4C84915E" w14:textId="77777777">
        <w:trPr>
          <w:trHeight w:val="570"/>
        </w:trPr>
        <w:tc>
          <w:tcPr>
            <w:tcW w:w="1665" w:type="dxa"/>
            <w:tcBorders>
              <w:top w:val="nil"/>
              <w:left w:val="nil"/>
              <w:bottom w:val="nil"/>
              <w:right w:val="nil"/>
            </w:tcBorders>
            <w:tcMar>
              <w:top w:w="40" w:type="dxa"/>
              <w:left w:w="0" w:type="dxa"/>
              <w:bottom w:w="40" w:type="dxa"/>
              <w:right w:w="0" w:type="dxa"/>
            </w:tcMar>
          </w:tcPr>
          <w:p w14:paraId="79D66753"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Key advantages </w:t>
            </w:r>
          </w:p>
        </w:tc>
        <w:tc>
          <w:tcPr>
            <w:tcW w:w="1695" w:type="dxa"/>
            <w:tcBorders>
              <w:top w:val="nil"/>
              <w:left w:val="nil"/>
              <w:bottom w:val="nil"/>
              <w:right w:val="nil"/>
            </w:tcBorders>
            <w:tcMar>
              <w:top w:w="40" w:type="dxa"/>
              <w:left w:w="0" w:type="dxa"/>
              <w:bottom w:w="40" w:type="dxa"/>
              <w:right w:w="0" w:type="dxa"/>
            </w:tcMar>
          </w:tcPr>
          <w:p w14:paraId="3146CF98"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Simple drivetrain, strong low-speed efficiency </w:t>
            </w:r>
          </w:p>
        </w:tc>
        <w:tc>
          <w:tcPr>
            <w:tcW w:w="1575" w:type="dxa"/>
            <w:tcBorders>
              <w:top w:val="nil"/>
              <w:left w:val="nil"/>
              <w:bottom w:val="nil"/>
              <w:right w:val="nil"/>
            </w:tcBorders>
            <w:tcMar>
              <w:top w:w="40" w:type="dxa"/>
              <w:left w:w="0" w:type="dxa"/>
              <w:bottom w:w="40" w:type="dxa"/>
              <w:right w:w="0" w:type="dxa"/>
            </w:tcMar>
          </w:tcPr>
          <w:p w14:paraId="0496C5D3"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Efficient cruising, low cost </w:t>
            </w:r>
          </w:p>
        </w:tc>
        <w:tc>
          <w:tcPr>
            <w:tcW w:w="2340" w:type="dxa"/>
            <w:tcBorders>
              <w:top w:val="nil"/>
              <w:left w:val="nil"/>
              <w:bottom w:val="nil"/>
              <w:right w:val="nil"/>
            </w:tcBorders>
            <w:tcMar>
              <w:top w:w="40" w:type="dxa"/>
              <w:left w:w="0" w:type="dxa"/>
              <w:bottom w:w="40" w:type="dxa"/>
              <w:right w:w="0" w:type="dxa"/>
            </w:tcMar>
          </w:tcPr>
          <w:p w14:paraId="272FEDB2"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Smooth operation, good all-round efficiency </w:t>
            </w:r>
          </w:p>
        </w:tc>
        <w:tc>
          <w:tcPr>
            <w:tcW w:w="3135" w:type="dxa"/>
            <w:tcBorders>
              <w:top w:val="nil"/>
              <w:left w:val="nil"/>
              <w:bottom w:val="nil"/>
              <w:right w:val="nil"/>
            </w:tcBorders>
            <w:tcMar>
              <w:top w:w="40" w:type="dxa"/>
              <w:left w:w="0" w:type="dxa"/>
              <w:bottom w:w="40" w:type="dxa"/>
              <w:right w:w="0" w:type="dxa"/>
            </w:tcMar>
          </w:tcPr>
          <w:p w14:paraId="74BE886C"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High efficiency over wide speed/load range </w:t>
            </w:r>
          </w:p>
        </w:tc>
      </w:tr>
      <w:tr w:rsidR="006D0435" w14:paraId="6C3C8B7C" w14:textId="77777777">
        <w:trPr>
          <w:trHeight w:val="420"/>
        </w:trPr>
        <w:tc>
          <w:tcPr>
            <w:tcW w:w="1665" w:type="dxa"/>
            <w:tcBorders>
              <w:top w:val="nil"/>
              <w:left w:val="nil"/>
              <w:bottom w:val="single" w:sz="8" w:space="0" w:color="909090"/>
              <w:right w:val="nil"/>
            </w:tcBorders>
            <w:tcMar>
              <w:top w:w="40" w:type="dxa"/>
              <w:left w:w="0" w:type="dxa"/>
              <w:bottom w:w="40" w:type="dxa"/>
              <w:right w:w="0" w:type="dxa"/>
            </w:tcMar>
          </w:tcPr>
          <w:p w14:paraId="14C99FFD"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Key limitations </w:t>
            </w:r>
          </w:p>
        </w:tc>
        <w:tc>
          <w:tcPr>
            <w:tcW w:w="1695" w:type="dxa"/>
            <w:tcBorders>
              <w:top w:val="nil"/>
              <w:left w:val="nil"/>
              <w:bottom w:val="single" w:sz="8" w:space="0" w:color="909090"/>
              <w:right w:val="nil"/>
            </w:tcBorders>
            <w:tcMar>
              <w:top w:w="40" w:type="dxa"/>
              <w:left w:w="0" w:type="dxa"/>
              <w:bottom w:w="40" w:type="dxa"/>
              <w:right w:w="0" w:type="dxa"/>
            </w:tcMar>
          </w:tcPr>
          <w:p w14:paraId="160B6269"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Conversion losses at high speed </w:t>
            </w:r>
          </w:p>
        </w:tc>
        <w:tc>
          <w:tcPr>
            <w:tcW w:w="1575" w:type="dxa"/>
            <w:tcBorders>
              <w:top w:val="nil"/>
              <w:left w:val="nil"/>
              <w:bottom w:val="single" w:sz="8" w:space="0" w:color="909090"/>
              <w:right w:val="nil"/>
            </w:tcBorders>
            <w:tcMar>
              <w:top w:w="40" w:type="dxa"/>
              <w:left w:w="0" w:type="dxa"/>
              <w:bottom w:w="40" w:type="dxa"/>
              <w:right w:w="0" w:type="dxa"/>
            </w:tcMar>
          </w:tcPr>
          <w:p w14:paraId="4DCB2425"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Limited electric driving </w:t>
            </w:r>
          </w:p>
        </w:tc>
        <w:tc>
          <w:tcPr>
            <w:tcW w:w="2340" w:type="dxa"/>
            <w:tcBorders>
              <w:top w:val="nil"/>
              <w:left w:val="nil"/>
              <w:bottom w:val="single" w:sz="8" w:space="0" w:color="909090"/>
              <w:right w:val="nil"/>
            </w:tcBorders>
            <w:tcMar>
              <w:top w:w="40" w:type="dxa"/>
              <w:left w:w="0" w:type="dxa"/>
              <w:bottom w:w="40" w:type="dxa"/>
              <w:right w:w="0" w:type="dxa"/>
            </w:tcMar>
          </w:tcPr>
          <w:p w14:paraId="05367CA8"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More complex control and hardware </w:t>
            </w:r>
          </w:p>
        </w:tc>
        <w:tc>
          <w:tcPr>
            <w:tcW w:w="3135" w:type="dxa"/>
            <w:tcBorders>
              <w:top w:val="nil"/>
              <w:left w:val="nil"/>
              <w:bottom w:val="single" w:sz="8" w:space="0" w:color="909090"/>
              <w:right w:val="nil"/>
            </w:tcBorders>
            <w:tcMar>
              <w:top w:w="40" w:type="dxa"/>
              <w:left w:w="0" w:type="dxa"/>
              <w:bottom w:w="40" w:type="dxa"/>
              <w:right w:w="0" w:type="dxa"/>
            </w:tcMar>
          </w:tcPr>
          <w:p w14:paraId="1658EB03" w14:textId="77777777" w:rsidR="006D0435" w:rsidRDefault="00000000">
            <w:pPr>
              <w:spacing w:before="40" w:after="40" w:line="360" w:lineRule="auto"/>
              <w:ind w:left="-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High cost and system complexity </w:t>
            </w:r>
          </w:p>
        </w:tc>
      </w:tr>
    </w:tbl>
    <w:p w14:paraId="69BFF321" w14:textId="77777777" w:rsidR="006D0435" w:rsidRDefault="00000000">
      <w:pPr>
        <w:pStyle w:val="Heading1"/>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Battery and Energy Storage Systems</w:t>
      </w:r>
    </w:p>
    <w:p w14:paraId="03DF262A"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Energy storage is the central enabling technology for battery electric vehicles (BEVs) and plug-in hybrid electric vehicles (PHEVs), and remains a key bottleneck that </w:t>
      </w:r>
      <w:proofErr w:type="gramStart"/>
      <w:r>
        <w:rPr>
          <w:rFonts w:ascii="Times New Roman" w:eastAsia="Times New Roman" w:hAnsi="Times New Roman" w:cs="Times New Roman"/>
          <w:color w:val="000000"/>
          <w:sz w:val="24"/>
          <w:szCs w:val="24"/>
        </w:rPr>
        <w:t>couples</w:t>
      </w:r>
      <w:proofErr w:type="gramEnd"/>
      <w:r>
        <w:rPr>
          <w:rFonts w:ascii="Times New Roman" w:eastAsia="Times New Roman" w:hAnsi="Times New Roman" w:cs="Times New Roman"/>
          <w:color w:val="000000"/>
          <w:sz w:val="24"/>
          <w:szCs w:val="24"/>
        </w:rPr>
        <w:t xml:space="preserve"> range, cost, safety, and charging </w:t>
      </w:r>
      <w:r>
        <w:rPr>
          <w:rFonts w:ascii="Times New Roman" w:eastAsia="Times New Roman" w:hAnsi="Times New Roman" w:cs="Times New Roman"/>
          <w:color w:val="000000"/>
          <w:sz w:val="24"/>
          <w:szCs w:val="24"/>
        </w:rPr>
        <w:lastRenderedPageBreak/>
        <w:t>convenience. From a systems point of view, a traction battery needs to have a long life (calendar and cycle), a lot of specific energy (range), a lot of specific power (acceleration and regenerative braking), and a lot of safety when it comes to electrical, thermal, and mechanical abuse. To meet these goals, there must be co-design between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cell chemistry and format, (ii) mechanical/electrical pack architecture, (iii) battery management systems (BMS), (iv) thermal management, and (v) end-of-life solutions like recycling and second life. This section will talk about the best batteries and energy storage options for electric cars. It talks about lithium-ion systems and the limits of engineering that make them less useful in the real world.</w:t>
      </w:r>
    </w:p>
    <w:p w14:paraId="22C7BF53" w14:textId="77777777" w:rsidR="006D0435" w:rsidRDefault="00000000">
      <w:pPr>
        <w:pStyle w:val="Heading2"/>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 System requirements and performance metrics</w:t>
      </w:r>
    </w:p>
    <w:p w14:paraId="6403911E"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design of traction batteries is based on a set of goals that are not separate from each other. Some important metrics are: (a) gravimetric and volumetric energy density (</w:t>
      </w:r>
      <w:proofErr w:type="spellStart"/>
      <w:r>
        <w:rPr>
          <w:rFonts w:ascii="Times New Roman" w:eastAsia="Times New Roman" w:hAnsi="Times New Roman" w:cs="Times New Roman"/>
          <w:color w:val="000000"/>
          <w:sz w:val="24"/>
          <w:szCs w:val="24"/>
        </w:rPr>
        <w:t>Wh</w:t>
      </w:r>
      <w:proofErr w:type="spellEnd"/>
      <w:r>
        <w:rPr>
          <w:rFonts w:ascii="Times New Roman" w:eastAsia="Times New Roman" w:hAnsi="Times New Roman" w:cs="Times New Roman"/>
          <w:color w:val="000000"/>
          <w:sz w:val="24"/>
          <w:szCs w:val="24"/>
        </w:rPr>
        <w:t xml:space="preserve">/kg and </w:t>
      </w:r>
      <w:proofErr w:type="spellStart"/>
      <w:r>
        <w:rPr>
          <w:rFonts w:ascii="Times New Roman" w:eastAsia="Times New Roman" w:hAnsi="Times New Roman" w:cs="Times New Roman"/>
          <w:color w:val="000000"/>
          <w:sz w:val="24"/>
          <w:szCs w:val="24"/>
        </w:rPr>
        <w:t>Wh</w:t>
      </w:r>
      <w:proofErr w:type="spellEnd"/>
      <w:r>
        <w:rPr>
          <w:rFonts w:ascii="Times New Roman" w:eastAsia="Times New Roman" w:hAnsi="Times New Roman" w:cs="Times New Roman"/>
          <w:color w:val="000000"/>
          <w:sz w:val="24"/>
          <w:szCs w:val="24"/>
        </w:rPr>
        <w:t>/L) at the cell and pack level, (b) power capability (W/kg) for acceleration and regenerative braking, (c) efficiency and heat generation, (d) lifetime, usually measured by capacity retention and resistance growth over time and cycling, (e) safety margins against thermal runaway and propagation, and (f) cost per usable kWh and supply-chain risk. Pack-level integration adds structural parts, busbars, cooling plates, and safety devices, so the pack-level specific energy is always lower than the cell-level value. As a result, modern EV battery engineering is putting more and more emphasis on "system-level" optimization. This means getting rid of unnecessary materials, making module structures simpler, and combining thermal and structural functions while still meeting safety and serviceability requirements [</w:t>
      </w:r>
      <w:r>
        <w:rPr>
          <w:rFonts w:ascii="Times New Roman" w:eastAsia="Times New Roman" w:hAnsi="Times New Roman" w:cs="Times New Roman"/>
          <w:sz w:val="24"/>
          <w:szCs w:val="24"/>
        </w:rPr>
        <w:t>88</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91</w:t>
      </w:r>
      <w:r>
        <w:rPr>
          <w:rFonts w:ascii="Times New Roman" w:eastAsia="Times New Roman" w:hAnsi="Times New Roman" w:cs="Times New Roman"/>
          <w:color w:val="000000"/>
          <w:sz w:val="24"/>
          <w:szCs w:val="24"/>
        </w:rPr>
        <w:t>].</w:t>
      </w:r>
    </w:p>
    <w:p w14:paraId="77E30E0D"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Different types of vehicles and driving cycles need different amounts of energy and power. Highway cruising uses less energy, but driving in the city with frequent high-power pulses and thermal transients uses more energy. Fast-charging adds another, more dangerous operating mode: high current at high cell voltage, and often at low ambient temperature. This regime raises overpotential and the chance of lithium plating, speeds up parasitic reactions, and can cause temperature differences inside the battery to rise, which means that thermal and electrochemical management must be done very carefully [</w:t>
      </w:r>
      <w:r>
        <w:rPr>
          <w:rFonts w:ascii="Times New Roman" w:eastAsia="Times New Roman" w:hAnsi="Times New Roman" w:cs="Times New Roman"/>
          <w:sz w:val="24"/>
          <w:szCs w:val="24"/>
        </w:rPr>
        <w:t>93</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94</w:t>
      </w:r>
      <w:r>
        <w:rPr>
          <w:rFonts w:ascii="Times New Roman" w:eastAsia="Times New Roman" w:hAnsi="Times New Roman" w:cs="Times New Roman"/>
          <w:color w:val="000000"/>
          <w:sz w:val="24"/>
          <w:szCs w:val="24"/>
        </w:rPr>
        <w:t>], [96]. So, the best way to evaluate is not to look at just one "energy density" number, but to look at a map that shows the maximum charge/discharge power for different temperatures and states of charge (SOC), along with a degradation model that shows how that map changes over time [</w:t>
      </w:r>
      <w:r>
        <w:rPr>
          <w:rFonts w:ascii="Times New Roman" w:eastAsia="Times New Roman" w:hAnsi="Times New Roman" w:cs="Times New Roman"/>
          <w:sz w:val="24"/>
          <w:szCs w:val="24"/>
        </w:rPr>
        <w:t>89</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90</w:t>
      </w:r>
      <w:r>
        <w:rPr>
          <w:rFonts w:ascii="Times New Roman" w:eastAsia="Times New Roman" w:hAnsi="Times New Roman" w:cs="Times New Roman"/>
          <w:color w:val="000000"/>
          <w:sz w:val="24"/>
          <w:szCs w:val="24"/>
        </w:rPr>
        <w:t>, 96].</w:t>
      </w:r>
    </w:p>
    <w:p w14:paraId="5C9F06FA"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 1 is referenced here to introduce the fundamental charge transport pathways in a lithium-ion cell, which later connects directly to heat generation, aging, and safety topics.</w:t>
      </w:r>
    </w:p>
    <w:p w14:paraId="5BDB8135" w14:textId="77777777" w:rsidR="006D0435"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6400BB2F" wp14:editId="0B19EDEB">
            <wp:extent cx="5667375" cy="3162300"/>
            <wp:effectExtent l="0" t="0" r="0" b="0"/>
            <wp:docPr id="2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1"/>
                    <a:srcRect t="2299" b="2299"/>
                    <a:stretch>
                      <a:fillRect/>
                    </a:stretch>
                  </pic:blipFill>
                  <pic:spPr>
                    <a:xfrm>
                      <a:off x="0" y="0"/>
                      <a:ext cx="5667375" cy="3162300"/>
                    </a:xfrm>
                    <a:prstGeom prst="rect">
                      <a:avLst/>
                    </a:prstGeom>
                    <a:ln/>
                  </pic:spPr>
                </pic:pic>
              </a:graphicData>
            </a:graphic>
          </wp:inline>
        </w:drawing>
      </w:r>
    </w:p>
    <w:p w14:paraId="0EF8A6AC" w14:textId="77777777" w:rsidR="006D0435"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 1. Schematic illustration of a lithium-ion cell showing electron flow through the external circuit and Li⁺ transport through the electrolyte/separator (created for this review).</w:t>
      </w:r>
    </w:p>
    <w:p w14:paraId="741ED4D8" w14:textId="77777777" w:rsidR="006D0435" w:rsidRDefault="00000000">
      <w:pPr>
        <w:pStyle w:val="Heading2"/>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 Lithium-ion battery fundamentals for EV applications</w:t>
      </w:r>
    </w:p>
    <w:p w14:paraId="5DD863CB"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Lithium-ion (Li-ion) batteries are the most common type of traction battery for commercial electric vehicles because they are cheap, easy to make, and have a good balance of power, energy, and cost. A Li-ion cell has a negative electrode (usually graphite, but it can also be mixed with silicon), a positive electrode (usually layered oxides like NMC/NCA or phosphates like LFP), a porous separator, and a liquid electrolyte. When lithium ions are discharged, they go from the anode to the cathode and then back to the anode. Electrons travel through the outside circuit (Fig. 1). The directions change while charging. At the particle and electrode levels, transport limitations in the solid and electrolyte, charge-transfer kinetics, and interfacial film formation affect both short-term power capacity and long-term aging [96].</w:t>
      </w:r>
    </w:p>
    <w:p w14:paraId="5179505E"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vehicle engineering, cells are put into modules and packs that have a thermal system (Fig. 2), high-voltage interconnects, contactors/fuses, and sensing and control (BMS). The electrical setup decides the voltage and capacity, and the mechanical design has to be strong enough to handle crash loads and keep tolerances for the thousands of cells that can be made. Thermal design must keep the temperatures of the cells within a certain range and make sure that there are not too many differences in temperature between different areas. This is very important because temperature speeds up degradation and can cause thermal runaway when used </w:t>
      </w:r>
      <w:proofErr w:type="gramStart"/>
      <w:r>
        <w:rPr>
          <w:rFonts w:ascii="Times New Roman" w:eastAsia="Times New Roman" w:hAnsi="Times New Roman" w:cs="Times New Roman"/>
          <w:color w:val="000000"/>
          <w:sz w:val="24"/>
          <w:szCs w:val="24"/>
        </w:rPr>
        <w:t>incorrectly[</w:t>
      </w:r>
      <w:proofErr w:type="gramEnd"/>
      <w:r>
        <w:rPr>
          <w:rFonts w:ascii="Times New Roman" w:eastAsia="Times New Roman" w:hAnsi="Times New Roman" w:cs="Times New Roman"/>
          <w:sz w:val="24"/>
          <w:szCs w:val="24"/>
        </w:rPr>
        <w:t>88</w:t>
      </w:r>
      <w:r>
        <w:rPr>
          <w:rFonts w:ascii="Times New Roman" w:eastAsia="Times New Roman" w:hAnsi="Times New Roman" w:cs="Times New Roman"/>
          <w:color w:val="000000"/>
          <w:sz w:val="24"/>
          <w:szCs w:val="24"/>
        </w:rPr>
        <w:t>], [91], [</w:t>
      </w:r>
      <w:r>
        <w:rPr>
          <w:rFonts w:ascii="Times New Roman" w:eastAsia="Times New Roman" w:hAnsi="Times New Roman" w:cs="Times New Roman"/>
          <w:sz w:val="24"/>
          <w:szCs w:val="24"/>
        </w:rPr>
        <w:t>92</w:t>
      </w:r>
      <w:r>
        <w:rPr>
          <w:rFonts w:ascii="Times New Roman" w:eastAsia="Times New Roman" w:hAnsi="Times New Roman" w:cs="Times New Roman"/>
          <w:color w:val="000000"/>
          <w:sz w:val="24"/>
          <w:szCs w:val="24"/>
        </w:rPr>
        <w:t>], [96].</w:t>
      </w:r>
    </w:p>
    <w:p w14:paraId="360CF606" w14:textId="77777777" w:rsidR="006D0435"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7CC8FCCD" wp14:editId="459739A9">
            <wp:extent cx="5734050" cy="3158468"/>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22"/>
                    <a:srcRect t="8718" b="6695"/>
                    <a:stretch>
                      <a:fillRect/>
                    </a:stretch>
                  </pic:blipFill>
                  <pic:spPr>
                    <a:xfrm>
                      <a:off x="0" y="0"/>
                      <a:ext cx="5734050" cy="3158468"/>
                    </a:xfrm>
                    <a:prstGeom prst="rect">
                      <a:avLst/>
                    </a:prstGeom>
                    <a:ln/>
                  </pic:spPr>
                </pic:pic>
              </a:graphicData>
            </a:graphic>
          </wp:inline>
        </w:drawing>
      </w:r>
    </w:p>
    <w:p w14:paraId="2A470FC9" w14:textId="77777777" w:rsidR="006D0435"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 2. Cell–module–pack hierarchy and key pack subsystems (BMS, thermal system, and contactors/fuses) that enable safe and reliable vehicle operation (created for this review).</w:t>
      </w:r>
    </w:p>
    <w:p w14:paraId="03355010" w14:textId="77777777" w:rsidR="006D0435" w:rsidRDefault="00000000">
      <w:pPr>
        <w:pStyle w:val="Heading2"/>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 Energy storage landscape and technology positioning</w:t>
      </w:r>
    </w:p>
    <w:p w14:paraId="2F4D3893" w14:textId="77777777" w:rsidR="006D0435" w:rsidRDefault="00000000">
      <w:pPr>
        <w:spacing w:line="360" w:lineRule="auto"/>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Electric automobiles can store energy in a number of methods, such as batteries, supercapacitors, and, in rare situations, fuel cells. But the greatest way to store energy is in the traction battery. People often use the Ragone plot (specific energy vs. specified power) to see how well different technologies operate together. Supercapacitors have a lot of power and last a long </w:t>
      </w:r>
      <w:proofErr w:type="gramStart"/>
      <w:r>
        <w:rPr>
          <w:rFonts w:ascii="Times New Roman" w:eastAsia="Times New Roman" w:hAnsi="Times New Roman" w:cs="Times New Roman"/>
          <w:color w:val="000000"/>
          <w:sz w:val="24"/>
          <w:szCs w:val="24"/>
          <w:highlight w:val="white"/>
        </w:rPr>
        <w:t>time,</w:t>
      </w:r>
      <w:proofErr w:type="gramEnd"/>
      <w:r>
        <w:rPr>
          <w:rFonts w:ascii="Times New Roman" w:eastAsia="Times New Roman" w:hAnsi="Times New Roman" w:cs="Times New Roman"/>
          <w:color w:val="000000"/>
          <w:sz w:val="24"/>
          <w:szCs w:val="24"/>
          <w:highlight w:val="white"/>
        </w:rPr>
        <w:t xml:space="preserve"> however they don't hold a lot of energy. This is why they work better for peak shaving or buffering regenerative braking than for range. Modern EV traction systems usually employ lithium-ion batteries instead of lead-acid and NiMH batteries because they don't carry as much energy. But you can still use them in different ways. Li-ion families have a lot of energy and power at the same time. The trade-offs depend on the chemistry, such as LFP vs. NMC/NCA [</w:t>
      </w:r>
      <w:r>
        <w:rPr>
          <w:rFonts w:ascii="Times New Roman" w:eastAsia="Times New Roman" w:hAnsi="Times New Roman" w:cs="Times New Roman"/>
          <w:sz w:val="24"/>
          <w:szCs w:val="24"/>
          <w:highlight w:val="white"/>
        </w:rPr>
        <w:t>93</w:t>
      </w:r>
      <w:r>
        <w:rPr>
          <w:rFonts w:ascii="Times New Roman" w:eastAsia="Times New Roman" w:hAnsi="Times New Roman" w:cs="Times New Roman"/>
          <w:color w:val="000000"/>
          <w:sz w:val="24"/>
          <w:szCs w:val="24"/>
          <w:highlight w:val="white"/>
        </w:rPr>
        <w:t>], [96], and [</w:t>
      </w:r>
      <w:r>
        <w:rPr>
          <w:rFonts w:ascii="Times New Roman" w:eastAsia="Times New Roman" w:hAnsi="Times New Roman" w:cs="Times New Roman"/>
          <w:sz w:val="24"/>
          <w:szCs w:val="24"/>
          <w:highlight w:val="white"/>
        </w:rPr>
        <w:t>98</w:t>
      </w:r>
      <w:r>
        <w:rPr>
          <w:rFonts w:ascii="Times New Roman" w:eastAsia="Times New Roman" w:hAnsi="Times New Roman" w:cs="Times New Roman"/>
          <w:color w:val="000000"/>
          <w:sz w:val="24"/>
          <w:szCs w:val="24"/>
          <w:highlight w:val="white"/>
        </w:rPr>
        <w:t>]. New technologies like solid-state batteries and sodium-based batteries aspire to shift this trade area by making things safer or cheaper and less dangerous to supply, even if they lose some energy density [</w:t>
      </w:r>
      <w:r>
        <w:rPr>
          <w:rFonts w:ascii="Times New Roman" w:eastAsia="Times New Roman" w:hAnsi="Times New Roman" w:cs="Times New Roman"/>
          <w:sz w:val="24"/>
          <w:szCs w:val="24"/>
          <w:highlight w:val="white"/>
        </w:rPr>
        <w:t>97</w:t>
      </w:r>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sz w:val="24"/>
          <w:szCs w:val="24"/>
          <w:highlight w:val="white"/>
        </w:rPr>
        <w:t>98</w:t>
      </w:r>
      <w:r>
        <w:rPr>
          <w:rFonts w:ascii="Times New Roman" w:eastAsia="Times New Roman" w:hAnsi="Times New Roman" w:cs="Times New Roman"/>
          <w:color w:val="000000"/>
          <w:sz w:val="24"/>
          <w:szCs w:val="24"/>
          <w:highlight w:val="white"/>
        </w:rPr>
        <w:t>].</w:t>
      </w:r>
    </w:p>
    <w:p w14:paraId="4080332D" w14:textId="77777777" w:rsidR="006D0435"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558BE588" wp14:editId="72F163C7">
            <wp:extent cx="5731510" cy="3324860"/>
            <wp:effectExtent l="0" t="0" r="0" b="0"/>
            <wp:docPr id="2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3"/>
                    <a:srcRect/>
                    <a:stretch>
                      <a:fillRect/>
                    </a:stretch>
                  </pic:blipFill>
                  <pic:spPr>
                    <a:xfrm>
                      <a:off x="0" y="0"/>
                      <a:ext cx="5731510" cy="3324860"/>
                    </a:xfrm>
                    <a:prstGeom prst="rect">
                      <a:avLst/>
                    </a:prstGeom>
                    <a:ln/>
                  </pic:spPr>
                </pic:pic>
              </a:graphicData>
            </a:graphic>
          </wp:inline>
        </w:drawing>
      </w:r>
    </w:p>
    <w:p w14:paraId="113812AD" w14:textId="77777777" w:rsidR="006D0435"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 3. Illustrative Ragone plot showing conceptual ranges of specific energy and specific power for selected storage technologies relevant to vehicles (created for this review).</w:t>
      </w:r>
    </w:p>
    <w:p w14:paraId="2F313BB5" w14:textId="77777777" w:rsidR="006D0435" w:rsidRDefault="00000000">
      <w:pPr>
        <w:pStyle w:val="Heading2"/>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4.4 Cell chemistries, materials, and EV-relevant tradeoffs</w:t>
      </w:r>
    </w:p>
    <w:p w14:paraId="0ECC65D3"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main types of Li-ion cathodes used in electric vehicles are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layered transition-metal oxides (NMC/NCA) and (ii) olivine phosphate (LFP). Layered oxides usually have a higher energy density, but LFP is better for thermal stability, costs less (no nickel or cobalt), and lasts longer under a wide range of conditions. But the choice of chemistry affects the design of the pack: higher-energy chemistries can lower the pack's mass for a given range, but they may need stricter safety and thermal management measures [</w:t>
      </w:r>
      <w:r>
        <w:rPr>
          <w:rFonts w:ascii="Times New Roman" w:eastAsia="Times New Roman" w:hAnsi="Times New Roman" w:cs="Times New Roman"/>
          <w:sz w:val="24"/>
          <w:szCs w:val="24"/>
        </w:rPr>
        <w:t>88</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91</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92</w:t>
      </w:r>
      <w:r>
        <w:rPr>
          <w:rFonts w:ascii="Times New Roman" w:eastAsia="Times New Roman" w:hAnsi="Times New Roman" w:cs="Times New Roman"/>
          <w:color w:val="000000"/>
          <w:sz w:val="24"/>
          <w:szCs w:val="24"/>
        </w:rPr>
        <w:t>]. Graphite is still the most common material at the anode. Adding more silicon can increase capacity, but it also causes big changes in volume that make mechanical integrity and interfacial stability harder to maintain, which could speed up degradation [96].</w:t>
      </w:r>
    </w:p>
    <w:p w14:paraId="526B05AD"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cell's ability to take in lithium without plating is very important for fast charging. The speed of fast charging is limited by how lithium ions move through the electrolyte and solid, as well as how quickly charge transfers at the anode. Lithium plating can happen when the anode potential drops below 0 V vs. Li/Li⁺ during charging. This part is dangerous and it speeds up capacity loss. The materials-level solutions discussed in [</w:t>
      </w:r>
      <w:r>
        <w:rPr>
          <w:rFonts w:ascii="Times New Roman" w:eastAsia="Times New Roman" w:hAnsi="Times New Roman" w:cs="Times New Roman"/>
          <w:sz w:val="24"/>
          <w:szCs w:val="24"/>
        </w:rPr>
        <w:t>93</w:t>
      </w:r>
      <w:r>
        <w:rPr>
          <w:rFonts w:ascii="Times New Roman" w:eastAsia="Times New Roman" w:hAnsi="Times New Roman" w:cs="Times New Roman"/>
          <w:color w:val="000000"/>
          <w:sz w:val="24"/>
          <w:szCs w:val="24"/>
        </w:rPr>
        <w:t>] involve altering the shape and porosity of particles to reduce the diffusion length, facilitating electrolyte movement, and establishing stable interphases. System-level methods can also change the temperature and charging processes to keep the cell from going into plating-prone states [</w:t>
      </w:r>
      <w:r>
        <w:rPr>
          <w:rFonts w:ascii="Times New Roman" w:eastAsia="Times New Roman" w:hAnsi="Times New Roman" w:cs="Times New Roman"/>
          <w:sz w:val="24"/>
          <w:szCs w:val="24"/>
        </w:rPr>
        <w:t>94</w:t>
      </w:r>
      <w:r>
        <w:rPr>
          <w:rFonts w:ascii="Times New Roman" w:eastAsia="Times New Roman" w:hAnsi="Times New Roman" w:cs="Times New Roman"/>
          <w:color w:val="000000"/>
          <w:sz w:val="24"/>
          <w:szCs w:val="24"/>
        </w:rPr>
        <w:t>].</w:t>
      </w:r>
    </w:p>
    <w:p w14:paraId="6EC59643" w14:textId="77777777" w:rsidR="006D0435"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Table I. Comparison of traction-battery chemistries and emerging alternatives for electrified vehicles (typical qualitative trends).</w:t>
      </w:r>
    </w:p>
    <w:tbl>
      <w:tblPr>
        <w:tblStyle w:val="a1"/>
        <w:tblW w:w="99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770"/>
        <w:gridCol w:w="1620"/>
        <w:gridCol w:w="2010"/>
        <w:gridCol w:w="1440"/>
        <w:gridCol w:w="1440"/>
        <w:gridCol w:w="1710"/>
      </w:tblGrid>
      <w:tr w:rsidR="006D0435" w14:paraId="28315C4A" w14:textId="77777777">
        <w:tc>
          <w:tcPr>
            <w:tcW w:w="1770" w:type="dxa"/>
            <w:tcBorders>
              <w:left w:val="nil"/>
              <w:right w:val="nil"/>
            </w:tcBorders>
          </w:tcPr>
          <w:p w14:paraId="2D226F11"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Chemistry / system</w:t>
            </w:r>
          </w:p>
        </w:tc>
        <w:tc>
          <w:tcPr>
            <w:tcW w:w="1620" w:type="dxa"/>
            <w:tcBorders>
              <w:left w:val="nil"/>
              <w:right w:val="nil"/>
            </w:tcBorders>
          </w:tcPr>
          <w:p w14:paraId="1D0BBA37"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Strengths</w:t>
            </w:r>
          </w:p>
        </w:tc>
        <w:tc>
          <w:tcPr>
            <w:tcW w:w="2010" w:type="dxa"/>
            <w:tcBorders>
              <w:left w:val="nil"/>
              <w:right w:val="nil"/>
            </w:tcBorders>
          </w:tcPr>
          <w:p w14:paraId="65F39E0E"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Limitations / risks</w:t>
            </w:r>
          </w:p>
        </w:tc>
        <w:tc>
          <w:tcPr>
            <w:tcW w:w="1440" w:type="dxa"/>
            <w:tcBorders>
              <w:left w:val="nil"/>
              <w:right w:val="nil"/>
            </w:tcBorders>
          </w:tcPr>
          <w:p w14:paraId="4E036344"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Fast-charge outlook</w:t>
            </w:r>
          </w:p>
        </w:tc>
        <w:tc>
          <w:tcPr>
            <w:tcW w:w="1440" w:type="dxa"/>
            <w:tcBorders>
              <w:left w:val="nil"/>
              <w:right w:val="nil"/>
            </w:tcBorders>
          </w:tcPr>
          <w:p w14:paraId="7303FBEB"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Safety outlook</w:t>
            </w:r>
          </w:p>
        </w:tc>
        <w:tc>
          <w:tcPr>
            <w:tcW w:w="1710" w:type="dxa"/>
            <w:tcBorders>
              <w:left w:val="nil"/>
              <w:right w:val="nil"/>
            </w:tcBorders>
          </w:tcPr>
          <w:p w14:paraId="7AE46CDD"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Representative refs.</w:t>
            </w:r>
          </w:p>
        </w:tc>
      </w:tr>
      <w:tr w:rsidR="006D0435" w14:paraId="28F622F8" w14:textId="77777777">
        <w:tc>
          <w:tcPr>
            <w:tcW w:w="1770" w:type="dxa"/>
            <w:tcBorders>
              <w:left w:val="nil"/>
              <w:bottom w:val="nil"/>
              <w:right w:val="nil"/>
            </w:tcBorders>
          </w:tcPr>
          <w:p w14:paraId="08AE3C0F"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Li-ion (LFP)</w:t>
            </w:r>
          </w:p>
        </w:tc>
        <w:tc>
          <w:tcPr>
            <w:tcW w:w="1620" w:type="dxa"/>
            <w:tcBorders>
              <w:left w:val="nil"/>
              <w:bottom w:val="nil"/>
              <w:right w:val="nil"/>
            </w:tcBorders>
          </w:tcPr>
          <w:p w14:paraId="1F42AF44"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Good thermal stability; long cycle life; lower cost</w:t>
            </w:r>
          </w:p>
        </w:tc>
        <w:tc>
          <w:tcPr>
            <w:tcW w:w="2010" w:type="dxa"/>
            <w:tcBorders>
              <w:left w:val="nil"/>
              <w:bottom w:val="nil"/>
              <w:right w:val="nil"/>
            </w:tcBorders>
          </w:tcPr>
          <w:p w14:paraId="5C4A96CC"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Lower energy density than layered oxides; cold-temp power limits</w:t>
            </w:r>
          </w:p>
        </w:tc>
        <w:tc>
          <w:tcPr>
            <w:tcW w:w="1440" w:type="dxa"/>
            <w:tcBorders>
              <w:left w:val="nil"/>
              <w:bottom w:val="nil"/>
              <w:right w:val="nil"/>
            </w:tcBorders>
          </w:tcPr>
          <w:p w14:paraId="3487FACF"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Moderate; benefits from thermal control &amp; tailored protocols</w:t>
            </w:r>
          </w:p>
        </w:tc>
        <w:tc>
          <w:tcPr>
            <w:tcW w:w="1440" w:type="dxa"/>
            <w:tcBorders>
              <w:left w:val="nil"/>
              <w:bottom w:val="nil"/>
              <w:right w:val="nil"/>
            </w:tcBorders>
          </w:tcPr>
          <w:p w14:paraId="5FADA3D9"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Strong intrinsic stability; still requires pack-level mitigation</w:t>
            </w:r>
          </w:p>
        </w:tc>
        <w:tc>
          <w:tcPr>
            <w:tcW w:w="1710" w:type="dxa"/>
            <w:tcBorders>
              <w:left w:val="nil"/>
              <w:bottom w:val="nil"/>
              <w:right w:val="nil"/>
            </w:tcBorders>
          </w:tcPr>
          <w:p w14:paraId="2373B511"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t>
            </w:r>
            <w:r>
              <w:rPr>
                <w:rFonts w:ascii="Times New Roman" w:eastAsia="Times New Roman" w:hAnsi="Times New Roman" w:cs="Times New Roman"/>
                <w:sz w:val="16"/>
                <w:szCs w:val="16"/>
              </w:rPr>
              <w:t>88</w:t>
            </w:r>
            <w:r>
              <w:rPr>
                <w:rFonts w:ascii="Times New Roman" w:eastAsia="Times New Roman" w:hAnsi="Times New Roman" w:cs="Times New Roman"/>
                <w:color w:val="000000"/>
                <w:sz w:val="16"/>
                <w:szCs w:val="16"/>
              </w:rPr>
              <w:t>], [</w:t>
            </w:r>
            <w:r>
              <w:rPr>
                <w:rFonts w:ascii="Times New Roman" w:eastAsia="Times New Roman" w:hAnsi="Times New Roman" w:cs="Times New Roman"/>
                <w:sz w:val="16"/>
                <w:szCs w:val="16"/>
              </w:rPr>
              <w:t>91</w:t>
            </w:r>
            <w:r>
              <w:rPr>
                <w:rFonts w:ascii="Times New Roman" w:eastAsia="Times New Roman" w:hAnsi="Times New Roman" w:cs="Times New Roman"/>
                <w:color w:val="000000"/>
                <w:sz w:val="16"/>
                <w:szCs w:val="16"/>
              </w:rPr>
              <w:t>], [</w:t>
            </w:r>
            <w:r>
              <w:rPr>
                <w:rFonts w:ascii="Times New Roman" w:eastAsia="Times New Roman" w:hAnsi="Times New Roman" w:cs="Times New Roman"/>
                <w:sz w:val="16"/>
                <w:szCs w:val="16"/>
              </w:rPr>
              <w:t>92</w:t>
            </w:r>
            <w:r>
              <w:rPr>
                <w:rFonts w:ascii="Times New Roman" w:eastAsia="Times New Roman" w:hAnsi="Times New Roman" w:cs="Times New Roman"/>
                <w:color w:val="000000"/>
                <w:sz w:val="16"/>
                <w:szCs w:val="16"/>
              </w:rPr>
              <w:t>]</w:t>
            </w:r>
          </w:p>
        </w:tc>
      </w:tr>
      <w:tr w:rsidR="006D0435" w14:paraId="7CDD22E2" w14:textId="77777777">
        <w:tc>
          <w:tcPr>
            <w:tcW w:w="1770" w:type="dxa"/>
            <w:tcBorders>
              <w:top w:val="nil"/>
              <w:left w:val="nil"/>
              <w:bottom w:val="nil"/>
              <w:right w:val="nil"/>
            </w:tcBorders>
          </w:tcPr>
          <w:p w14:paraId="05A85D1D"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Li-ion (NMC/NCA)</w:t>
            </w:r>
          </w:p>
        </w:tc>
        <w:tc>
          <w:tcPr>
            <w:tcW w:w="1620" w:type="dxa"/>
            <w:tcBorders>
              <w:top w:val="nil"/>
              <w:left w:val="nil"/>
              <w:bottom w:val="nil"/>
              <w:right w:val="nil"/>
            </w:tcBorders>
          </w:tcPr>
          <w:p w14:paraId="2708CCEC"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High energy density; good power with optimized design</w:t>
            </w:r>
          </w:p>
        </w:tc>
        <w:tc>
          <w:tcPr>
            <w:tcW w:w="2010" w:type="dxa"/>
            <w:tcBorders>
              <w:top w:val="nil"/>
              <w:left w:val="nil"/>
              <w:bottom w:val="nil"/>
              <w:right w:val="nil"/>
            </w:tcBorders>
          </w:tcPr>
          <w:p w14:paraId="17AA33BB"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Higher thermal reactivity; Ni/Co supply risk; aging sensitivity</w:t>
            </w:r>
          </w:p>
        </w:tc>
        <w:tc>
          <w:tcPr>
            <w:tcW w:w="1440" w:type="dxa"/>
            <w:tcBorders>
              <w:top w:val="nil"/>
              <w:left w:val="nil"/>
              <w:bottom w:val="nil"/>
              <w:right w:val="nil"/>
            </w:tcBorders>
          </w:tcPr>
          <w:p w14:paraId="778F5709"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Good potential but plating/heat constraints dominate</w:t>
            </w:r>
          </w:p>
        </w:tc>
        <w:tc>
          <w:tcPr>
            <w:tcW w:w="1440" w:type="dxa"/>
            <w:tcBorders>
              <w:top w:val="nil"/>
              <w:left w:val="nil"/>
              <w:bottom w:val="nil"/>
              <w:right w:val="nil"/>
            </w:tcBorders>
          </w:tcPr>
          <w:p w14:paraId="510AE6C2"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Requires robust sensing, cooling, and propagation barriers</w:t>
            </w:r>
          </w:p>
        </w:tc>
        <w:tc>
          <w:tcPr>
            <w:tcW w:w="1710" w:type="dxa"/>
            <w:tcBorders>
              <w:top w:val="nil"/>
              <w:left w:val="nil"/>
              <w:bottom w:val="nil"/>
              <w:right w:val="nil"/>
            </w:tcBorders>
          </w:tcPr>
          <w:p w14:paraId="2A438F4C"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t>
            </w:r>
            <w:r>
              <w:rPr>
                <w:rFonts w:ascii="Times New Roman" w:eastAsia="Times New Roman" w:hAnsi="Times New Roman" w:cs="Times New Roman"/>
                <w:sz w:val="16"/>
                <w:szCs w:val="16"/>
              </w:rPr>
              <w:t>88</w:t>
            </w:r>
            <w:r>
              <w:rPr>
                <w:rFonts w:ascii="Times New Roman" w:eastAsia="Times New Roman" w:hAnsi="Times New Roman" w:cs="Times New Roman"/>
                <w:color w:val="000000"/>
                <w:sz w:val="16"/>
                <w:szCs w:val="16"/>
              </w:rPr>
              <w:t>], [</w:t>
            </w:r>
            <w:r>
              <w:rPr>
                <w:rFonts w:ascii="Times New Roman" w:eastAsia="Times New Roman" w:hAnsi="Times New Roman" w:cs="Times New Roman"/>
                <w:sz w:val="16"/>
                <w:szCs w:val="16"/>
              </w:rPr>
              <w:t>93</w:t>
            </w:r>
            <w:r>
              <w:rPr>
                <w:rFonts w:ascii="Times New Roman" w:eastAsia="Times New Roman" w:hAnsi="Times New Roman" w:cs="Times New Roman"/>
                <w:color w:val="000000"/>
                <w:sz w:val="16"/>
                <w:szCs w:val="16"/>
              </w:rPr>
              <w:t>], [</w:t>
            </w:r>
            <w:r>
              <w:rPr>
                <w:rFonts w:ascii="Times New Roman" w:eastAsia="Times New Roman" w:hAnsi="Times New Roman" w:cs="Times New Roman"/>
                <w:sz w:val="16"/>
                <w:szCs w:val="16"/>
              </w:rPr>
              <w:t>94</w:t>
            </w:r>
            <w:r>
              <w:rPr>
                <w:rFonts w:ascii="Times New Roman" w:eastAsia="Times New Roman" w:hAnsi="Times New Roman" w:cs="Times New Roman"/>
                <w:color w:val="000000"/>
                <w:sz w:val="16"/>
                <w:szCs w:val="16"/>
              </w:rPr>
              <w:t>], [96]</w:t>
            </w:r>
          </w:p>
        </w:tc>
      </w:tr>
      <w:tr w:rsidR="006D0435" w14:paraId="34D9A3AA" w14:textId="77777777">
        <w:tc>
          <w:tcPr>
            <w:tcW w:w="1770" w:type="dxa"/>
            <w:tcBorders>
              <w:top w:val="nil"/>
              <w:left w:val="nil"/>
              <w:bottom w:val="nil"/>
              <w:right w:val="nil"/>
            </w:tcBorders>
          </w:tcPr>
          <w:p w14:paraId="4A9034DB"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Li-ion (LTO anode)</w:t>
            </w:r>
          </w:p>
        </w:tc>
        <w:tc>
          <w:tcPr>
            <w:tcW w:w="1620" w:type="dxa"/>
            <w:tcBorders>
              <w:top w:val="nil"/>
              <w:left w:val="nil"/>
              <w:bottom w:val="nil"/>
              <w:right w:val="nil"/>
            </w:tcBorders>
          </w:tcPr>
          <w:p w14:paraId="1948A009"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Very high power and fast-charge capability; long life</w:t>
            </w:r>
          </w:p>
        </w:tc>
        <w:tc>
          <w:tcPr>
            <w:tcW w:w="2010" w:type="dxa"/>
            <w:tcBorders>
              <w:top w:val="nil"/>
              <w:left w:val="nil"/>
              <w:bottom w:val="nil"/>
              <w:right w:val="nil"/>
            </w:tcBorders>
          </w:tcPr>
          <w:p w14:paraId="12303105"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Lower cell voltage and energy density; cost</w:t>
            </w:r>
          </w:p>
        </w:tc>
        <w:tc>
          <w:tcPr>
            <w:tcW w:w="1440" w:type="dxa"/>
            <w:tcBorders>
              <w:top w:val="nil"/>
              <w:left w:val="nil"/>
              <w:bottom w:val="nil"/>
              <w:right w:val="nil"/>
            </w:tcBorders>
          </w:tcPr>
          <w:p w14:paraId="5DD545AF"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Excellent; widely used where power &gt; energy</w:t>
            </w:r>
          </w:p>
        </w:tc>
        <w:tc>
          <w:tcPr>
            <w:tcW w:w="1440" w:type="dxa"/>
            <w:tcBorders>
              <w:top w:val="nil"/>
              <w:left w:val="nil"/>
              <w:bottom w:val="nil"/>
              <w:right w:val="nil"/>
            </w:tcBorders>
          </w:tcPr>
          <w:p w14:paraId="59DF459B"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Generally strong; lower risk of lithium plating</w:t>
            </w:r>
          </w:p>
        </w:tc>
        <w:tc>
          <w:tcPr>
            <w:tcW w:w="1710" w:type="dxa"/>
            <w:tcBorders>
              <w:top w:val="nil"/>
              <w:left w:val="nil"/>
              <w:bottom w:val="nil"/>
              <w:right w:val="nil"/>
            </w:tcBorders>
          </w:tcPr>
          <w:p w14:paraId="657E2EE3"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t>
            </w:r>
            <w:r>
              <w:rPr>
                <w:rFonts w:ascii="Times New Roman" w:eastAsia="Times New Roman" w:hAnsi="Times New Roman" w:cs="Times New Roman"/>
                <w:sz w:val="16"/>
                <w:szCs w:val="16"/>
              </w:rPr>
              <w:t>93</w:t>
            </w:r>
            <w:r>
              <w:rPr>
                <w:rFonts w:ascii="Times New Roman" w:eastAsia="Times New Roman" w:hAnsi="Times New Roman" w:cs="Times New Roman"/>
                <w:color w:val="000000"/>
                <w:sz w:val="16"/>
                <w:szCs w:val="16"/>
              </w:rPr>
              <w:t>], [96]</w:t>
            </w:r>
          </w:p>
        </w:tc>
      </w:tr>
      <w:tr w:rsidR="006D0435" w14:paraId="1867333F" w14:textId="77777777">
        <w:tc>
          <w:tcPr>
            <w:tcW w:w="1770" w:type="dxa"/>
            <w:tcBorders>
              <w:top w:val="nil"/>
              <w:left w:val="nil"/>
              <w:bottom w:val="nil"/>
              <w:right w:val="nil"/>
            </w:tcBorders>
          </w:tcPr>
          <w:p w14:paraId="1C688B80"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Solid-state (Li-metal target)</w:t>
            </w:r>
          </w:p>
        </w:tc>
        <w:tc>
          <w:tcPr>
            <w:tcW w:w="1620" w:type="dxa"/>
            <w:tcBorders>
              <w:top w:val="nil"/>
              <w:left w:val="nil"/>
              <w:bottom w:val="nil"/>
              <w:right w:val="nil"/>
            </w:tcBorders>
          </w:tcPr>
          <w:p w14:paraId="71BC5FB3"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Potential for higher energy; improved nonflammable electrolyte options</w:t>
            </w:r>
          </w:p>
        </w:tc>
        <w:tc>
          <w:tcPr>
            <w:tcW w:w="2010" w:type="dxa"/>
            <w:tcBorders>
              <w:top w:val="nil"/>
              <w:left w:val="nil"/>
              <w:bottom w:val="nil"/>
              <w:right w:val="nil"/>
            </w:tcBorders>
          </w:tcPr>
          <w:p w14:paraId="62B04AB0"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Interface resistance; manufacturability; dendrite/short risks at interfaces</w:t>
            </w:r>
          </w:p>
        </w:tc>
        <w:tc>
          <w:tcPr>
            <w:tcW w:w="1440" w:type="dxa"/>
            <w:tcBorders>
              <w:top w:val="nil"/>
              <w:left w:val="nil"/>
              <w:bottom w:val="nil"/>
              <w:right w:val="nil"/>
            </w:tcBorders>
          </w:tcPr>
          <w:p w14:paraId="202E3B19"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Potentially good but constrained by interfaces and heat removal</w:t>
            </w:r>
          </w:p>
        </w:tc>
        <w:tc>
          <w:tcPr>
            <w:tcW w:w="1440" w:type="dxa"/>
            <w:tcBorders>
              <w:top w:val="nil"/>
              <w:left w:val="nil"/>
              <w:bottom w:val="nil"/>
              <w:right w:val="nil"/>
            </w:tcBorders>
          </w:tcPr>
          <w:p w14:paraId="289DFCE9"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Potentially improved vs liquid electrolyte, but failure modes remain</w:t>
            </w:r>
          </w:p>
        </w:tc>
        <w:tc>
          <w:tcPr>
            <w:tcW w:w="1710" w:type="dxa"/>
            <w:tcBorders>
              <w:top w:val="nil"/>
              <w:left w:val="nil"/>
              <w:bottom w:val="nil"/>
              <w:right w:val="nil"/>
            </w:tcBorders>
          </w:tcPr>
          <w:p w14:paraId="4FFC2D6B"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t>
            </w:r>
            <w:r>
              <w:rPr>
                <w:rFonts w:ascii="Times New Roman" w:eastAsia="Times New Roman" w:hAnsi="Times New Roman" w:cs="Times New Roman"/>
                <w:sz w:val="16"/>
                <w:szCs w:val="16"/>
              </w:rPr>
              <w:t>97</w:t>
            </w:r>
            <w:r>
              <w:rPr>
                <w:rFonts w:ascii="Times New Roman" w:eastAsia="Times New Roman" w:hAnsi="Times New Roman" w:cs="Times New Roman"/>
                <w:color w:val="000000"/>
                <w:sz w:val="16"/>
                <w:szCs w:val="16"/>
              </w:rPr>
              <w:t>]</w:t>
            </w:r>
          </w:p>
        </w:tc>
      </w:tr>
      <w:tr w:rsidR="006D0435" w14:paraId="14E9E907" w14:textId="77777777">
        <w:tc>
          <w:tcPr>
            <w:tcW w:w="1770" w:type="dxa"/>
            <w:tcBorders>
              <w:top w:val="nil"/>
              <w:left w:val="nil"/>
              <w:bottom w:val="nil"/>
              <w:right w:val="nil"/>
            </w:tcBorders>
          </w:tcPr>
          <w:p w14:paraId="4A25B567"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Sodium-based batteries (Na-ion, Na-metal variants)</w:t>
            </w:r>
          </w:p>
        </w:tc>
        <w:tc>
          <w:tcPr>
            <w:tcW w:w="1620" w:type="dxa"/>
            <w:tcBorders>
              <w:top w:val="nil"/>
              <w:left w:val="nil"/>
              <w:bottom w:val="nil"/>
              <w:right w:val="nil"/>
            </w:tcBorders>
          </w:tcPr>
          <w:p w14:paraId="23AD0F21"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Lower-cost/supply risk; scalable materials base</w:t>
            </w:r>
          </w:p>
        </w:tc>
        <w:tc>
          <w:tcPr>
            <w:tcW w:w="2010" w:type="dxa"/>
            <w:tcBorders>
              <w:top w:val="nil"/>
              <w:left w:val="nil"/>
              <w:bottom w:val="nil"/>
              <w:right w:val="nil"/>
            </w:tcBorders>
          </w:tcPr>
          <w:p w14:paraId="412A2F3E"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Lower energy density (today); cathode/anode stability and electrolyte maturity</w:t>
            </w:r>
          </w:p>
        </w:tc>
        <w:tc>
          <w:tcPr>
            <w:tcW w:w="1440" w:type="dxa"/>
            <w:tcBorders>
              <w:top w:val="nil"/>
              <w:left w:val="nil"/>
              <w:bottom w:val="nil"/>
              <w:right w:val="nil"/>
            </w:tcBorders>
          </w:tcPr>
          <w:p w14:paraId="0A633797"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Developing; may prioritize cost and moderate range</w:t>
            </w:r>
          </w:p>
        </w:tc>
        <w:tc>
          <w:tcPr>
            <w:tcW w:w="1440" w:type="dxa"/>
            <w:tcBorders>
              <w:top w:val="nil"/>
              <w:left w:val="nil"/>
              <w:bottom w:val="nil"/>
              <w:right w:val="nil"/>
            </w:tcBorders>
          </w:tcPr>
          <w:p w14:paraId="1B585C12"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Depends on chemistry; promise for safer and cheaper systems</w:t>
            </w:r>
          </w:p>
        </w:tc>
        <w:tc>
          <w:tcPr>
            <w:tcW w:w="1710" w:type="dxa"/>
            <w:tcBorders>
              <w:top w:val="nil"/>
              <w:left w:val="nil"/>
              <w:bottom w:val="nil"/>
              <w:right w:val="nil"/>
            </w:tcBorders>
          </w:tcPr>
          <w:p w14:paraId="27D0EB91"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t>
            </w:r>
            <w:r>
              <w:rPr>
                <w:rFonts w:ascii="Times New Roman" w:eastAsia="Times New Roman" w:hAnsi="Times New Roman" w:cs="Times New Roman"/>
                <w:sz w:val="16"/>
                <w:szCs w:val="16"/>
              </w:rPr>
              <w:t>98</w:t>
            </w:r>
            <w:r>
              <w:rPr>
                <w:rFonts w:ascii="Times New Roman" w:eastAsia="Times New Roman" w:hAnsi="Times New Roman" w:cs="Times New Roman"/>
                <w:color w:val="000000"/>
                <w:sz w:val="16"/>
                <w:szCs w:val="16"/>
              </w:rPr>
              <w:t>]</w:t>
            </w:r>
          </w:p>
        </w:tc>
      </w:tr>
      <w:tr w:rsidR="006D0435" w14:paraId="26A17993" w14:textId="77777777">
        <w:tc>
          <w:tcPr>
            <w:tcW w:w="1770" w:type="dxa"/>
            <w:tcBorders>
              <w:top w:val="nil"/>
              <w:left w:val="nil"/>
              <w:right w:val="nil"/>
            </w:tcBorders>
          </w:tcPr>
          <w:p w14:paraId="6C9D72BA"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Supercapacitors (hybrid storage)</w:t>
            </w:r>
          </w:p>
        </w:tc>
        <w:tc>
          <w:tcPr>
            <w:tcW w:w="1620" w:type="dxa"/>
            <w:tcBorders>
              <w:top w:val="nil"/>
              <w:left w:val="nil"/>
              <w:right w:val="nil"/>
            </w:tcBorders>
          </w:tcPr>
          <w:p w14:paraId="6F474AD2"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Ultra-high power; very long cycle life</w:t>
            </w:r>
          </w:p>
        </w:tc>
        <w:tc>
          <w:tcPr>
            <w:tcW w:w="2010" w:type="dxa"/>
            <w:tcBorders>
              <w:top w:val="nil"/>
              <w:left w:val="nil"/>
              <w:right w:val="nil"/>
            </w:tcBorders>
          </w:tcPr>
          <w:p w14:paraId="1D0E40DE"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Very low energy; self-discharge</w:t>
            </w:r>
          </w:p>
        </w:tc>
        <w:tc>
          <w:tcPr>
            <w:tcW w:w="1440" w:type="dxa"/>
            <w:tcBorders>
              <w:top w:val="nil"/>
              <w:left w:val="nil"/>
              <w:right w:val="nil"/>
            </w:tcBorders>
          </w:tcPr>
          <w:p w14:paraId="46DB51C0"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Excellent for pulse buffering rather than full fast charge</w:t>
            </w:r>
          </w:p>
        </w:tc>
        <w:tc>
          <w:tcPr>
            <w:tcW w:w="1440" w:type="dxa"/>
            <w:tcBorders>
              <w:top w:val="nil"/>
              <w:left w:val="nil"/>
              <w:right w:val="nil"/>
            </w:tcBorders>
          </w:tcPr>
          <w:p w14:paraId="66DC0911"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Generally strong; limited energy reduces hazard magnitude</w:t>
            </w:r>
          </w:p>
        </w:tc>
        <w:tc>
          <w:tcPr>
            <w:tcW w:w="1710" w:type="dxa"/>
            <w:tcBorders>
              <w:top w:val="nil"/>
              <w:left w:val="nil"/>
              <w:right w:val="nil"/>
            </w:tcBorders>
          </w:tcPr>
          <w:p w14:paraId="2254B49C"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t>
            </w:r>
            <w:r>
              <w:rPr>
                <w:rFonts w:ascii="Times New Roman" w:eastAsia="Times New Roman" w:hAnsi="Times New Roman" w:cs="Times New Roman"/>
                <w:sz w:val="16"/>
                <w:szCs w:val="16"/>
              </w:rPr>
              <w:t>88</w:t>
            </w:r>
            <w:r>
              <w:rPr>
                <w:rFonts w:ascii="Times New Roman" w:eastAsia="Times New Roman" w:hAnsi="Times New Roman" w:cs="Times New Roman"/>
                <w:color w:val="000000"/>
                <w:sz w:val="16"/>
                <w:szCs w:val="16"/>
              </w:rPr>
              <w:t>]</w:t>
            </w:r>
          </w:p>
        </w:tc>
      </w:tr>
    </w:tbl>
    <w:p w14:paraId="1BC1B906" w14:textId="77777777" w:rsidR="006D0435" w:rsidRDefault="00000000">
      <w:pPr>
        <w:spacing w:after="24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Note: Table entries summarize trends commonly discussed across the cited papers; specific numerical values depend on manufacturer design and operating window.</w:t>
      </w:r>
    </w:p>
    <w:p w14:paraId="71E3CCA1" w14:textId="77777777" w:rsidR="006D0435" w:rsidRDefault="00000000">
      <w:pPr>
        <w:pStyle w:val="Heading2"/>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 Battery management systems: architecture, state estimation, and controls</w:t>
      </w:r>
    </w:p>
    <w:p w14:paraId="4B2E3832"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battery management system makes sure that the pack works at safe levels of voltage, current, and temperature. It also gives the right amount of power and makes the pack last longer. The main jobs of a BMS are to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measure the voltage, current, and temperature of a cell or pack; (ii) find out the state of charge (SOC); (iii) find out the state of health (SOH) (capacity and resistance); (iv) find out the state of power (SOP); (v) balance the cells; (vi) coordinate thermal and charging control; and (vii) find and fix problems. According to modern reviews, state estimation is the "brain" of the BMS. We can use the battery in the best way possible and avoid situations that speed up aging or make it less safe if we know the SOC, SOH, and SOP [</w:t>
      </w:r>
      <w:r>
        <w:rPr>
          <w:rFonts w:ascii="Times New Roman" w:eastAsia="Times New Roman" w:hAnsi="Times New Roman" w:cs="Times New Roman"/>
          <w:sz w:val="24"/>
          <w:szCs w:val="24"/>
        </w:rPr>
        <w:t>89</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90</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91</w:t>
      </w:r>
      <w:r>
        <w:rPr>
          <w:rFonts w:ascii="Times New Roman" w:eastAsia="Times New Roman" w:hAnsi="Times New Roman" w:cs="Times New Roman"/>
          <w:color w:val="000000"/>
          <w:sz w:val="24"/>
          <w:szCs w:val="24"/>
        </w:rPr>
        <w:t>].</w:t>
      </w:r>
    </w:p>
    <w:p w14:paraId="472EABCF"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Wang et al. [</w:t>
      </w:r>
      <w:r>
        <w:rPr>
          <w:rFonts w:ascii="Times New Roman" w:eastAsia="Times New Roman" w:hAnsi="Times New Roman" w:cs="Times New Roman"/>
          <w:sz w:val="24"/>
          <w:szCs w:val="24"/>
        </w:rPr>
        <w:t>89</w:t>
      </w:r>
      <w:r>
        <w:rPr>
          <w:rFonts w:ascii="Times New Roman" w:eastAsia="Times New Roman" w:hAnsi="Times New Roman" w:cs="Times New Roman"/>
          <w:color w:val="000000"/>
          <w:sz w:val="24"/>
          <w:szCs w:val="24"/>
        </w:rPr>
        <w:t xml:space="preserve">] categorize BMS-related models into three categories: equivalent circuit models (ECMs), electrochemical models, and data-driven models. A lot of people use ECMs for onboard estimation and control because they are simple to use and don't use up a lot of computer power. But their parameters change with </w:t>
      </w:r>
      <w:r>
        <w:rPr>
          <w:rFonts w:ascii="Times New Roman" w:eastAsia="Times New Roman" w:hAnsi="Times New Roman" w:cs="Times New Roman"/>
          <w:color w:val="000000"/>
          <w:sz w:val="24"/>
          <w:szCs w:val="24"/>
        </w:rPr>
        <w:lastRenderedPageBreak/>
        <w:t>temperature and how old they are. Electrochemical models give us a mechanistic understanding, but they are hard to break down into simple parts that can be used in real time. Data-driven models can handle complex nonlinearities when there is a lot of good data, but they are still hard to use with different chemistries and operating conditions. Recent studies amalgamate hybrid methodologies that integrate physical constraints into learning-based models to augment robustness [</w:t>
      </w:r>
      <w:r>
        <w:rPr>
          <w:rFonts w:ascii="Times New Roman" w:eastAsia="Times New Roman" w:hAnsi="Times New Roman" w:cs="Times New Roman"/>
          <w:sz w:val="24"/>
          <w:szCs w:val="24"/>
        </w:rPr>
        <w:t>90</w:t>
      </w:r>
      <w:r>
        <w:rPr>
          <w:rFonts w:ascii="Times New Roman" w:eastAsia="Times New Roman" w:hAnsi="Times New Roman" w:cs="Times New Roman"/>
          <w:color w:val="000000"/>
          <w:sz w:val="24"/>
          <w:szCs w:val="24"/>
        </w:rPr>
        <w:t>].</w:t>
      </w:r>
    </w:p>
    <w:p w14:paraId="6481EF47" w14:textId="77777777" w:rsidR="006D0435"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II. BMS state estimation and safety functions: representative approaches and practical considerations.</w:t>
      </w:r>
    </w:p>
    <w:tbl>
      <w:tblPr>
        <w:tblStyle w:val="a2"/>
        <w:tblW w:w="979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189"/>
        <w:gridCol w:w="2695"/>
        <w:gridCol w:w="2215"/>
        <w:gridCol w:w="2029"/>
        <w:gridCol w:w="663"/>
      </w:tblGrid>
      <w:tr w:rsidR="006D0435" w14:paraId="572718CB" w14:textId="77777777">
        <w:trPr>
          <w:trHeight w:val="601"/>
        </w:trPr>
        <w:tc>
          <w:tcPr>
            <w:tcW w:w="2189" w:type="dxa"/>
            <w:tcBorders>
              <w:left w:val="nil"/>
              <w:right w:val="nil"/>
            </w:tcBorders>
          </w:tcPr>
          <w:p w14:paraId="67C550C8"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BMS function</w:t>
            </w:r>
          </w:p>
        </w:tc>
        <w:tc>
          <w:tcPr>
            <w:tcW w:w="2695" w:type="dxa"/>
            <w:tcBorders>
              <w:left w:val="nil"/>
              <w:right w:val="nil"/>
            </w:tcBorders>
          </w:tcPr>
          <w:p w14:paraId="17B8E844"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Why it matters</w:t>
            </w:r>
          </w:p>
        </w:tc>
        <w:tc>
          <w:tcPr>
            <w:tcW w:w="2215" w:type="dxa"/>
            <w:tcBorders>
              <w:left w:val="nil"/>
              <w:right w:val="nil"/>
            </w:tcBorders>
          </w:tcPr>
          <w:p w14:paraId="2BB349DA"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Common approaches</w:t>
            </w:r>
          </w:p>
        </w:tc>
        <w:tc>
          <w:tcPr>
            <w:tcW w:w="2029" w:type="dxa"/>
            <w:tcBorders>
              <w:left w:val="nil"/>
              <w:right w:val="nil"/>
            </w:tcBorders>
          </w:tcPr>
          <w:p w14:paraId="1824FF2C"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Main pitfalls</w:t>
            </w:r>
          </w:p>
        </w:tc>
        <w:tc>
          <w:tcPr>
            <w:tcW w:w="663" w:type="dxa"/>
            <w:tcBorders>
              <w:left w:val="nil"/>
              <w:right w:val="nil"/>
            </w:tcBorders>
          </w:tcPr>
          <w:p w14:paraId="5E5DFFB1"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bCs/>
                <w:color w:val="000000"/>
                <w:sz w:val="16"/>
                <w:szCs w:val="16"/>
              </w:rPr>
              <w:t>Key refs.</w:t>
            </w:r>
          </w:p>
        </w:tc>
      </w:tr>
      <w:tr w:rsidR="006D0435" w14:paraId="25508367" w14:textId="77777777">
        <w:trPr>
          <w:trHeight w:val="1591"/>
        </w:trPr>
        <w:tc>
          <w:tcPr>
            <w:tcW w:w="2189" w:type="dxa"/>
            <w:tcBorders>
              <w:left w:val="nil"/>
              <w:bottom w:val="nil"/>
              <w:right w:val="nil"/>
            </w:tcBorders>
          </w:tcPr>
          <w:p w14:paraId="11EF0861"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SOC estimation</w:t>
            </w:r>
          </w:p>
        </w:tc>
        <w:tc>
          <w:tcPr>
            <w:tcW w:w="2695" w:type="dxa"/>
            <w:tcBorders>
              <w:left w:val="nil"/>
              <w:bottom w:val="nil"/>
              <w:right w:val="nil"/>
            </w:tcBorders>
          </w:tcPr>
          <w:p w14:paraId="1A21228B"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Range prediction; fast-charge and power limits</w:t>
            </w:r>
          </w:p>
        </w:tc>
        <w:tc>
          <w:tcPr>
            <w:tcW w:w="2215" w:type="dxa"/>
            <w:tcBorders>
              <w:left w:val="nil"/>
              <w:bottom w:val="nil"/>
              <w:right w:val="nil"/>
            </w:tcBorders>
          </w:tcPr>
          <w:p w14:paraId="0436F5E8"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Coulomb counting + correction; Kalman filters; observer-based ECMs; hybrid learning</w:t>
            </w:r>
          </w:p>
        </w:tc>
        <w:tc>
          <w:tcPr>
            <w:tcW w:w="2029" w:type="dxa"/>
            <w:tcBorders>
              <w:left w:val="nil"/>
              <w:bottom w:val="nil"/>
              <w:right w:val="nil"/>
            </w:tcBorders>
          </w:tcPr>
          <w:p w14:paraId="4B847CBA"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Sensor drift; parameter changes with temperature/aging; dynamic hysteresis</w:t>
            </w:r>
          </w:p>
        </w:tc>
        <w:tc>
          <w:tcPr>
            <w:tcW w:w="663" w:type="dxa"/>
            <w:tcBorders>
              <w:left w:val="nil"/>
              <w:bottom w:val="nil"/>
              <w:right w:val="nil"/>
            </w:tcBorders>
          </w:tcPr>
          <w:p w14:paraId="34B1D54C"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t>
            </w:r>
            <w:r>
              <w:rPr>
                <w:rFonts w:ascii="Times New Roman" w:eastAsia="Times New Roman" w:hAnsi="Times New Roman" w:cs="Times New Roman"/>
                <w:sz w:val="16"/>
                <w:szCs w:val="16"/>
              </w:rPr>
              <w:t>89</w:t>
            </w:r>
            <w:r>
              <w:rPr>
                <w:rFonts w:ascii="Times New Roman" w:eastAsia="Times New Roman" w:hAnsi="Times New Roman" w:cs="Times New Roman"/>
                <w:color w:val="000000"/>
                <w:sz w:val="16"/>
                <w:szCs w:val="16"/>
              </w:rPr>
              <w:t>], [</w:t>
            </w:r>
            <w:r>
              <w:rPr>
                <w:rFonts w:ascii="Times New Roman" w:eastAsia="Times New Roman" w:hAnsi="Times New Roman" w:cs="Times New Roman"/>
                <w:sz w:val="16"/>
                <w:szCs w:val="16"/>
              </w:rPr>
              <w:t>90</w:t>
            </w:r>
            <w:r>
              <w:rPr>
                <w:rFonts w:ascii="Times New Roman" w:eastAsia="Times New Roman" w:hAnsi="Times New Roman" w:cs="Times New Roman"/>
                <w:color w:val="000000"/>
                <w:sz w:val="16"/>
                <w:szCs w:val="16"/>
              </w:rPr>
              <w:t>]</w:t>
            </w:r>
          </w:p>
        </w:tc>
      </w:tr>
      <w:tr w:rsidR="006D0435" w14:paraId="36EBF9CB" w14:textId="77777777">
        <w:trPr>
          <w:trHeight w:val="1591"/>
        </w:trPr>
        <w:tc>
          <w:tcPr>
            <w:tcW w:w="2189" w:type="dxa"/>
            <w:tcBorders>
              <w:top w:val="nil"/>
              <w:left w:val="nil"/>
              <w:bottom w:val="nil"/>
              <w:right w:val="nil"/>
            </w:tcBorders>
          </w:tcPr>
          <w:p w14:paraId="1CCDC223"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SOH estimation (capacity/resistance)</w:t>
            </w:r>
          </w:p>
        </w:tc>
        <w:tc>
          <w:tcPr>
            <w:tcW w:w="2695" w:type="dxa"/>
            <w:tcBorders>
              <w:top w:val="nil"/>
              <w:left w:val="nil"/>
              <w:bottom w:val="nil"/>
              <w:right w:val="nil"/>
            </w:tcBorders>
          </w:tcPr>
          <w:p w14:paraId="1C9D89A4"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Warranty and lifetime management; derating decisions</w:t>
            </w:r>
          </w:p>
        </w:tc>
        <w:tc>
          <w:tcPr>
            <w:tcW w:w="2215" w:type="dxa"/>
            <w:tcBorders>
              <w:top w:val="nil"/>
              <w:left w:val="nil"/>
              <w:bottom w:val="nil"/>
              <w:right w:val="nil"/>
            </w:tcBorders>
          </w:tcPr>
          <w:p w14:paraId="62B612A5"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Incremental capacity/voltage methods; impedance features; model-based aging states; machine learning</w:t>
            </w:r>
          </w:p>
        </w:tc>
        <w:tc>
          <w:tcPr>
            <w:tcW w:w="2029" w:type="dxa"/>
            <w:tcBorders>
              <w:top w:val="nil"/>
              <w:left w:val="nil"/>
              <w:bottom w:val="nil"/>
              <w:right w:val="nil"/>
            </w:tcBorders>
          </w:tcPr>
          <w:p w14:paraId="7DF63B60"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Requires representative aging data; confounding by temperature and SOC history</w:t>
            </w:r>
          </w:p>
        </w:tc>
        <w:tc>
          <w:tcPr>
            <w:tcW w:w="663" w:type="dxa"/>
            <w:tcBorders>
              <w:top w:val="nil"/>
              <w:left w:val="nil"/>
              <w:bottom w:val="nil"/>
              <w:right w:val="nil"/>
            </w:tcBorders>
          </w:tcPr>
          <w:p w14:paraId="6A50C03E"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t>
            </w:r>
            <w:r>
              <w:rPr>
                <w:rFonts w:ascii="Times New Roman" w:eastAsia="Times New Roman" w:hAnsi="Times New Roman" w:cs="Times New Roman"/>
                <w:sz w:val="16"/>
                <w:szCs w:val="16"/>
              </w:rPr>
              <w:t>89</w:t>
            </w:r>
            <w:r>
              <w:rPr>
                <w:rFonts w:ascii="Times New Roman" w:eastAsia="Times New Roman" w:hAnsi="Times New Roman" w:cs="Times New Roman"/>
                <w:color w:val="000000"/>
                <w:sz w:val="16"/>
                <w:szCs w:val="16"/>
              </w:rPr>
              <w:t>], [</w:t>
            </w:r>
            <w:r>
              <w:rPr>
                <w:rFonts w:ascii="Times New Roman" w:eastAsia="Times New Roman" w:hAnsi="Times New Roman" w:cs="Times New Roman"/>
                <w:sz w:val="16"/>
                <w:szCs w:val="16"/>
              </w:rPr>
              <w:t>90</w:t>
            </w:r>
            <w:r>
              <w:rPr>
                <w:rFonts w:ascii="Times New Roman" w:eastAsia="Times New Roman" w:hAnsi="Times New Roman" w:cs="Times New Roman"/>
                <w:color w:val="000000"/>
                <w:sz w:val="16"/>
                <w:szCs w:val="16"/>
              </w:rPr>
              <w:t>], [96]</w:t>
            </w:r>
          </w:p>
        </w:tc>
      </w:tr>
      <w:tr w:rsidR="006D0435" w14:paraId="775A09CC" w14:textId="77777777">
        <w:trPr>
          <w:trHeight w:val="1609"/>
        </w:trPr>
        <w:tc>
          <w:tcPr>
            <w:tcW w:w="2189" w:type="dxa"/>
            <w:tcBorders>
              <w:top w:val="nil"/>
              <w:left w:val="nil"/>
              <w:bottom w:val="nil"/>
              <w:right w:val="nil"/>
            </w:tcBorders>
          </w:tcPr>
          <w:p w14:paraId="15DAB079"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SOP prediction</w:t>
            </w:r>
          </w:p>
        </w:tc>
        <w:tc>
          <w:tcPr>
            <w:tcW w:w="2695" w:type="dxa"/>
            <w:tcBorders>
              <w:top w:val="nil"/>
              <w:left w:val="nil"/>
              <w:bottom w:val="nil"/>
              <w:right w:val="nil"/>
            </w:tcBorders>
          </w:tcPr>
          <w:p w14:paraId="01B0CFA1"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Power limits for traction and regen; safety margins</w:t>
            </w:r>
          </w:p>
        </w:tc>
        <w:tc>
          <w:tcPr>
            <w:tcW w:w="2215" w:type="dxa"/>
            <w:tcBorders>
              <w:top w:val="nil"/>
              <w:left w:val="nil"/>
              <w:bottom w:val="nil"/>
              <w:right w:val="nil"/>
            </w:tcBorders>
          </w:tcPr>
          <w:p w14:paraId="7719F368"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Model-based prediction using ECM + constraints; temperature-aware limits; hybrid approaches</w:t>
            </w:r>
          </w:p>
        </w:tc>
        <w:tc>
          <w:tcPr>
            <w:tcW w:w="2029" w:type="dxa"/>
            <w:tcBorders>
              <w:top w:val="nil"/>
              <w:left w:val="nil"/>
              <w:bottom w:val="nil"/>
              <w:right w:val="nil"/>
            </w:tcBorders>
          </w:tcPr>
          <w:p w14:paraId="399BC529"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Inaccurate thermal state leads to unsafe overestimation; aging shifts limits</w:t>
            </w:r>
          </w:p>
        </w:tc>
        <w:tc>
          <w:tcPr>
            <w:tcW w:w="663" w:type="dxa"/>
            <w:tcBorders>
              <w:top w:val="nil"/>
              <w:left w:val="nil"/>
              <w:bottom w:val="nil"/>
              <w:right w:val="nil"/>
            </w:tcBorders>
          </w:tcPr>
          <w:p w14:paraId="27E78159"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t>
            </w:r>
            <w:r>
              <w:rPr>
                <w:rFonts w:ascii="Times New Roman" w:eastAsia="Times New Roman" w:hAnsi="Times New Roman" w:cs="Times New Roman"/>
                <w:sz w:val="16"/>
                <w:szCs w:val="16"/>
              </w:rPr>
              <w:t>88</w:t>
            </w:r>
            <w:r>
              <w:rPr>
                <w:rFonts w:ascii="Times New Roman" w:eastAsia="Times New Roman" w:hAnsi="Times New Roman" w:cs="Times New Roman"/>
                <w:color w:val="000000"/>
                <w:sz w:val="16"/>
                <w:szCs w:val="16"/>
              </w:rPr>
              <w:t>], [</w:t>
            </w:r>
            <w:r>
              <w:rPr>
                <w:rFonts w:ascii="Times New Roman" w:eastAsia="Times New Roman" w:hAnsi="Times New Roman" w:cs="Times New Roman"/>
                <w:sz w:val="16"/>
                <w:szCs w:val="16"/>
              </w:rPr>
              <w:t>90</w:t>
            </w:r>
            <w:r>
              <w:rPr>
                <w:rFonts w:ascii="Times New Roman" w:eastAsia="Times New Roman" w:hAnsi="Times New Roman" w:cs="Times New Roman"/>
                <w:color w:val="000000"/>
                <w:sz w:val="16"/>
                <w:szCs w:val="16"/>
              </w:rPr>
              <w:t>]</w:t>
            </w:r>
          </w:p>
        </w:tc>
      </w:tr>
      <w:tr w:rsidR="006D0435" w14:paraId="4A29221C" w14:textId="77777777">
        <w:trPr>
          <w:trHeight w:val="1114"/>
        </w:trPr>
        <w:tc>
          <w:tcPr>
            <w:tcW w:w="2189" w:type="dxa"/>
            <w:tcBorders>
              <w:top w:val="nil"/>
              <w:left w:val="nil"/>
              <w:bottom w:val="nil"/>
              <w:right w:val="nil"/>
            </w:tcBorders>
          </w:tcPr>
          <w:p w14:paraId="5436C87A"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Cell balancing</w:t>
            </w:r>
          </w:p>
        </w:tc>
        <w:tc>
          <w:tcPr>
            <w:tcW w:w="2695" w:type="dxa"/>
            <w:tcBorders>
              <w:top w:val="nil"/>
              <w:left w:val="nil"/>
              <w:bottom w:val="nil"/>
              <w:right w:val="nil"/>
            </w:tcBorders>
          </w:tcPr>
          <w:p w14:paraId="54B5C36A"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Avoid overcharge/overdischarge of weakest cell; maximize usable capacity</w:t>
            </w:r>
          </w:p>
        </w:tc>
        <w:tc>
          <w:tcPr>
            <w:tcW w:w="2215" w:type="dxa"/>
            <w:tcBorders>
              <w:top w:val="nil"/>
              <w:left w:val="nil"/>
              <w:bottom w:val="nil"/>
              <w:right w:val="nil"/>
            </w:tcBorders>
          </w:tcPr>
          <w:p w14:paraId="5C16A434"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Passive bleed; active balancing converters; scheduling based on SOC/SOH</w:t>
            </w:r>
          </w:p>
        </w:tc>
        <w:tc>
          <w:tcPr>
            <w:tcW w:w="2029" w:type="dxa"/>
            <w:tcBorders>
              <w:top w:val="nil"/>
              <w:left w:val="nil"/>
              <w:bottom w:val="nil"/>
              <w:right w:val="nil"/>
            </w:tcBorders>
          </w:tcPr>
          <w:p w14:paraId="6BA651E7"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Balancing heat; complexity/cost; aging-induced imbalance growth</w:t>
            </w:r>
          </w:p>
        </w:tc>
        <w:tc>
          <w:tcPr>
            <w:tcW w:w="663" w:type="dxa"/>
            <w:tcBorders>
              <w:top w:val="nil"/>
              <w:left w:val="nil"/>
              <w:bottom w:val="nil"/>
              <w:right w:val="nil"/>
            </w:tcBorders>
          </w:tcPr>
          <w:p w14:paraId="66A10426"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t>
            </w:r>
            <w:r>
              <w:rPr>
                <w:rFonts w:ascii="Times New Roman" w:eastAsia="Times New Roman" w:hAnsi="Times New Roman" w:cs="Times New Roman"/>
                <w:sz w:val="16"/>
                <w:szCs w:val="16"/>
              </w:rPr>
              <w:t>89</w:t>
            </w:r>
            <w:r>
              <w:rPr>
                <w:rFonts w:ascii="Times New Roman" w:eastAsia="Times New Roman" w:hAnsi="Times New Roman" w:cs="Times New Roman"/>
                <w:color w:val="000000"/>
                <w:sz w:val="16"/>
                <w:szCs w:val="16"/>
              </w:rPr>
              <w:t>], [</w:t>
            </w:r>
            <w:r>
              <w:rPr>
                <w:rFonts w:ascii="Times New Roman" w:eastAsia="Times New Roman" w:hAnsi="Times New Roman" w:cs="Times New Roman"/>
                <w:sz w:val="16"/>
                <w:szCs w:val="16"/>
              </w:rPr>
              <w:t>90</w:t>
            </w:r>
            <w:r>
              <w:rPr>
                <w:rFonts w:ascii="Times New Roman" w:eastAsia="Times New Roman" w:hAnsi="Times New Roman" w:cs="Times New Roman"/>
                <w:color w:val="000000"/>
                <w:sz w:val="16"/>
                <w:szCs w:val="16"/>
              </w:rPr>
              <w:t>]</w:t>
            </w:r>
          </w:p>
        </w:tc>
      </w:tr>
      <w:tr w:rsidR="006D0435" w14:paraId="2F8C5669" w14:textId="77777777">
        <w:trPr>
          <w:trHeight w:val="1339"/>
        </w:trPr>
        <w:tc>
          <w:tcPr>
            <w:tcW w:w="2189" w:type="dxa"/>
            <w:tcBorders>
              <w:top w:val="nil"/>
              <w:left w:val="nil"/>
              <w:right w:val="nil"/>
            </w:tcBorders>
          </w:tcPr>
          <w:p w14:paraId="270E7320"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Thermal runaway early warning</w:t>
            </w:r>
          </w:p>
        </w:tc>
        <w:tc>
          <w:tcPr>
            <w:tcW w:w="2695" w:type="dxa"/>
            <w:tcBorders>
              <w:top w:val="nil"/>
              <w:left w:val="nil"/>
              <w:right w:val="nil"/>
            </w:tcBorders>
          </w:tcPr>
          <w:p w14:paraId="70635C21"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Prevent fires and propagation; trigger isolation</w:t>
            </w:r>
          </w:p>
        </w:tc>
        <w:tc>
          <w:tcPr>
            <w:tcW w:w="2215" w:type="dxa"/>
            <w:tcBorders>
              <w:top w:val="nil"/>
              <w:left w:val="nil"/>
              <w:right w:val="nil"/>
            </w:tcBorders>
          </w:tcPr>
          <w:p w14:paraId="2ED23F19"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Temperature/voltage anomalies; pressure/gas sensing; model-based residuals; fusion</w:t>
            </w:r>
          </w:p>
        </w:tc>
        <w:tc>
          <w:tcPr>
            <w:tcW w:w="2029" w:type="dxa"/>
            <w:tcBorders>
              <w:top w:val="nil"/>
              <w:left w:val="nil"/>
              <w:right w:val="nil"/>
            </w:tcBorders>
          </w:tcPr>
          <w:p w14:paraId="52CB6524"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Limited sensors; false positives; propagation speed can exceed detection time</w:t>
            </w:r>
          </w:p>
        </w:tc>
        <w:tc>
          <w:tcPr>
            <w:tcW w:w="663" w:type="dxa"/>
            <w:tcBorders>
              <w:top w:val="nil"/>
              <w:left w:val="nil"/>
              <w:right w:val="nil"/>
            </w:tcBorders>
          </w:tcPr>
          <w:p w14:paraId="5FF405B8"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t>
            </w:r>
            <w:r>
              <w:rPr>
                <w:rFonts w:ascii="Times New Roman" w:eastAsia="Times New Roman" w:hAnsi="Times New Roman" w:cs="Times New Roman"/>
                <w:sz w:val="16"/>
                <w:szCs w:val="16"/>
              </w:rPr>
              <w:t>91</w:t>
            </w:r>
            <w:r>
              <w:rPr>
                <w:rFonts w:ascii="Times New Roman" w:eastAsia="Times New Roman" w:hAnsi="Times New Roman" w:cs="Times New Roman"/>
                <w:color w:val="000000"/>
                <w:sz w:val="16"/>
                <w:szCs w:val="16"/>
              </w:rPr>
              <w:t>], [</w:t>
            </w:r>
            <w:r>
              <w:rPr>
                <w:rFonts w:ascii="Times New Roman" w:eastAsia="Times New Roman" w:hAnsi="Times New Roman" w:cs="Times New Roman"/>
                <w:sz w:val="16"/>
                <w:szCs w:val="16"/>
              </w:rPr>
              <w:t>92</w:t>
            </w:r>
            <w:r>
              <w:rPr>
                <w:rFonts w:ascii="Times New Roman" w:eastAsia="Times New Roman" w:hAnsi="Times New Roman" w:cs="Times New Roman"/>
                <w:color w:val="000000"/>
                <w:sz w:val="16"/>
                <w:szCs w:val="16"/>
              </w:rPr>
              <w:t>]</w:t>
            </w:r>
          </w:p>
        </w:tc>
      </w:tr>
    </w:tbl>
    <w:p w14:paraId="35DBC992"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 shown in Table II, real-time estimation is inseparable from sensing quality and thermal control, which motivates integrated electro-thermal modeling and robust diagnostic strategies [</w:t>
      </w:r>
      <w:r>
        <w:rPr>
          <w:rFonts w:ascii="Times New Roman" w:eastAsia="Times New Roman" w:hAnsi="Times New Roman" w:cs="Times New Roman"/>
          <w:sz w:val="24"/>
          <w:szCs w:val="24"/>
        </w:rPr>
        <w:t>88</w:t>
      </w:r>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sz w:val="24"/>
          <w:szCs w:val="24"/>
        </w:rPr>
        <w:t>92</w:t>
      </w:r>
      <w:r>
        <w:rPr>
          <w:rFonts w:ascii="Times New Roman" w:eastAsia="Times New Roman" w:hAnsi="Times New Roman" w:cs="Times New Roman"/>
          <w:color w:val="000000"/>
          <w:sz w:val="24"/>
          <w:szCs w:val="24"/>
        </w:rPr>
        <w:t>].</w:t>
      </w:r>
    </w:p>
    <w:p w14:paraId="4BD0AE32" w14:textId="77777777" w:rsidR="006D0435" w:rsidRDefault="00000000">
      <w:pPr>
        <w:pStyle w:val="Heading2"/>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4.6 Thermal management: heat generation, control strategies, and integration constraints</w:t>
      </w:r>
    </w:p>
    <w:p w14:paraId="1FB78AEF"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are three basic goals for thermal management in EV packs: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keep the cell temperature within an optimal range during normal operation, (ii) reduce temperature differences between cells to avoid uneven aging, and (iii) reduce and limit aberrant heat escape during failures [</w:t>
      </w:r>
      <w:r>
        <w:rPr>
          <w:rFonts w:ascii="Times New Roman" w:eastAsia="Times New Roman" w:hAnsi="Times New Roman" w:cs="Times New Roman"/>
          <w:sz w:val="24"/>
          <w:szCs w:val="24"/>
        </w:rPr>
        <w:t>88</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91</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92</w:t>
      </w:r>
      <w:r>
        <w:rPr>
          <w:rFonts w:ascii="Times New Roman" w:eastAsia="Times New Roman" w:hAnsi="Times New Roman" w:cs="Times New Roman"/>
          <w:color w:val="000000"/>
          <w:sz w:val="24"/>
          <w:szCs w:val="24"/>
        </w:rPr>
        <w:t>]. Ohmic losses and entropic effects cause heat to build up. At high C-rates (rapid charging or high-power discharge), ohmic heating is the main cause of heat buildup, hence it is important to be able to get rid of heat effectively. Hwang et al. [</w:t>
      </w:r>
      <w:r>
        <w:rPr>
          <w:rFonts w:ascii="Times New Roman" w:eastAsia="Times New Roman" w:hAnsi="Times New Roman" w:cs="Times New Roman"/>
          <w:sz w:val="24"/>
          <w:szCs w:val="24"/>
        </w:rPr>
        <w:t>88</w:t>
      </w:r>
      <w:r>
        <w:rPr>
          <w:rFonts w:ascii="Times New Roman" w:eastAsia="Times New Roman" w:hAnsi="Times New Roman" w:cs="Times New Roman"/>
          <w:color w:val="000000"/>
          <w:sz w:val="24"/>
          <w:szCs w:val="24"/>
        </w:rPr>
        <w:t xml:space="preserve">] analyze </w:t>
      </w:r>
      <w:r>
        <w:rPr>
          <w:rFonts w:ascii="Times New Roman" w:eastAsia="Times New Roman" w:hAnsi="Times New Roman" w:cs="Times New Roman"/>
          <w:color w:val="000000"/>
          <w:sz w:val="24"/>
          <w:szCs w:val="24"/>
        </w:rPr>
        <w:lastRenderedPageBreak/>
        <w:t>battery thermal management systems (BTMS) and point out that the design of the cooling system needs to take into account not just steady-state heat removal but also transient behavior, packing limits, and the effects of the environment. Air cooling is simple but doesn't move heat very well. Liquid cooling can move heat more quickly and keep temperatures more even. Refrigerant-based systems can use the vehicle's HVAC loop for aggressive cooling, but they make integration more difficult [</w:t>
      </w:r>
      <w:r>
        <w:rPr>
          <w:rFonts w:ascii="Times New Roman" w:eastAsia="Times New Roman" w:hAnsi="Times New Roman" w:cs="Times New Roman"/>
          <w:sz w:val="24"/>
          <w:szCs w:val="24"/>
        </w:rPr>
        <w:t>88</w:t>
      </w:r>
      <w:r>
        <w:rPr>
          <w:rFonts w:ascii="Times New Roman" w:eastAsia="Times New Roman" w:hAnsi="Times New Roman" w:cs="Times New Roman"/>
          <w:color w:val="000000"/>
          <w:sz w:val="24"/>
          <w:szCs w:val="24"/>
        </w:rPr>
        <w:t>].</w:t>
      </w:r>
    </w:p>
    <w:p w14:paraId="5F59B356"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Thermal design is especially important for quick charging. Charging at different C rates can quickly raise the temperature of the cell, and if not done carefully, it can cause temperature differences between the core and the surface. On the other hand, low-temperature charging is sometimes limited by the risk of plating, which is why preheating or temperature-assisted techniques are used. The conceptual operating envelope in Fig. 4 shows how raising the temperature can raise the charge rate limit. However, these kinds of methods need to be used with</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care because higher temperatures speed up some degrading processes while slowing down plating [</w:t>
      </w:r>
      <w:r>
        <w:rPr>
          <w:rFonts w:ascii="Times New Roman" w:eastAsia="Times New Roman" w:hAnsi="Times New Roman" w:cs="Times New Roman"/>
          <w:sz w:val="24"/>
          <w:szCs w:val="24"/>
        </w:rPr>
        <w:t>93</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94</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and [9].</w:t>
      </w:r>
    </w:p>
    <w:p w14:paraId="0F41D325" w14:textId="77777777" w:rsidR="006D0435"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318DAD2C" wp14:editId="23394FC5">
            <wp:extent cx="5669280" cy="3459165"/>
            <wp:effectExtent l="0" t="0" r="0" b="0"/>
            <wp:docPr id="2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24"/>
                    <a:srcRect/>
                    <a:stretch>
                      <a:fillRect/>
                    </a:stretch>
                  </pic:blipFill>
                  <pic:spPr>
                    <a:xfrm>
                      <a:off x="0" y="0"/>
                      <a:ext cx="5669280" cy="3459165"/>
                    </a:xfrm>
                    <a:prstGeom prst="rect">
                      <a:avLst/>
                    </a:prstGeom>
                    <a:ln/>
                  </pic:spPr>
                </pic:pic>
              </a:graphicData>
            </a:graphic>
          </wp:inline>
        </w:drawing>
      </w:r>
    </w:p>
    <w:p w14:paraId="6B4DF14E" w14:textId="77777777" w:rsidR="006D0435"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 4. Conceptual map showing how allowable charge rate can expand with higher cell temperature; actual limits depend on chemistry, SOC, aging, and pack thermal design (created for this review).</w:t>
      </w:r>
    </w:p>
    <w:p w14:paraId="282F2663" w14:textId="77777777" w:rsidR="006D0435" w:rsidRDefault="00000000">
      <w:pPr>
        <w:pStyle w:val="Heading2"/>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4.7 Degradation mechanisms and lifetime management</w:t>
      </w:r>
    </w:p>
    <w:p w14:paraId="33E070EB" w14:textId="77777777" w:rsidR="006D0435" w:rsidRDefault="00000000">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Battery aging is usually seen as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xml:space="preserve">) a loss of active material and cyclable lithium, which lowers capacity, and (ii) an increase in internal resistance, which lowers power capability and raises heat generation. Edge et al. [96] give a mechanistic overview of how Li-ion batteries break down, focusing on important processes including the formation of the solid electrolyte interphase (SEI), lithium plating, the breakdown of the cathode structure </w:t>
      </w:r>
      <w:r>
        <w:rPr>
          <w:rFonts w:ascii="Times New Roman" w:eastAsia="Times New Roman" w:hAnsi="Times New Roman" w:cs="Times New Roman"/>
          <w:color w:val="000000"/>
          <w:sz w:val="24"/>
          <w:szCs w:val="24"/>
        </w:rPr>
        <w:lastRenderedPageBreak/>
        <w:t xml:space="preserve">(which includes cracking and the solubility of transition metals), and the oxidation of the electrolyte. The relative importance of these pathways changes according on the chemistry, temperature, SOC window, and current profiles. From the point of view of a vehicle, two use cases are especially bad: long-term storage at high SOC and high temperature (calendar aging) and repetitive quick charging (cycle aging). </w:t>
      </w:r>
      <w:r>
        <w:rPr>
          <w:rFonts w:ascii="Times New Roman" w:eastAsia="Times New Roman" w:hAnsi="Times New Roman" w:cs="Times New Roman"/>
          <w:color w:val="000000"/>
          <w:sz w:val="24"/>
          <w:szCs w:val="24"/>
        </w:rPr>
        <w:br/>
        <w:t>Lifetime management is now an optimization problem: use the battery hard enough to match user expectations (range, fast charging) while keeping costs down. Charge control (current restrictions based on temperature and SOC), balancing approach, and thermal management are all ways that BMS algorithms might affect degradation. But these decisions about control depend on how accurate the model is. Recent analyses advocate for integrated electro-thermal-aging models and resilient online parameter adaptation to elucidate behavior modifications generated by aging [</w:t>
      </w:r>
      <w:r>
        <w:rPr>
          <w:rFonts w:ascii="Times New Roman" w:eastAsia="Times New Roman" w:hAnsi="Times New Roman" w:cs="Times New Roman"/>
          <w:sz w:val="24"/>
          <w:szCs w:val="24"/>
        </w:rPr>
        <w:t>89</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90</w:t>
      </w:r>
      <w:r>
        <w:rPr>
          <w:rFonts w:ascii="Times New Roman" w:eastAsia="Times New Roman" w:hAnsi="Times New Roman" w:cs="Times New Roman"/>
          <w:color w:val="000000"/>
          <w:sz w:val="24"/>
          <w:szCs w:val="24"/>
        </w:rPr>
        <w:t>], [96].</w:t>
      </w:r>
    </w:p>
    <w:p w14:paraId="4458AFC0" w14:textId="77777777" w:rsidR="006D0435" w:rsidRDefault="00000000">
      <w:pPr>
        <w:pStyle w:val="Heading2"/>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4.8 Fast charging: materials, protocols, and system-level demonstrations</w:t>
      </w:r>
    </w:p>
    <w:p w14:paraId="195B446D"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A big reason why people don't buy electric vehicles is that they don't charge quickly. Weiss et al. [</w:t>
      </w:r>
      <w:r>
        <w:rPr>
          <w:rFonts w:ascii="Times New Roman" w:eastAsia="Times New Roman" w:hAnsi="Times New Roman" w:cs="Times New Roman"/>
          <w:sz w:val="24"/>
          <w:szCs w:val="24"/>
          <w:highlight w:val="white"/>
        </w:rPr>
        <w:t>93</w:t>
      </w:r>
      <w:r>
        <w:rPr>
          <w:rFonts w:ascii="Times New Roman" w:eastAsia="Times New Roman" w:hAnsi="Times New Roman" w:cs="Times New Roman"/>
          <w:color w:val="000000"/>
          <w:sz w:val="24"/>
          <w:szCs w:val="24"/>
          <w:highlight w:val="white"/>
        </w:rPr>
        <w:t>] look at the materials side of fast charging at the cell level and find that lithium plating at the anode under high overpotential is often the limiting factor. Mitigations include making ionic and electronic transport better, making the material less tortuous, stabilizing interfaces, and finding the best thickness and porosity for electrodes. At the system level, fast charging needs to be in line with safety and thermal management rules. Wang et al. [</w:t>
      </w:r>
      <w:r>
        <w:rPr>
          <w:rFonts w:ascii="Times New Roman" w:eastAsia="Times New Roman" w:hAnsi="Times New Roman" w:cs="Times New Roman"/>
          <w:sz w:val="24"/>
          <w:szCs w:val="24"/>
          <w:highlight w:val="white"/>
        </w:rPr>
        <w:t>94</w:t>
      </w:r>
      <w:r>
        <w:rPr>
          <w:rFonts w:ascii="Times New Roman" w:eastAsia="Times New Roman" w:hAnsi="Times New Roman" w:cs="Times New Roman"/>
          <w:color w:val="000000"/>
          <w:sz w:val="24"/>
          <w:szCs w:val="24"/>
          <w:highlight w:val="white"/>
        </w:rPr>
        <w:t>] show that managing temperature can make charging energy-dense Li-ion cells much faster while keeping their cycle life the same. This shows that protocol design and thermal control and cell design are all part of the same process.</w:t>
      </w:r>
    </w:p>
    <w:p w14:paraId="5D5CBDBF"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Practical fast-charging protocols typically combine a constant-current phase (limited by plating and thermal constraints) with a constant-voltage phase (limited by diffusion and polarization). Emerging approaches introduce multi-stage currents, temperature-assisted charging, or model-predictive strategies that explicitly optimize time subject to electro-thermal constraints. Such approaches place heavy demands on BMS estimation accuracy and sensing (Table II) because small SOC or temperature errors can push cells into unsafe regimes [</w:t>
      </w:r>
      <w:r>
        <w:rPr>
          <w:rFonts w:ascii="Times New Roman" w:eastAsia="Times New Roman" w:hAnsi="Times New Roman" w:cs="Times New Roman"/>
          <w:sz w:val="24"/>
          <w:szCs w:val="24"/>
        </w:rPr>
        <w:t>89</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90</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93</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94</w:t>
      </w:r>
      <w:r>
        <w:rPr>
          <w:rFonts w:ascii="Times New Roman" w:eastAsia="Times New Roman" w:hAnsi="Times New Roman" w:cs="Times New Roman"/>
          <w:color w:val="000000"/>
          <w:sz w:val="24"/>
          <w:szCs w:val="24"/>
        </w:rPr>
        <w:t>].</w:t>
      </w:r>
    </w:p>
    <w:p w14:paraId="49E83269" w14:textId="77777777" w:rsidR="006D0435" w:rsidRDefault="00000000">
      <w:pPr>
        <w:pStyle w:val="Heading2"/>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4.9 Safety: thermal runaway, propagation, and mitigation strategies</w:t>
      </w:r>
    </w:p>
    <w:p w14:paraId="6BE2C0CE"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Safety is a first-order design constraint for high-energy packs. Thermal runaway (TR) is a self-accelerating sequence of exothermic reactions that can be triggered by internal short circuits, overcharge, external heating, mechanical crush, or manufacturing defects. Ren et al. [</w:t>
      </w:r>
      <w:r>
        <w:rPr>
          <w:rFonts w:ascii="Times New Roman" w:eastAsia="Times New Roman" w:hAnsi="Times New Roman" w:cs="Times New Roman"/>
          <w:sz w:val="24"/>
          <w:szCs w:val="24"/>
          <w:highlight w:val="white"/>
        </w:rPr>
        <w:t>92</w:t>
      </w:r>
      <w:r>
        <w:rPr>
          <w:rFonts w:ascii="Times New Roman" w:eastAsia="Times New Roman" w:hAnsi="Times New Roman" w:cs="Times New Roman"/>
          <w:color w:val="000000"/>
          <w:sz w:val="24"/>
          <w:szCs w:val="24"/>
          <w:highlight w:val="white"/>
        </w:rPr>
        <w:t>] discuss TR mitigation mechanisms and emphasize that preventing initiation is only part of the problem; pack design must also slow or stop propagation between cells. Xu et al. [</w:t>
      </w:r>
      <w:r>
        <w:rPr>
          <w:rFonts w:ascii="Times New Roman" w:eastAsia="Times New Roman" w:hAnsi="Times New Roman" w:cs="Times New Roman"/>
          <w:sz w:val="24"/>
          <w:szCs w:val="24"/>
          <w:highlight w:val="white"/>
        </w:rPr>
        <w:t>91</w:t>
      </w:r>
      <w:r>
        <w:rPr>
          <w:rFonts w:ascii="Times New Roman" w:eastAsia="Times New Roman" w:hAnsi="Times New Roman" w:cs="Times New Roman"/>
          <w:color w:val="000000"/>
          <w:sz w:val="24"/>
          <w:szCs w:val="24"/>
          <w:highlight w:val="white"/>
        </w:rPr>
        <w:t xml:space="preserve">] give a general overview of ways to reduce risk at the cell level (current interrupt devices, shutdown separators, vents, electrolyte additives) and the pack level (thermal barriers, passive/active cooling, </w:t>
      </w:r>
      <w:r>
        <w:rPr>
          <w:rFonts w:ascii="Times New Roman" w:eastAsia="Times New Roman" w:hAnsi="Times New Roman" w:cs="Times New Roman"/>
          <w:color w:val="000000"/>
          <w:sz w:val="24"/>
          <w:szCs w:val="24"/>
          <w:highlight w:val="white"/>
        </w:rPr>
        <w:lastRenderedPageBreak/>
        <w:t>structural isolation, and BMS protections).</w:t>
      </w:r>
      <w:r>
        <w:rPr>
          <w:rFonts w:ascii="Times New Roman" w:eastAsia="Times New Roman" w:hAnsi="Times New Roman" w:cs="Times New Roman"/>
          <w:color w:val="000000"/>
          <w:sz w:val="24"/>
          <w:szCs w:val="24"/>
          <w:highlight w:val="white"/>
        </w:rPr>
        <w:br/>
        <w:t>Because propagation can occur faster than intervention, safety must be engineered as layered defense-in-depth. At minimum, packs require accurate sensing, robust fault detection, rapid isolation using contactors/fuses, and thermal paths that prevent a single-cell event from triggering neighbors [</w:t>
      </w:r>
      <w:r>
        <w:rPr>
          <w:rFonts w:ascii="Times New Roman" w:eastAsia="Times New Roman" w:hAnsi="Times New Roman" w:cs="Times New Roman"/>
          <w:sz w:val="24"/>
          <w:szCs w:val="24"/>
          <w:highlight w:val="white"/>
        </w:rPr>
        <w:t>88</w:t>
      </w:r>
      <w:r>
        <w:rPr>
          <w:rFonts w:ascii="Times New Roman" w:eastAsia="Times New Roman" w:hAnsi="Times New Roman" w:cs="Times New Roman"/>
          <w:color w:val="000000"/>
          <w:sz w:val="24"/>
          <w:szCs w:val="24"/>
          <w:highlight w:val="white"/>
        </w:rPr>
        <w:t>], [</w:t>
      </w:r>
      <w:r>
        <w:rPr>
          <w:rFonts w:ascii="Times New Roman" w:eastAsia="Times New Roman" w:hAnsi="Times New Roman" w:cs="Times New Roman"/>
          <w:sz w:val="24"/>
          <w:szCs w:val="24"/>
          <w:highlight w:val="white"/>
        </w:rPr>
        <w:t>91</w:t>
      </w:r>
      <w:r>
        <w:rPr>
          <w:rFonts w:ascii="Times New Roman" w:eastAsia="Times New Roman" w:hAnsi="Times New Roman" w:cs="Times New Roman"/>
          <w:color w:val="000000"/>
          <w:sz w:val="24"/>
          <w:szCs w:val="24"/>
          <w:highlight w:val="white"/>
        </w:rPr>
        <w:t>], [</w:t>
      </w:r>
      <w:r>
        <w:rPr>
          <w:rFonts w:ascii="Times New Roman" w:eastAsia="Times New Roman" w:hAnsi="Times New Roman" w:cs="Times New Roman"/>
          <w:sz w:val="24"/>
          <w:szCs w:val="24"/>
          <w:highlight w:val="white"/>
        </w:rPr>
        <w:t>92</w:t>
      </w:r>
      <w:r>
        <w:rPr>
          <w:rFonts w:ascii="Times New Roman" w:eastAsia="Times New Roman" w:hAnsi="Times New Roman" w:cs="Times New Roman"/>
          <w:color w:val="000000"/>
          <w:sz w:val="24"/>
          <w:szCs w:val="24"/>
          <w:highlight w:val="white"/>
        </w:rPr>
        <w:t>]. The design challenge is that many safety features add inactive mass and volume, reducing energy density and increasing cost. Thus, a central trend in EV pack design is achieving safety with minimal penalty by integrating structural and thermal functions and by improving cell-level stability [</w:t>
      </w:r>
      <w:r>
        <w:rPr>
          <w:rFonts w:ascii="Times New Roman" w:eastAsia="Times New Roman" w:hAnsi="Times New Roman" w:cs="Times New Roman"/>
          <w:sz w:val="24"/>
          <w:szCs w:val="24"/>
          <w:highlight w:val="white"/>
        </w:rPr>
        <w:t>88</w:t>
      </w:r>
      <w:r>
        <w:rPr>
          <w:rFonts w:ascii="Times New Roman" w:eastAsia="Times New Roman" w:hAnsi="Times New Roman" w:cs="Times New Roman"/>
          <w:color w:val="000000"/>
          <w:sz w:val="24"/>
          <w:szCs w:val="24"/>
          <w:highlight w:val="white"/>
        </w:rPr>
        <w:t>], [</w:t>
      </w:r>
      <w:r>
        <w:rPr>
          <w:rFonts w:ascii="Times New Roman" w:eastAsia="Times New Roman" w:hAnsi="Times New Roman" w:cs="Times New Roman"/>
          <w:sz w:val="24"/>
          <w:szCs w:val="24"/>
          <w:highlight w:val="white"/>
        </w:rPr>
        <w:t>91</w:t>
      </w:r>
      <w:r>
        <w:rPr>
          <w:rFonts w:ascii="Times New Roman" w:eastAsia="Times New Roman" w:hAnsi="Times New Roman" w:cs="Times New Roman"/>
          <w:color w:val="000000"/>
          <w:sz w:val="24"/>
          <w:szCs w:val="24"/>
          <w:highlight w:val="white"/>
        </w:rPr>
        <w:t>].</w:t>
      </w:r>
    </w:p>
    <w:p w14:paraId="750B96CB" w14:textId="77777777" w:rsidR="006D0435" w:rsidRDefault="00000000">
      <w:pPr>
        <w:pStyle w:val="Heading2"/>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4.10 End-of-life strategies: recycling, direct regeneration, and circularity</w:t>
      </w:r>
    </w:p>
    <w:p w14:paraId="58A4E29B" w14:textId="77777777" w:rsidR="006D043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Engineers and the environment are having a hard time with batteries that are no longer useful as more and more people buy electric automobiles. Pyrometallurgy, hydrometallurgy, and direct recycling/regeneration are only a few of the many techniques to recycle. Direct recycling aims to maintain the cathode crystal structure while minimizing the procedures required to recover value. Xu et al. [</w:t>
      </w:r>
      <w:r>
        <w:rPr>
          <w:rFonts w:ascii="Times New Roman" w:eastAsia="Times New Roman" w:hAnsi="Times New Roman" w:cs="Times New Roman"/>
          <w:sz w:val="24"/>
          <w:szCs w:val="24"/>
        </w:rPr>
        <w:t>95</w:t>
      </w:r>
      <w:r>
        <w:rPr>
          <w:rFonts w:ascii="Times New Roman" w:eastAsia="Times New Roman" w:hAnsi="Times New Roman" w:cs="Times New Roman"/>
          <w:color w:val="000000"/>
          <w:sz w:val="24"/>
          <w:szCs w:val="24"/>
        </w:rPr>
        <w:t xml:space="preserve">] demonstrate </w:t>
      </w:r>
      <w:proofErr w:type="gramStart"/>
      <w:r>
        <w:rPr>
          <w:rFonts w:ascii="Times New Roman" w:eastAsia="Times New Roman" w:hAnsi="Times New Roman" w:cs="Times New Roman"/>
          <w:color w:val="000000"/>
          <w:sz w:val="24"/>
          <w:szCs w:val="24"/>
        </w:rPr>
        <w:t>a</w:t>
      </w:r>
      <w:proofErr w:type="gramEnd"/>
      <w:r>
        <w:rPr>
          <w:rFonts w:ascii="Times New Roman" w:eastAsia="Times New Roman" w:hAnsi="Times New Roman" w:cs="Times New Roman"/>
          <w:color w:val="000000"/>
          <w:sz w:val="24"/>
          <w:szCs w:val="24"/>
        </w:rPr>
        <w:t xml:space="preserve"> "efficient direct recycling" technique that repairs damaged cathode materials, illustrating the potential efficacy of regeneration-based approaches. From a systems point of view, planning for recycling and making it easier to pull apart a pack can save money and make it easier to receive materials back. But safety and how well the structure fits together must also be taken into account.</w:t>
      </w:r>
    </w:p>
    <w:p w14:paraId="48962DB3" w14:textId="77777777" w:rsidR="006D0435"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8B609C9" wp14:editId="2AA26054">
            <wp:extent cx="5734050" cy="2915084"/>
            <wp:effectExtent l="0" t="0" r="0" b="0"/>
            <wp:docPr id="2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5"/>
                    <a:srcRect t="6804" b="6263"/>
                    <a:stretch>
                      <a:fillRect/>
                    </a:stretch>
                  </pic:blipFill>
                  <pic:spPr>
                    <a:xfrm>
                      <a:off x="0" y="0"/>
                      <a:ext cx="5734050" cy="2915084"/>
                    </a:xfrm>
                    <a:prstGeom prst="rect">
                      <a:avLst/>
                    </a:prstGeom>
                    <a:ln/>
                  </pic:spPr>
                </pic:pic>
              </a:graphicData>
            </a:graphic>
          </wp:inline>
        </w:drawing>
      </w:r>
    </w:p>
    <w:p w14:paraId="4463FA41" w14:textId="77777777" w:rsidR="006D0435"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 5. Conceptual battery life-cycle and circularity pathways including optional second-life use and recycling/regeneration routes (created for this review).</w:t>
      </w:r>
    </w:p>
    <w:p w14:paraId="4A845B5E" w14:textId="77777777" w:rsidR="006D0435" w:rsidRDefault="00000000">
      <w:pPr>
        <w:pStyle w:val="Heading2"/>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4.11 Emerging battery technologies beyond conventional Li-ion</w:t>
      </w:r>
    </w:p>
    <w:p w14:paraId="52B1F120"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Beyond conventional liquid-electrolyte Li-ion batteries, two other major research directions are solid-state batteries and sodium-based batteries.</w:t>
      </w:r>
    </w:p>
    <w:p w14:paraId="0F7C3983"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Solid-state batteries are often seen as a safer option because they’re less prone to catching fire. They may also store more energy, largely because many designs can use lithium-metal anodes. However, they still face big hurdles: high resistance at the interfaces between materials, loss of good physical contact as the battery expands and contracts during cycling, and the challenge of manufacturing them reliably at large scale. Wang et al. [</w:t>
      </w:r>
      <w:r>
        <w:rPr>
          <w:rFonts w:ascii="Times New Roman" w:eastAsia="Times New Roman" w:hAnsi="Times New Roman" w:cs="Times New Roman"/>
          <w:sz w:val="24"/>
          <w:szCs w:val="24"/>
        </w:rPr>
        <w:t>97</w:t>
      </w:r>
      <w:r>
        <w:rPr>
          <w:rFonts w:ascii="Times New Roman" w:eastAsia="Times New Roman" w:hAnsi="Times New Roman" w:cs="Times New Roman"/>
          <w:color w:val="000000"/>
          <w:sz w:val="24"/>
          <w:szCs w:val="24"/>
        </w:rPr>
        <w:t>] Stress that bringing solid-state batteries to market will need more than just electrolytes that conduct electricity well—electro-chemo-mechanical interactions and careful interface engineering are also very important.</w:t>
      </w:r>
    </w:p>
    <w:p w14:paraId="2BB704BF"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Sodium-based batteries, on the other hand, use materials that are easier to find and may be cheaper and last longer. </w:t>
      </w:r>
      <w:proofErr w:type="spellStart"/>
      <w:r>
        <w:rPr>
          <w:rFonts w:ascii="Times New Roman" w:eastAsia="Times New Roman" w:hAnsi="Times New Roman" w:cs="Times New Roman"/>
          <w:color w:val="000000"/>
          <w:sz w:val="24"/>
          <w:szCs w:val="24"/>
        </w:rPr>
        <w:t>Usiskin</w:t>
      </w:r>
      <w:proofErr w:type="spellEnd"/>
      <w:r>
        <w:rPr>
          <w:rFonts w:ascii="Times New Roman" w:eastAsia="Times New Roman" w:hAnsi="Times New Roman" w:cs="Times New Roman"/>
          <w:color w:val="000000"/>
          <w:sz w:val="24"/>
          <w:szCs w:val="24"/>
        </w:rPr>
        <w:t xml:space="preserve"> et al. [</w:t>
      </w:r>
      <w:r>
        <w:rPr>
          <w:rFonts w:ascii="Times New Roman" w:eastAsia="Times New Roman" w:hAnsi="Times New Roman" w:cs="Times New Roman"/>
          <w:sz w:val="24"/>
          <w:szCs w:val="24"/>
        </w:rPr>
        <w:t>98</w:t>
      </w:r>
      <w:r>
        <w:rPr>
          <w:rFonts w:ascii="Times New Roman" w:eastAsia="Times New Roman" w:hAnsi="Times New Roman" w:cs="Times New Roman"/>
          <w:color w:val="000000"/>
          <w:sz w:val="24"/>
          <w:szCs w:val="24"/>
        </w:rPr>
        <w:t>] examine the fundamental science and recent advancements in this field, indicating that although sodium batteries may not achieve the energy density of the most advanced Li-ion cells, they could still be advantageous for short-range vehicles and other economically motivated applications where extended range is not the primary concern.</w:t>
      </w:r>
    </w:p>
    <w:p w14:paraId="273DE908" w14:textId="77777777" w:rsidR="006D0435" w:rsidRDefault="00000000">
      <w:pPr>
        <w:pStyle w:val="Heading2"/>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4.12 Research gaps and future directions for vehicle battery systems</w:t>
      </w:r>
    </w:p>
    <w:p w14:paraId="0D21A2FD"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Based on the literature review, the main research needs can be grouped into: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fast-charging durability—integrated materials and thermal strategies that suppress plating while keeping high energy density [</w:t>
      </w:r>
      <w:r>
        <w:rPr>
          <w:rFonts w:ascii="Times New Roman" w:eastAsia="Times New Roman" w:hAnsi="Times New Roman" w:cs="Times New Roman"/>
          <w:sz w:val="24"/>
          <w:szCs w:val="24"/>
        </w:rPr>
        <w:t>93</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94</w:t>
      </w:r>
      <w:r>
        <w:rPr>
          <w:rFonts w:ascii="Times New Roman" w:eastAsia="Times New Roman" w:hAnsi="Times New Roman" w:cs="Times New Roman"/>
          <w:color w:val="000000"/>
          <w:sz w:val="24"/>
          <w:szCs w:val="24"/>
        </w:rPr>
        <w:t>], (ii) scalable safety—pack architectures and materials that stop TR initiation and propagation with the least amount of mass/volume loss [</w:t>
      </w:r>
      <w:r>
        <w:rPr>
          <w:rFonts w:ascii="Times New Roman" w:eastAsia="Times New Roman" w:hAnsi="Times New Roman" w:cs="Times New Roman"/>
          <w:sz w:val="24"/>
          <w:szCs w:val="24"/>
        </w:rPr>
        <w:t>88</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91</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92</w:t>
      </w:r>
      <w:r>
        <w:rPr>
          <w:rFonts w:ascii="Times New Roman" w:eastAsia="Times New Roman" w:hAnsi="Times New Roman" w:cs="Times New Roman"/>
          <w:color w:val="000000"/>
          <w:sz w:val="24"/>
          <w:szCs w:val="24"/>
        </w:rPr>
        <w:t>], (iii) trustworthy BMS intelligence—robust SOC/SOH/SOP estimation across temperature extremes and aging, ideally combining physics-informed models with data-driven adaptation [</w:t>
      </w:r>
      <w:r>
        <w:rPr>
          <w:rFonts w:ascii="Times New Roman" w:eastAsia="Times New Roman" w:hAnsi="Times New Roman" w:cs="Times New Roman"/>
          <w:sz w:val="24"/>
          <w:szCs w:val="24"/>
        </w:rPr>
        <w:t>89</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90</w:t>
      </w:r>
      <w:r>
        <w:rPr>
          <w:rFonts w:ascii="Times New Roman" w:eastAsia="Times New Roman" w:hAnsi="Times New Roman" w:cs="Times New Roman"/>
          <w:color w:val="000000"/>
          <w:sz w:val="24"/>
          <w:szCs w:val="24"/>
        </w:rPr>
        <w:t>], (iv) manufacturable next-generation chemistries—solid-state and sodium-based systems that can be made at automotive scale and integrated into safe packs [</w:t>
      </w:r>
      <w:r>
        <w:rPr>
          <w:rFonts w:ascii="Times New Roman" w:eastAsia="Times New Roman" w:hAnsi="Times New Roman" w:cs="Times New Roman"/>
          <w:sz w:val="24"/>
          <w:szCs w:val="24"/>
        </w:rPr>
        <w:t>97</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98</w:t>
      </w:r>
      <w:r>
        <w:rPr>
          <w:rFonts w:ascii="Times New Roman" w:eastAsia="Times New Roman" w:hAnsi="Times New Roman" w:cs="Times New Roman"/>
          <w:color w:val="000000"/>
          <w:sz w:val="24"/>
          <w:szCs w:val="24"/>
        </w:rPr>
        <w:t>], and (v) circularity—design-for-disassembly and direct regeneration processes that reduce environmental impact and supply-chain risk [</w:t>
      </w:r>
      <w:r>
        <w:rPr>
          <w:rFonts w:ascii="Times New Roman" w:eastAsia="Times New Roman" w:hAnsi="Times New Roman" w:cs="Times New Roman"/>
          <w:sz w:val="24"/>
          <w:szCs w:val="24"/>
        </w:rPr>
        <w:t>95</w:t>
      </w:r>
      <w:r>
        <w:rPr>
          <w:rFonts w:ascii="Times New Roman" w:eastAsia="Times New Roman" w:hAnsi="Times New Roman" w:cs="Times New Roman"/>
          <w:color w:val="000000"/>
          <w:sz w:val="24"/>
          <w:szCs w:val="24"/>
        </w:rPr>
        <w:t>]. A common theme is that improvements in any one layer (materials, control, thermal design) don't do much good unless they are designed to work with the rest of the system.</w:t>
      </w:r>
    </w:p>
    <w:p w14:paraId="5E767789" w14:textId="77777777" w:rsidR="006D0435" w:rsidRDefault="00000000">
      <w:pPr>
        <w:pStyle w:val="Heading1"/>
        <w:spacing w:line="360" w:lineRule="auto"/>
        <w:rPr>
          <w:rFonts w:ascii="Times New Roman" w:eastAsia="Times New Roman" w:hAnsi="Times New Roman" w:cs="Times New Roman"/>
          <w:b/>
          <w:bCs/>
          <w:color w:val="000000"/>
          <w:sz w:val="24"/>
          <w:szCs w:val="24"/>
        </w:rPr>
      </w:pPr>
      <w:bookmarkStart w:id="0" w:name="1u8ikla0vmvx" w:colFirst="0" w:colLast="0"/>
      <w:bookmarkStart w:id="1" w:name="jcnlhr79l5sa" w:colFirst="0" w:colLast="0"/>
      <w:bookmarkStart w:id="2" w:name="xfi87i7316qn" w:colFirst="0" w:colLast="0"/>
      <w:bookmarkEnd w:id="0"/>
      <w:bookmarkEnd w:id="1"/>
      <w:bookmarkEnd w:id="2"/>
      <w:r>
        <w:rPr>
          <w:rFonts w:ascii="Times New Roman" w:eastAsia="Times New Roman" w:hAnsi="Times New Roman" w:cs="Times New Roman"/>
          <w:b/>
          <w:bCs/>
          <w:color w:val="000000"/>
          <w:sz w:val="24"/>
          <w:szCs w:val="24"/>
        </w:rPr>
        <w:t>5.Electric Motors &amp; Power Electronics for EVs in Asia (2020–2025)</w:t>
      </w:r>
    </w:p>
    <w:p w14:paraId="01D4A262" w14:textId="77777777" w:rsidR="006D0435" w:rsidRDefault="00000000">
      <w:pPr>
        <w:pStyle w:val="Heading2"/>
        <w:spacing w:line="360" w:lineRule="auto"/>
        <w:rPr>
          <w:rFonts w:ascii="Times New Roman" w:eastAsia="Times New Roman" w:hAnsi="Times New Roman" w:cs="Times New Roman"/>
          <w:color w:val="000000"/>
          <w:sz w:val="24"/>
          <w:szCs w:val="24"/>
        </w:rPr>
      </w:pPr>
      <w:bookmarkStart w:id="3" w:name="wlqoz8nlddwv" w:colFirst="0" w:colLast="0"/>
      <w:bookmarkEnd w:id="3"/>
      <w:r>
        <w:rPr>
          <w:rFonts w:ascii="Times New Roman" w:eastAsia="Times New Roman" w:hAnsi="Times New Roman" w:cs="Times New Roman"/>
          <w:color w:val="000000"/>
          <w:sz w:val="24"/>
          <w:szCs w:val="24"/>
        </w:rPr>
        <w:t>Summary</w:t>
      </w:r>
    </w:p>
    <w:p w14:paraId="55663462" w14:textId="77777777" w:rsidR="006D0435" w:rsidRDefault="00000000">
      <w:pPr>
        <w:pBdr>
          <w:top w:val="nil"/>
          <w:left w:val="nil"/>
          <w:bottom w:val="nil"/>
          <w:right w:val="nil"/>
          <w:between w:val="nil"/>
        </w:pBdr>
        <w:spacing w:before="180" w:after="1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review provides an in-depth analysis of electric-drive technologies for Asian EVs, HEVs, and PHEVs (2020–2025). It covers EV/HEV/PHEV powertrain differences; prioritized motor designs (IPMSM/PMSM, induction, SRM/</w:t>
      </w:r>
      <w:proofErr w:type="spellStart"/>
      <w:r>
        <w:rPr>
          <w:rFonts w:ascii="Times New Roman" w:eastAsia="Times New Roman" w:hAnsi="Times New Roman" w:cs="Times New Roman"/>
          <w:color w:val="000000"/>
          <w:sz w:val="24"/>
          <w:szCs w:val="24"/>
        </w:rPr>
        <w:t>SynRM</w:t>
      </w:r>
      <w:proofErr w:type="spellEnd"/>
      <w:r>
        <w:rPr>
          <w:rFonts w:ascii="Times New Roman" w:eastAsia="Times New Roman" w:hAnsi="Times New Roman" w:cs="Times New Roman"/>
          <w:color w:val="000000"/>
          <w:sz w:val="24"/>
          <w:szCs w:val="24"/>
        </w:rPr>
        <w:t xml:space="preserve">, axial-flux, EESM) with detailed metrics (torque/power density, efficiency, NVH, </w:t>
      </w:r>
      <w:r>
        <w:rPr>
          <w:rFonts w:ascii="Times New Roman" w:eastAsia="Times New Roman" w:hAnsi="Times New Roman" w:cs="Times New Roman"/>
          <w:color w:val="000000"/>
          <w:sz w:val="24"/>
          <w:szCs w:val="24"/>
        </w:rPr>
        <w:lastRenderedPageBreak/>
        <w:t>thermal limits, materials); and power electronics (traction inverters, Si/</w:t>
      </w:r>
      <w:proofErr w:type="spellStart"/>
      <w:r>
        <w:rPr>
          <w:rFonts w:ascii="Times New Roman" w:eastAsia="Times New Roman" w:hAnsi="Times New Roman" w:cs="Times New Roman"/>
          <w:color w:val="000000"/>
          <w:sz w:val="24"/>
          <w:szCs w:val="24"/>
        </w:rPr>
        <w:t>SiC</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GaN</w:t>
      </w:r>
      <w:proofErr w:type="spellEnd"/>
      <w:r>
        <w:rPr>
          <w:rFonts w:ascii="Times New Roman" w:eastAsia="Times New Roman" w:hAnsi="Times New Roman" w:cs="Times New Roman"/>
          <w:color w:val="000000"/>
          <w:sz w:val="24"/>
          <w:szCs w:val="24"/>
        </w:rPr>
        <w:t xml:space="preserve"> device physics and losses, multilevel topologies, DC–DC converters, on-board chargers, V2G). Figures compare inverter losses and 400V vs 800V tradeoffs, with system block and timeline diagrams. Tables summarize motor and semiconductor tradeoffs and 400V/800V architectures. We also discuss system integration (e-axles, integrated drive modules), Asia-specific supply-chain &amp; policies (China, Japan, Korea, India), and issues of safety, manufacturability, recycling, and future trends (2025–2035). All claims are backed by recent sources [1–15].</w:t>
      </w:r>
    </w:p>
    <w:p w14:paraId="4CF488F1" w14:textId="77777777" w:rsidR="006D0435" w:rsidRDefault="00000000">
      <w:pPr>
        <w:pStyle w:val="Heading2"/>
        <w:numPr>
          <w:ilvl w:val="0"/>
          <w:numId w:val="3"/>
        </w:numPr>
        <w:spacing w:line="360" w:lineRule="auto"/>
        <w:rPr>
          <w:rFonts w:ascii="Times New Roman" w:eastAsia="Times New Roman" w:hAnsi="Times New Roman" w:cs="Times New Roman"/>
          <w:color w:val="000000"/>
          <w:sz w:val="24"/>
          <w:szCs w:val="24"/>
        </w:rPr>
      </w:pPr>
      <w:bookmarkStart w:id="4" w:name="xpkuoasaahdg" w:colFirst="0" w:colLast="0"/>
      <w:bookmarkEnd w:id="4"/>
      <w:r>
        <w:rPr>
          <w:rFonts w:ascii="Times New Roman" w:eastAsia="Times New Roman" w:hAnsi="Times New Roman" w:cs="Times New Roman"/>
          <w:color w:val="000000"/>
          <w:sz w:val="24"/>
          <w:szCs w:val="24"/>
        </w:rPr>
        <w:t>EV/HEV/PHEV Powertrain Background</w:t>
      </w:r>
    </w:p>
    <w:p w14:paraId="5C366143" w14:textId="77777777" w:rsidR="006D0435"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ways that propulsion energy is produced, controlled, and transferred to the wheels vary greatly throughout electrified vehicle architectures. Battery electric vehicles (BEVs) need high-power inverters and broad constant-power speed ranges made possible by field-weakening control since they are solely dependent on electric motors for traction. In order to increase overall efficiency, hybrid electric vehicles (HEVs) use smaller motor-generator units that mainly support the internal combustion engine and recover energy during regenerative braking [</w:t>
      </w:r>
      <w:r>
        <w:rPr>
          <w:rFonts w:ascii="Times New Roman" w:eastAsia="Times New Roman" w:hAnsi="Times New Roman" w:cs="Times New Roman"/>
          <w:sz w:val="24"/>
          <w:szCs w:val="24"/>
        </w:rPr>
        <w:t>99</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100</w:t>
      </w:r>
      <w:r>
        <w:rPr>
          <w:rFonts w:ascii="Times New Roman" w:eastAsia="Times New Roman" w:hAnsi="Times New Roman" w:cs="Times New Roman"/>
          <w:color w:val="000000"/>
          <w:sz w:val="24"/>
          <w:szCs w:val="24"/>
        </w:rPr>
        <w:t>]. By utilizing larger batteries and traction motors that can operate partially on electricity while keeping an engine for a longer driving range, plug-in hybrid electric vehicles (PHEVs) combine the advantages of both systems [</w:t>
      </w:r>
      <w:r>
        <w:rPr>
          <w:rFonts w:ascii="Times New Roman" w:eastAsia="Times New Roman" w:hAnsi="Times New Roman" w:cs="Times New Roman"/>
          <w:sz w:val="24"/>
          <w:szCs w:val="24"/>
        </w:rPr>
        <w:t>101</w:t>
      </w:r>
      <w:r>
        <w:rPr>
          <w:rFonts w:ascii="Times New Roman" w:eastAsia="Times New Roman" w:hAnsi="Times New Roman" w:cs="Times New Roman"/>
          <w:color w:val="000000"/>
          <w:sz w:val="24"/>
          <w:szCs w:val="24"/>
        </w:rPr>
        <w:t>]. The choice of motor, inverter rates, and energy management techniques are all significantly impacted by these architectural variations. great-voltage power electronics and permanent magnet synchronous machines with great efficiency are commonly used in BEVs. whereas HEVs and PHEVs adopt more diverse motor configurations depending on cost, performance, and thermal constraints [</w:t>
      </w:r>
      <w:r>
        <w:rPr>
          <w:rFonts w:ascii="Times New Roman" w:eastAsia="Times New Roman" w:hAnsi="Times New Roman" w:cs="Times New Roman"/>
          <w:sz w:val="24"/>
          <w:szCs w:val="24"/>
        </w:rPr>
        <w:t>102</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103</w:t>
      </w:r>
      <w:r>
        <w:rPr>
          <w:rFonts w:ascii="Times New Roman" w:eastAsia="Times New Roman" w:hAnsi="Times New Roman" w:cs="Times New Roman"/>
          <w:color w:val="000000"/>
          <w:sz w:val="24"/>
          <w:szCs w:val="24"/>
        </w:rPr>
        <w:t>].</w:t>
      </w:r>
    </w:p>
    <w:p w14:paraId="2D3E2DC5" w14:textId="77777777" w:rsidR="006D0435" w:rsidRDefault="00000000">
      <w:pPr>
        <w:numPr>
          <w:ilvl w:val="0"/>
          <w:numId w:val="2"/>
        </w:numPr>
        <w:pBdr>
          <w:top w:val="nil"/>
          <w:left w:val="nil"/>
          <w:bottom w:val="nil"/>
          <w:right w:val="nil"/>
          <w:between w:val="nil"/>
        </w:pBdr>
        <w:spacing w:before="36" w:after="36" w:line="360" w:lineRule="auto"/>
        <w:rPr>
          <w:color w:val="000000"/>
          <w:sz w:val="24"/>
          <w:szCs w:val="24"/>
        </w:rPr>
      </w:pPr>
      <w:r>
        <w:rPr>
          <w:rFonts w:ascii="Times New Roman" w:eastAsia="Times New Roman" w:hAnsi="Times New Roman" w:cs="Times New Roman"/>
          <w:b/>
          <w:bCs/>
          <w:color w:val="000000"/>
          <w:sz w:val="24"/>
          <w:szCs w:val="24"/>
        </w:rPr>
        <w:t>Battery EVs (BEVs):</w:t>
      </w:r>
      <w:r>
        <w:rPr>
          <w:rFonts w:ascii="Times New Roman" w:eastAsia="Times New Roman" w:hAnsi="Times New Roman" w:cs="Times New Roman"/>
          <w:color w:val="000000"/>
          <w:sz w:val="24"/>
          <w:szCs w:val="24"/>
        </w:rPr>
        <w:t xml:space="preserve"> Battery EVs (BEVs) are fully electric with no internal combustion engine (ICE). Motors and batteries must provide full propulsion. Typical power: 100-300+ kW motors, battery packs around 50-100 kWh [</w:t>
      </w:r>
      <w:r>
        <w:rPr>
          <w:rFonts w:ascii="Times New Roman" w:eastAsia="Times New Roman" w:hAnsi="Times New Roman" w:cs="Times New Roman"/>
          <w:sz w:val="24"/>
          <w:szCs w:val="24"/>
        </w:rPr>
        <w:t>100</w:t>
      </w:r>
      <w:r>
        <w:rPr>
          <w:rFonts w:ascii="Times New Roman" w:eastAsia="Times New Roman" w:hAnsi="Times New Roman" w:cs="Times New Roman"/>
          <w:color w:val="000000"/>
          <w:sz w:val="24"/>
          <w:szCs w:val="24"/>
        </w:rPr>
        <w:t>]. The emphasis is on great continuous power and range.</w:t>
      </w:r>
    </w:p>
    <w:p w14:paraId="456E9DA8" w14:textId="77777777" w:rsidR="006D0435" w:rsidRDefault="00000000">
      <w:pPr>
        <w:numPr>
          <w:ilvl w:val="0"/>
          <w:numId w:val="2"/>
        </w:numPr>
        <w:pBdr>
          <w:top w:val="nil"/>
          <w:left w:val="nil"/>
          <w:bottom w:val="nil"/>
          <w:right w:val="nil"/>
          <w:between w:val="nil"/>
        </w:pBdr>
        <w:spacing w:before="36" w:after="36" w:line="360" w:lineRule="auto"/>
        <w:rPr>
          <w:color w:val="000000"/>
          <w:sz w:val="24"/>
          <w:szCs w:val="24"/>
        </w:rPr>
      </w:pPr>
      <w:r>
        <w:rPr>
          <w:rFonts w:ascii="Times New Roman" w:eastAsia="Times New Roman" w:hAnsi="Times New Roman" w:cs="Times New Roman"/>
          <w:b/>
          <w:bCs/>
          <w:color w:val="000000"/>
          <w:sz w:val="24"/>
          <w:szCs w:val="24"/>
        </w:rPr>
        <w:t>Hybrid EVs (HEVs):</w:t>
      </w:r>
      <w:r>
        <w:rPr>
          <w:rFonts w:ascii="Times New Roman" w:eastAsia="Times New Roman" w:hAnsi="Times New Roman" w:cs="Times New Roman"/>
          <w:color w:val="000000"/>
          <w:sz w:val="24"/>
          <w:szCs w:val="24"/>
        </w:rPr>
        <w:t xml:space="preserve"> An electric motor or motors is attached to an ICE. Low-speed acceleration and regeneration braking are handled by the electric side, while ICE supplies steady power. The usual motor power range is 10–100 kW</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101</w:t>
      </w:r>
      <w:r>
        <w:rPr>
          <w:rFonts w:ascii="Times New Roman" w:eastAsia="Times New Roman" w:hAnsi="Times New Roman" w:cs="Times New Roman"/>
          <w:color w:val="000000"/>
          <w:sz w:val="24"/>
          <w:szCs w:val="24"/>
        </w:rPr>
        <w:t>].</w:t>
      </w:r>
    </w:p>
    <w:p w14:paraId="3FA30D9F" w14:textId="77777777" w:rsidR="006D0435" w:rsidRDefault="00000000">
      <w:pPr>
        <w:numPr>
          <w:ilvl w:val="0"/>
          <w:numId w:val="2"/>
        </w:numPr>
        <w:pBdr>
          <w:top w:val="nil"/>
          <w:left w:val="nil"/>
          <w:bottom w:val="nil"/>
          <w:right w:val="nil"/>
          <w:between w:val="nil"/>
        </w:pBdr>
        <w:spacing w:before="36" w:after="36" w:line="360" w:lineRule="auto"/>
        <w:rPr>
          <w:color w:val="000000"/>
          <w:sz w:val="24"/>
          <w:szCs w:val="24"/>
        </w:rPr>
      </w:pPr>
      <w:r>
        <w:rPr>
          <w:rFonts w:ascii="Times New Roman" w:eastAsia="Times New Roman" w:hAnsi="Times New Roman" w:cs="Times New Roman"/>
          <w:b/>
          <w:bCs/>
          <w:color w:val="000000"/>
          <w:sz w:val="24"/>
          <w:szCs w:val="24"/>
        </w:rPr>
        <w:t>Plug-in Hybrids (PHEVs):</w:t>
      </w:r>
      <w:r>
        <w:rPr>
          <w:rFonts w:ascii="Times New Roman" w:eastAsia="Times New Roman" w:hAnsi="Times New Roman" w:cs="Times New Roman"/>
          <w:color w:val="000000"/>
          <w:sz w:val="24"/>
          <w:szCs w:val="24"/>
        </w:rPr>
        <w:t xml:space="preserve"> HEVs that are grid-charged and have bigger batteries (10–20 kWh). ICE increases overall range, while batteries power short-range EV mode. On-board chargers (OBCs) complicate the system. EV sales in China are the highest in the world (&gt;60</w:t>
      </w:r>
      <w:r>
        <w:rPr>
          <w:rFonts w:ascii="Times New Roman" w:eastAsia="Times New Roman" w:hAnsi="Times New Roman" w:cs="Times New Roman"/>
          <w:b/>
          <w:bCs/>
          <w:color w:val="000000"/>
          <w:sz w:val="24"/>
          <w:szCs w:val="24"/>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99</w:t>
      </w:r>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w:t>
      </w:r>
      <w:r>
        <w:rPr>
          <w:rFonts w:ascii="Times New Roman" w:eastAsia="Times New Roman" w:hAnsi="Times New Roman" w:cs="Times New Roman"/>
          <w:color w:val="000000"/>
          <w:sz w:val="24"/>
          <w:szCs w:val="24"/>
        </w:rPr>
        <w:t xml:space="preserve"> and the country prefers </w:t>
      </w:r>
      <w:proofErr w:type="gramStart"/>
      <w:r>
        <w:rPr>
          <w:rFonts w:ascii="Times New Roman" w:eastAsia="Times New Roman" w:hAnsi="Times New Roman" w:cs="Times New Roman"/>
          <w:color w:val="000000"/>
          <w:sz w:val="24"/>
          <w:szCs w:val="24"/>
        </w:rPr>
        <w:t>low cost</w:t>
      </w:r>
      <w:proofErr w:type="gramEnd"/>
      <w:r>
        <w:rPr>
          <w:rFonts w:ascii="Times New Roman" w:eastAsia="Times New Roman" w:hAnsi="Times New Roman" w:cs="Times New Roman"/>
          <w:color w:val="000000"/>
          <w:sz w:val="24"/>
          <w:szCs w:val="24"/>
        </w:rPr>
        <w:t xml:space="preserve"> technologies (such LFP batteries and IPMSMs). Japan prioritizes dependability and NiMH/Li-ion hybrids, Korea makes investments in 800V systems, while India prioritizes affordable e2W/3W.</w:t>
      </w:r>
    </w:p>
    <w:p w14:paraId="6D4E7390" w14:textId="77777777" w:rsidR="006D0435" w:rsidRDefault="00000000">
      <w:pPr>
        <w:pStyle w:val="Heading2"/>
        <w:spacing w:line="360" w:lineRule="auto"/>
        <w:rPr>
          <w:rFonts w:ascii="Times New Roman" w:eastAsia="Times New Roman" w:hAnsi="Times New Roman" w:cs="Times New Roman"/>
          <w:color w:val="000000"/>
          <w:sz w:val="24"/>
          <w:szCs w:val="24"/>
        </w:rPr>
      </w:pPr>
      <w:bookmarkStart w:id="5" w:name="2ounvzyera3t" w:colFirst="0" w:colLast="0"/>
      <w:bookmarkEnd w:id="5"/>
      <w:r>
        <w:rPr>
          <w:rFonts w:ascii="Times New Roman" w:eastAsia="Times New Roman" w:hAnsi="Times New Roman" w:cs="Times New Roman"/>
          <w:color w:val="000000"/>
          <w:sz w:val="24"/>
          <w:szCs w:val="24"/>
        </w:rPr>
        <w:lastRenderedPageBreak/>
        <w:t>2. Motor Technologies &amp; Metrics</w:t>
      </w:r>
    </w:p>
    <w:p w14:paraId="75B43D3E" w14:textId="77777777" w:rsidR="006D0435"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Efficiency distribution across actual drive cycles is becoming a more important metric for evaluating modern EV traction motors than just peak efficiency. According to recent studies, driving in cities frequently requires low-torque operation, where switching and copper losses predominate in terms of system efficiency. Because their rotor magnet excitation lowers rotor losses and permits high efficiency even under partial load situations, PMSM/IPM machines continue to be appealing [</w:t>
      </w:r>
      <w:r>
        <w:rPr>
          <w:rFonts w:ascii="Times New Roman" w:eastAsia="Times New Roman" w:hAnsi="Times New Roman" w:cs="Times New Roman"/>
          <w:sz w:val="24"/>
          <w:szCs w:val="24"/>
        </w:rPr>
        <w:t>100</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101</w:t>
      </w:r>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w:t>
      </w:r>
      <w:r>
        <w:rPr>
          <w:rFonts w:ascii="Times New Roman" w:eastAsia="Times New Roman" w:hAnsi="Times New Roman" w:cs="Times New Roman"/>
          <w:color w:val="000000"/>
          <w:sz w:val="24"/>
          <w:szCs w:val="24"/>
        </w:rPr>
        <w:t xml:space="preserve"> Research developing ferrite-assisted </w:t>
      </w:r>
      <w:proofErr w:type="spellStart"/>
      <w:r>
        <w:rPr>
          <w:rFonts w:ascii="Times New Roman" w:eastAsia="Times New Roman" w:hAnsi="Times New Roman" w:cs="Times New Roman"/>
          <w:color w:val="000000"/>
          <w:sz w:val="24"/>
          <w:szCs w:val="24"/>
        </w:rPr>
        <w:t>SynRM</w:t>
      </w:r>
      <w:proofErr w:type="spellEnd"/>
      <w:r>
        <w:rPr>
          <w:rFonts w:ascii="Times New Roman" w:eastAsia="Times New Roman" w:hAnsi="Times New Roman" w:cs="Times New Roman"/>
          <w:color w:val="000000"/>
          <w:sz w:val="24"/>
          <w:szCs w:val="24"/>
        </w:rPr>
        <w:t xml:space="preserve"> and EESM substitutes that offer controlled excitation while lowering reliance on rare-earth minerals is being pushed by the supply-chain problems associated with magnet dependency [1</w:t>
      </w:r>
      <w:r>
        <w:rPr>
          <w:rFonts w:ascii="Times New Roman" w:eastAsia="Times New Roman" w:hAnsi="Times New Roman" w:cs="Times New Roman"/>
          <w:sz w:val="24"/>
          <w:szCs w:val="24"/>
        </w:rPr>
        <w:t>15</w:t>
      </w:r>
      <w:r>
        <w:rPr>
          <w:rFonts w:ascii="Times New Roman" w:eastAsia="Times New Roman" w:hAnsi="Times New Roman" w:cs="Times New Roman"/>
          <w:color w:val="000000"/>
          <w:sz w:val="24"/>
          <w:szCs w:val="24"/>
        </w:rPr>
        <w:t>].</w:t>
      </w:r>
    </w:p>
    <w:p w14:paraId="1E9E5CF3" w14:textId="77777777" w:rsidR="006D0435" w:rsidRDefault="00000000">
      <w:pPr>
        <w:pBdr>
          <w:top w:val="nil"/>
          <w:left w:val="nil"/>
          <w:bottom w:val="nil"/>
          <w:right w:val="nil"/>
          <w:between w:val="nil"/>
        </w:pBdr>
        <w:spacing w:before="180" w:after="1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High-speed motor operation, in which motors run at rates higher than 20,000 rpm, is another new design trend. Although high-speed designs result in smaller and lighter motors, they also increase mechanical stress and necessitate inverter switching. Advanced hairpin windings and oil-spray cooling are being utilized more and more to sustain high torque densities while maintaining thermal constraints. In integrated drive units, inverter cooling and motor cooling must be co-designed because thermal limitations continue to be the principal limit for continuous operation [</w:t>
      </w:r>
      <w:r>
        <w:rPr>
          <w:rFonts w:ascii="Times New Roman" w:eastAsia="Times New Roman" w:hAnsi="Times New Roman" w:cs="Times New Roman"/>
          <w:sz w:val="24"/>
          <w:szCs w:val="24"/>
        </w:rPr>
        <w:t>102</w:t>
      </w:r>
      <w:r>
        <w:rPr>
          <w:rFonts w:ascii="Times New Roman" w:eastAsia="Times New Roman" w:hAnsi="Times New Roman" w:cs="Times New Roman"/>
          <w:color w:val="000000"/>
          <w:sz w:val="24"/>
          <w:szCs w:val="24"/>
        </w:rPr>
        <w:t>].</w:t>
      </w:r>
    </w:p>
    <w:p w14:paraId="3C609FA2" w14:textId="77777777" w:rsidR="006D0435" w:rsidRDefault="00000000">
      <w:pPr>
        <w:pBdr>
          <w:top w:val="nil"/>
          <w:left w:val="nil"/>
          <w:bottom w:val="nil"/>
          <w:right w:val="nil"/>
          <w:between w:val="nil"/>
        </w:pBdr>
        <w:spacing w:before="180" w:after="1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Prioritized Motors:</w:t>
      </w:r>
      <w:r>
        <w:rPr>
          <w:rFonts w:ascii="Times New Roman" w:eastAsia="Times New Roman" w:hAnsi="Times New Roman" w:cs="Times New Roman"/>
          <w:color w:val="000000"/>
          <w:sz w:val="24"/>
          <w:szCs w:val="24"/>
        </w:rPr>
        <w:t xml:space="preserve"> Table I compares key motor types</w:t>
      </w:r>
      <w:r>
        <w:rPr>
          <w:rFonts w:ascii="Times New Roman" w:eastAsia="Times New Roman" w:hAnsi="Times New Roman" w:cs="Times New Roman"/>
          <w:sz w:val="24"/>
          <w:szCs w:val="24"/>
        </w:rPr>
        <w:t xml:space="preserve"> [100]</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101</w:t>
      </w:r>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w:t>
      </w:r>
      <w:r>
        <w:rPr>
          <w:rFonts w:ascii="Times New Roman" w:eastAsia="Times New Roman" w:hAnsi="Times New Roman" w:cs="Times New Roman"/>
          <w:color w:val="000000"/>
          <w:sz w:val="24"/>
          <w:szCs w:val="24"/>
        </w:rPr>
        <w:t xml:space="preserve"> Metrics include torque density (kW/kg), peak efficiency, NVH, and material use.</w:t>
      </w:r>
    </w:p>
    <w:p w14:paraId="61D8DD05" w14:textId="77777777" w:rsidR="006D0435" w:rsidRDefault="00000000">
      <w:pPr>
        <w:numPr>
          <w:ilvl w:val="0"/>
          <w:numId w:val="2"/>
        </w:numPr>
        <w:pBdr>
          <w:top w:val="nil"/>
          <w:left w:val="nil"/>
          <w:bottom w:val="nil"/>
          <w:right w:val="nil"/>
          <w:between w:val="nil"/>
        </w:pBdr>
        <w:spacing w:before="36" w:after="36" w:line="360" w:lineRule="auto"/>
        <w:rPr>
          <w:color w:val="000000"/>
          <w:sz w:val="24"/>
          <w:szCs w:val="24"/>
        </w:rPr>
      </w:pPr>
      <w:r>
        <w:rPr>
          <w:rFonts w:ascii="Times New Roman" w:eastAsia="Times New Roman" w:hAnsi="Times New Roman" w:cs="Times New Roman"/>
          <w:b/>
          <w:bCs/>
          <w:color w:val="000000"/>
          <w:sz w:val="24"/>
          <w:szCs w:val="24"/>
        </w:rPr>
        <w:t>IPMSM/PMSM:</w:t>
      </w:r>
      <w:r>
        <w:rPr>
          <w:rFonts w:ascii="Times New Roman" w:eastAsia="Times New Roman" w:hAnsi="Times New Roman" w:cs="Times New Roman"/>
          <w:color w:val="000000"/>
          <w:sz w:val="24"/>
          <w:szCs w:val="24"/>
        </w:rPr>
        <w:t xml:space="preserve"> Highest torque density (~5–10 kW/kg) and efficiency (peak ~94–96</w:t>
      </w:r>
      <w:proofErr w:type="gramStart"/>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100]</w:t>
      </w:r>
      <w:r>
        <w:rPr>
          <w:rFonts w:ascii="Times New Roman" w:eastAsia="Times New Roman" w:hAnsi="Times New Roman" w:cs="Times New Roman"/>
          <w:color w:val="000000"/>
          <w:sz w:val="24"/>
          <w:szCs w:val="24"/>
        </w:rPr>
        <w:t xml:space="preserve">. Often interior PM (IPM) for added reluctance torque. Rare-earth NdFeB magnets (with Dy for temp stability) give high performance but supply risk. Example: A 100 kW IPMSM might weigh ~15 kg. Continuous torque is limited by cooling (~150–200°C winding). NVH is </w:t>
      </w:r>
      <w:proofErr w:type="gramStart"/>
      <w:r>
        <w:rPr>
          <w:rFonts w:ascii="Times New Roman" w:eastAsia="Times New Roman" w:hAnsi="Times New Roman" w:cs="Times New Roman"/>
          <w:color w:val="000000"/>
          <w:sz w:val="24"/>
          <w:szCs w:val="24"/>
        </w:rPr>
        <w:t>smooth</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 control</w:t>
      </w:r>
      <w:proofErr w:type="gramEnd"/>
      <w:r>
        <w:rPr>
          <w:rFonts w:ascii="Times New Roman" w:eastAsia="Times New Roman" w:hAnsi="Times New Roman" w:cs="Times New Roman"/>
          <w:color w:val="000000"/>
          <w:sz w:val="24"/>
          <w:szCs w:val="24"/>
        </w:rPr>
        <w:t xml:space="preserve"> is mature.</w:t>
      </w:r>
    </w:p>
    <w:p w14:paraId="57A3FA7B" w14:textId="77777777" w:rsidR="006D0435" w:rsidRDefault="00000000">
      <w:pPr>
        <w:numPr>
          <w:ilvl w:val="0"/>
          <w:numId w:val="2"/>
        </w:numPr>
        <w:pBdr>
          <w:top w:val="nil"/>
          <w:left w:val="nil"/>
          <w:bottom w:val="nil"/>
          <w:right w:val="nil"/>
          <w:between w:val="nil"/>
        </w:pBdr>
        <w:spacing w:before="36" w:after="36" w:line="360" w:lineRule="auto"/>
        <w:rPr>
          <w:color w:val="000000"/>
          <w:sz w:val="24"/>
          <w:szCs w:val="24"/>
        </w:rPr>
      </w:pPr>
      <w:r>
        <w:rPr>
          <w:rFonts w:ascii="Times New Roman" w:eastAsia="Times New Roman" w:hAnsi="Times New Roman" w:cs="Times New Roman"/>
          <w:b/>
          <w:bCs/>
          <w:color w:val="000000"/>
          <w:sz w:val="24"/>
          <w:szCs w:val="24"/>
        </w:rPr>
        <w:t>Induction Motor (IM):</w:t>
      </w:r>
      <w:r>
        <w:rPr>
          <w:rFonts w:ascii="Times New Roman" w:eastAsia="Times New Roman" w:hAnsi="Times New Roman" w:cs="Times New Roman"/>
          <w:color w:val="000000"/>
          <w:sz w:val="24"/>
          <w:szCs w:val="24"/>
        </w:rPr>
        <w:t xml:space="preserve"> Magnet-free, robust; torque density ~3–6 kW/kg </w:t>
      </w:r>
      <w:proofErr w:type="gramStart"/>
      <w:r>
        <w:rPr>
          <w:rFonts w:ascii="Times New Roman" w:eastAsia="Times New Roman" w:hAnsi="Times New Roman" w:cs="Times New Roman"/>
          <w:color w:val="000000"/>
          <w:sz w:val="24"/>
          <w:szCs w:val="24"/>
        </w:rPr>
        <w:t>motor</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101]</w:t>
      </w:r>
      <w:r>
        <w:rPr>
          <w:rFonts w:ascii="Times New Roman" w:eastAsia="Times New Roman" w:hAnsi="Times New Roman" w:cs="Times New Roman"/>
          <w:color w:val="000000"/>
          <w:sz w:val="24"/>
          <w:szCs w:val="24"/>
        </w:rPr>
        <w:t>. Peak efficiency ~90–94%. At light loads efficiency drops (rotor slip). Used in some Chinese EVs/buses and older Tesla models. No permanent magnets needed so good for cost. Thermal limit ~130°C rotor. NVH smooth.</w:t>
      </w:r>
    </w:p>
    <w:p w14:paraId="48CD2F94" w14:textId="77777777" w:rsidR="006D0435" w:rsidRDefault="00000000">
      <w:pPr>
        <w:numPr>
          <w:ilvl w:val="0"/>
          <w:numId w:val="2"/>
        </w:numPr>
        <w:pBdr>
          <w:top w:val="nil"/>
          <w:left w:val="nil"/>
          <w:bottom w:val="nil"/>
          <w:right w:val="nil"/>
          <w:between w:val="nil"/>
        </w:pBdr>
        <w:spacing w:before="36" w:after="36" w:line="360" w:lineRule="auto"/>
        <w:rPr>
          <w:color w:val="000000"/>
          <w:sz w:val="24"/>
          <w:szCs w:val="24"/>
        </w:rPr>
      </w:pPr>
      <w:r>
        <w:rPr>
          <w:rFonts w:ascii="Times New Roman" w:eastAsia="Times New Roman" w:hAnsi="Times New Roman" w:cs="Times New Roman"/>
          <w:b/>
          <w:bCs/>
          <w:color w:val="000000"/>
          <w:sz w:val="24"/>
          <w:szCs w:val="24"/>
        </w:rPr>
        <w:t>Switched Reluctance Motor (SRM):</w:t>
      </w:r>
      <w:r>
        <w:rPr>
          <w:rFonts w:ascii="Times New Roman" w:eastAsia="Times New Roman" w:hAnsi="Times New Roman" w:cs="Times New Roman"/>
          <w:color w:val="000000"/>
          <w:sz w:val="24"/>
          <w:szCs w:val="24"/>
        </w:rPr>
        <w:t xml:space="preserve"> Simple rotor (no magnets), potential high torque (4–8 kW/kg). Efficiency ~88–92%. Disadvantages: torque ripple and acoustic </w:t>
      </w:r>
      <w:proofErr w:type="gramStart"/>
      <w:r>
        <w:rPr>
          <w:rFonts w:ascii="Times New Roman" w:eastAsia="Times New Roman" w:hAnsi="Times New Roman" w:cs="Times New Roman"/>
          <w:color w:val="000000"/>
          <w:sz w:val="24"/>
          <w:szCs w:val="24"/>
        </w:rPr>
        <w:t>noise</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113]</w:t>
      </w:r>
      <w:r>
        <w:rPr>
          <w:rFonts w:ascii="Times New Roman" w:eastAsia="Times New Roman" w:hAnsi="Times New Roman" w:cs="Times New Roman"/>
          <w:color w:val="000000"/>
          <w:sz w:val="24"/>
          <w:szCs w:val="24"/>
        </w:rPr>
        <w:t>. Needs sophisticated control to minimize NVH. Rare in mainstream EVs but used in specialized drives (e.g. YASA wedge).</w:t>
      </w:r>
    </w:p>
    <w:p w14:paraId="02A71404" w14:textId="77777777" w:rsidR="006D0435" w:rsidRDefault="00000000">
      <w:pPr>
        <w:numPr>
          <w:ilvl w:val="0"/>
          <w:numId w:val="2"/>
        </w:numPr>
        <w:pBdr>
          <w:top w:val="nil"/>
          <w:left w:val="nil"/>
          <w:bottom w:val="nil"/>
          <w:right w:val="nil"/>
          <w:between w:val="nil"/>
        </w:pBdr>
        <w:spacing w:before="36" w:after="36" w:line="360" w:lineRule="auto"/>
        <w:rPr>
          <w:color w:val="000000"/>
          <w:sz w:val="24"/>
          <w:szCs w:val="24"/>
        </w:rPr>
      </w:pPr>
      <w:r>
        <w:rPr>
          <w:rFonts w:ascii="Times New Roman" w:eastAsia="Times New Roman" w:hAnsi="Times New Roman" w:cs="Times New Roman"/>
          <w:b/>
          <w:bCs/>
          <w:color w:val="000000"/>
          <w:sz w:val="24"/>
          <w:szCs w:val="24"/>
        </w:rPr>
        <w:t>Synchronous Reluctance Motor (</w:t>
      </w:r>
      <w:proofErr w:type="spellStart"/>
      <w:r>
        <w:rPr>
          <w:rFonts w:ascii="Times New Roman" w:eastAsia="Times New Roman" w:hAnsi="Times New Roman" w:cs="Times New Roman"/>
          <w:b/>
          <w:bCs/>
          <w:color w:val="000000"/>
          <w:sz w:val="24"/>
          <w:szCs w:val="24"/>
        </w:rPr>
        <w:t>SynRM</w:t>
      </w:r>
      <w:proofErr w:type="spellEnd"/>
      <w:r>
        <w:rPr>
          <w:rFonts w:ascii="Times New Roman" w:eastAsia="Times New Roman" w:hAnsi="Times New Roman" w:cs="Times New Roman"/>
          <w:b/>
          <w:bCs/>
          <w:color w:val="000000"/>
          <w:sz w:val="24"/>
          <w:szCs w:val="24"/>
        </w:rPr>
        <w:t>):</w:t>
      </w:r>
      <w:r>
        <w:rPr>
          <w:rFonts w:ascii="Times New Roman" w:eastAsia="Times New Roman" w:hAnsi="Times New Roman" w:cs="Times New Roman"/>
          <w:color w:val="000000"/>
          <w:sz w:val="24"/>
          <w:szCs w:val="24"/>
        </w:rPr>
        <w:t xml:space="preserve"> No magnets (or small ferrite PM), efficiency ~90–95%, torque ~3–5 kW/kg. Lower NVH than SRM. Toyota/Honda have prototyped </w:t>
      </w:r>
      <w:proofErr w:type="spellStart"/>
      <w:r>
        <w:rPr>
          <w:rFonts w:ascii="Times New Roman" w:eastAsia="Times New Roman" w:hAnsi="Times New Roman" w:cs="Times New Roman"/>
          <w:color w:val="000000"/>
          <w:sz w:val="24"/>
          <w:szCs w:val="24"/>
        </w:rPr>
        <w:t>SynRMs</w:t>
      </w:r>
      <w:proofErr w:type="spellEnd"/>
      <w:r>
        <w:rPr>
          <w:rFonts w:ascii="Times New Roman" w:eastAsia="Times New Roman" w:hAnsi="Times New Roman" w:cs="Times New Roman"/>
          <w:color w:val="000000"/>
          <w:sz w:val="24"/>
          <w:szCs w:val="24"/>
        </w:rPr>
        <w:t xml:space="preserve"> for HEVs.</w:t>
      </w:r>
    </w:p>
    <w:p w14:paraId="5EB7895C" w14:textId="77777777" w:rsidR="006D0435" w:rsidRDefault="00000000">
      <w:pPr>
        <w:numPr>
          <w:ilvl w:val="0"/>
          <w:numId w:val="2"/>
        </w:numPr>
        <w:pBdr>
          <w:top w:val="nil"/>
          <w:left w:val="nil"/>
          <w:bottom w:val="nil"/>
          <w:right w:val="nil"/>
          <w:between w:val="nil"/>
        </w:pBdr>
        <w:spacing w:before="36" w:after="36" w:line="360" w:lineRule="auto"/>
        <w:rPr>
          <w:color w:val="000000"/>
          <w:sz w:val="24"/>
          <w:szCs w:val="24"/>
        </w:rPr>
      </w:pPr>
      <w:r>
        <w:rPr>
          <w:rFonts w:ascii="Times New Roman" w:eastAsia="Times New Roman" w:hAnsi="Times New Roman" w:cs="Times New Roman"/>
          <w:b/>
          <w:bCs/>
          <w:color w:val="000000"/>
          <w:sz w:val="24"/>
          <w:szCs w:val="24"/>
        </w:rPr>
        <w:t>Axial-Flux PM:</w:t>
      </w:r>
      <w:r>
        <w:rPr>
          <w:rFonts w:ascii="Times New Roman" w:eastAsia="Times New Roman" w:hAnsi="Times New Roman" w:cs="Times New Roman"/>
          <w:color w:val="000000"/>
          <w:sz w:val="24"/>
          <w:szCs w:val="24"/>
        </w:rPr>
        <w:t xml:space="preserve"> Pancake geometry yields exceptional torque density (&gt;6 kW/</w:t>
      </w:r>
      <w:proofErr w:type="gramStart"/>
      <w:r>
        <w:rPr>
          <w:rFonts w:ascii="Times New Roman" w:eastAsia="Times New Roman" w:hAnsi="Times New Roman" w:cs="Times New Roman"/>
          <w:color w:val="000000"/>
          <w:sz w:val="24"/>
          <w:szCs w:val="24"/>
        </w:rPr>
        <w:t>kg</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107]</w:t>
      </w:r>
      <w:r>
        <w:rPr>
          <w:rFonts w:ascii="Times New Roman" w:eastAsia="Times New Roman" w:hAnsi="Times New Roman" w:cs="Times New Roman"/>
          <w:color w:val="000000"/>
          <w:sz w:val="24"/>
          <w:szCs w:val="24"/>
        </w:rPr>
        <w:t xml:space="preserve">). High surface area allows good cooling. Manufacture complexity (disk lamination, double-sided air gaps) and strong axial forces are challenges. Used in in-wheel motors and high-end EVs </w:t>
      </w:r>
      <w:r>
        <w:rPr>
          <w:rFonts w:ascii="Times New Roman" w:eastAsia="Times New Roman" w:hAnsi="Times New Roman" w:cs="Times New Roman"/>
          <w:sz w:val="24"/>
          <w:szCs w:val="24"/>
        </w:rPr>
        <w:t>(e.g.,</w:t>
      </w:r>
      <w:r>
        <w:rPr>
          <w:rFonts w:ascii="Times New Roman" w:eastAsia="Times New Roman" w:hAnsi="Times New Roman" w:cs="Times New Roman"/>
          <w:color w:val="000000"/>
          <w:sz w:val="24"/>
          <w:szCs w:val="24"/>
        </w:rPr>
        <w:t xml:space="preserve"> YASA drives in </w:t>
      </w:r>
      <w:r>
        <w:rPr>
          <w:rFonts w:ascii="Times New Roman" w:eastAsia="Times New Roman" w:hAnsi="Times New Roman" w:cs="Times New Roman"/>
          <w:sz w:val="24"/>
          <w:szCs w:val="24"/>
        </w:rPr>
        <w:t>hypercars [107]).</w:t>
      </w:r>
    </w:p>
    <w:p w14:paraId="421D7932" w14:textId="77777777" w:rsidR="006D0435" w:rsidRDefault="00000000">
      <w:pPr>
        <w:numPr>
          <w:ilvl w:val="0"/>
          <w:numId w:val="2"/>
        </w:numPr>
        <w:pBdr>
          <w:top w:val="nil"/>
          <w:left w:val="nil"/>
          <w:bottom w:val="nil"/>
          <w:right w:val="nil"/>
          <w:between w:val="nil"/>
        </w:pBdr>
        <w:spacing w:before="36" w:after="36" w:line="360" w:lineRule="auto"/>
        <w:rPr>
          <w:color w:val="000000"/>
          <w:sz w:val="24"/>
          <w:szCs w:val="24"/>
        </w:rPr>
      </w:pPr>
      <w:r>
        <w:rPr>
          <w:rFonts w:ascii="Times New Roman" w:eastAsia="Times New Roman" w:hAnsi="Times New Roman" w:cs="Times New Roman"/>
          <w:b/>
          <w:bCs/>
          <w:color w:val="000000"/>
          <w:sz w:val="24"/>
          <w:szCs w:val="24"/>
        </w:rPr>
        <w:lastRenderedPageBreak/>
        <w:t>EESM (Wound-Field):</w:t>
      </w:r>
      <w:r>
        <w:rPr>
          <w:rFonts w:ascii="Times New Roman" w:eastAsia="Times New Roman" w:hAnsi="Times New Roman" w:cs="Times New Roman"/>
          <w:color w:val="000000"/>
          <w:sz w:val="24"/>
          <w:szCs w:val="24"/>
        </w:rPr>
        <w:t xml:space="preserve"> Synchronous motor with rotor winding. Allows flux control, no permanent magnets. Efficiency ~90–95%. Historically used in large motors; automotive use is rare due to brush/transformer losses and complexity </w:t>
      </w:r>
      <w:r>
        <w:rPr>
          <w:rFonts w:ascii="Times New Roman" w:eastAsia="Times New Roman" w:hAnsi="Times New Roman" w:cs="Times New Roman"/>
          <w:sz w:val="24"/>
          <w:szCs w:val="24"/>
        </w:rPr>
        <w:t>[108]</w:t>
      </w:r>
      <w:r>
        <w:rPr>
          <w:rFonts w:ascii="Times New Roman" w:eastAsia="Times New Roman" w:hAnsi="Times New Roman" w:cs="Times New Roman"/>
          <w:color w:val="000000"/>
          <w:sz w:val="24"/>
          <w:szCs w:val="24"/>
        </w:rPr>
        <w:t>.</w:t>
      </w:r>
    </w:p>
    <w:p w14:paraId="7FBF5DC9" w14:textId="77777777" w:rsidR="006D0435" w:rsidRDefault="00000000">
      <w:pPr>
        <w:pBdr>
          <w:top w:val="nil"/>
          <w:left w:val="nil"/>
          <w:bottom w:val="nil"/>
          <w:right w:val="nil"/>
          <w:between w:val="nil"/>
        </w:pBdr>
        <w:spacing w:before="180" w:after="1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Performance Metrics:</w:t>
      </w:r>
      <w:r>
        <w:rPr>
          <w:rFonts w:ascii="Times New Roman" w:eastAsia="Times New Roman" w:hAnsi="Times New Roman" w:cs="Times New Roman"/>
          <w:color w:val="000000"/>
          <w:sz w:val="24"/>
          <w:szCs w:val="24"/>
        </w:rPr>
        <w:t xml:space="preserve"> Typical torque density ranges (see Table I) and efficiency curves: PMSMs maintain &gt;90% over broad range; IMs start around 90% at high torque but fall off under light </w:t>
      </w:r>
      <w:proofErr w:type="gramStart"/>
      <w:r>
        <w:rPr>
          <w:rFonts w:ascii="Times New Roman" w:eastAsia="Times New Roman" w:hAnsi="Times New Roman" w:cs="Times New Roman"/>
          <w:color w:val="000000"/>
          <w:sz w:val="24"/>
          <w:szCs w:val="24"/>
        </w:rPr>
        <w:t>load</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101]</w:t>
      </w:r>
      <w:r>
        <w:rPr>
          <w:rFonts w:ascii="Times New Roman" w:eastAsia="Times New Roman" w:hAnsi="Times New Roman" w:cs="Times New Roman"/>
          <w:color w:val="000000"/>
          <w:sz w:val="24"/>
          <w:szCs w:val="24"/>
        </w:rPr>
        <w:t>. SRM can match PMSM at peak but only if current optimized. Efficiency maps vary with design; a sample efficiency map (not shown) would have elliptical efficiency contours peaking at ~8000 rpm. Continuous torque is often around 1.5× rated short-term (cooling-</w:t>
      </w:r>
      <w:proofErr w:type="gramStart"/>
      <w:r>
        <w:rPr>
          <w:rFonts w:ascii="Times New Roman" w:eastAsia="Times New Roman" w:hAnsi="Times New Roman" w:cs="Times New Roman"/>
          <w:color w:val="000000"/>
          <w:sz w:val="24"/>
          <w:szCs w:val="24"/>
        </w:rPr>
        <w:t>limited)</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102]</w:t>
      </w:r>
      <w:r>
        <w:rPr>
          <w:rFonts w:ascii="Times New Roman" w:eastAsia="Times New Roman" w:hAnsi="Times New Roman" w:cs="Times New Roman"/>
          <w:color w:val="000000"/>
          <w:sz w:val="24"/>
          <w:szCs w:val="24"/>
        </w:rPr>
        <w:t>. NVH: SRM and axial-flux need careful damping; PMSM/IM/</w:t>
      </w:r>
      <w:proofErr w:type="spellStart"/>
      <w:r>
        <w:rPr>
          <w:rFonts w:ascii="Times New Roman" w:eastAsia="Times New Roman" w:hAnsi="Times New Roman" w:cs="Times New Roman"/>
          <w:color w:val="000000"/>
          <w:sz w:val="24"/>
          <w:szCs w:val="24"/>
        </w:rPr>
        <w:t>SynRM</w:t>
      </w:r>
      <w:proofErr w:type="spellEnd"/>
      <w:r>
        <w:rPr>
          <w:rFonts w:ascii="Times New Roman" w:eastAsia="Times New Roman" w:hAnsi="Times New Roman" w:cs="Times New Roman"/>
          <w:color w:val="000000"/>
          <w:sz w:val="24"/>
          <w:szCs w:val="24"/>
        </w:rPr>
        <w:t xml:space="preserve"> are inherently smooth. Magnetic material use: NdFeB for PMSM/Axial; ferrite or Nd-lite for </w:t>
      </w:r>
      <w:proofErr w:type="spellStart"/>
      <w:r>
        <w:rPr>
          <w:rFonts w:ascii="Times New Roman" w:eastAsia="Times New Roman" w:hAnsi="Times New Roman" w:cs="Times New Roman"/>
          <w:color w:val="000000"/>
          <w:sz w:val="24"/>
          <w:szCs w:val="24"/>
        </w:rPr>
        <w:t>SynRM</w:t>
      </w:r>
      <w:proofErr w:type="spellEnd"/>
      <w:r>
        <w:rPr>
          <w:rFonts w:ascii="Times New Roman" w:eastAsia="Times New Roman" w:hAnsi="Times New Roman" w:cs="Times New Roman"/>
          <w:color w:val="000000"/>
          <w:sz w:val="24"/>
          <w:szCs w:val="24"/>
        </w:rPr>
        <w:t>; copper winding for all; no rare-earth in IM/SRM.</w:t>
      </w:r>
    </w:p>
    <w:p w14:paraId="6B7DD410" w14:textId="77777777" w:rsidR="006D0435" w:rsidRDefault="00000000">
      <w:pPr>
        <w:pBdr>
          <w:top w:val="nil"/>
          <w:left w:val="nil"/>
          <w:bottom w:val="nil"/>
          <w:right w:val="nil"/>
          <w:between w:val="nil"/>
        </w:pBdr>
        <w:spacing w:before="180" w:after="1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I. Motor comparison [</w:t>
      </w:r>
      <w:r>
        <w:rPr>
          <w:rFonts w:ascii="Times New Roman" w:eastAsia="Times New Roman" w:hAnsi="Times New Roman" w:cs="Times New Roman"/>
          <w:sz w:val="24"/>
          <w:szCs w:val="24"/>
        </w:rPr>
        <w:t>100</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101</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113</w:t>
      </w:r>
      <w:r>
        <w:rPr>
          <w:rFonts w:ascii="Times New Roman" w:eastAsia="Times New Roman" w:hAnsi="Times New Roman" w:cs="Times New Roman"/>
          <w:color w:val="000000"/>
          <w:sz w:val="24"/>
          <w:szCs w:val="24"/>
        </w:rPr>
        <w:t>]:</w:t>
      </w:r>
    </w:p>
    <w:tbl>
      <w:tblPr>
        <w:tblStyle w:val="a3"/>
        <w:tblW w:w="9605" w:type="dxa"/>
        <w:tblInd w:w="0" w:type="dxa"/>
        <w:tblLayout w:type="fixed"/>
        <w:tblLook w:val="0020" w:firstRow="1" w:lastRow="0" w:firstColumn="0" w:lastColumn="0" w:noHBand="0" w:noVBand="0"/>
      </w:tblPr>
      <w:tblGrid>
        <w:gridCol w:w="1751"/>
        <w:gridCol w:w="1036"/>
        <w:gridCol w:w="1219"/>
        <w:gridCol w:w="1537"/>
        <w:gridCol w:w="1012"/>
        <w:gridCol w:w="1285"/>
        <w:gridCol w:w="1765"/>
      </w:tblGrid>
      <w:tr w:rsidR="006D0435" w14:paraId="5E918AA8" w14:textId="77777777" w:rsidTr="006D0435">
        <w:trPr>
          <w:cnfStyle w:val="100000000000" w:firstRow="1" w:lastRow="0" w:firstColumn="0" w:lastColumn="0" w:oddVBand="0" w:evenVBand="0" w:oddHBand="0" w:evenHBand="0" w:firstRowFirstColumn="0" w:firstRowLastColumn="0" w:lastRowFirstColumn="0" w:lastRowLastColumn="0"/>
          <w:trHeight w:val="990"/>
          <w:tblHeader/>
        </w:trPr>
        <w:tc>
          <w:tcPr>
            <w:tcW w:w="1751" w:type="dxa"/>
            <w:tcBorders>
              <w:top w:val="single" w:sz="8" w:space="0" w:color="000000"/>
              <w:bottom w:val="single" w:sz="8" w:space="0" w:color="000000"/>
            </w:tcBorders>
          </w:tcPr>
          <w:p w14:paraId="553D6751"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Motor Type</w:t>
            </w:r>
          </w:p>
        </w:tc>
        <w:tc>
          <w:tcPr>
            <w:tcW w:w="1036" w:type="dxa"/>
            <w:tcBorders>
              <w:top w:val="single" w:sz="8" w:space="0" w:color="000000"/>
              <w:bottom w:val="single" w:sz="8" w:space="0" w:color="000000"/>
            </w:tcBorders>
          </w:tcPr>
          <w:p w14:paraId="2FB171DB"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Torque Density (kW/kg)</w:t>
            </w:r>
          </w:p>
        </w:tc>
        <w:tc>
          <w:tcPr>
            <w:tcW w:w="1219" w:type="dxa"/>
            <w:tcBorders>
              <w:top w:val="single" w:sz="8" w:space="0" w:color="000000"/>
              <w:bottom w:val="single" w:sz="8" w:space="0" w:color="000000"/>
            </w:tcBorders>
          </w:tcPr>
          <w:p w14:paraId="4569B9D2"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Peak Efficiency (%)</w:t>
            </w:r>
          </w:p>
        </w:tc>
        <w:tc>
          <w:tcPr>
            <w:tcW w:w="1537" w:type="dxa"/>
            <w:tcBorders>
              <w:top w:val="single" w:sz="8" w:space="0" w:color="000000"/>
              <w:bottom w:val="single" w:sz="8" w:space="0" w:color="000000"/>
            </w:tcBorders>
          </w:tcPr>
          <w:p w14:paraId="040A9046"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NVH/Control</w:t>
            </w:r>
          </w:p>
        </w:tc>
        <w:tc>
          <w:tcPr>
            <w:tcW w:w="1012" w:type="dxa"/>
            <w:tcBorders>
              <w:top w:val="single" w:sz="8" w:space="0" w:color="000000"/>
              <w:bottom w:val="single" w:sz="8" w:space="0" w:color="000000"/>
            </w:tcBorders>
          </w:tcPr>
          <w:p w14:paraId="244D7EE2"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Cooling Limit</w:t>
            </w:r>
          </w:p>
        </w:tc>
        <w:tc>
          <w:tcPr>
            <w:tcW w:w="1285" w:type="dxa"/>
            <w:tcBorders>
              <w:top w:val="single" w:sz="8" w:space="0" w:color="000000"/>
              <w:bottom w:val="single" w:sz="8" w:space="0" w:color="000000"/>
            </w:tcBorders>
          </w:tcPr>
          <w:p w14:paraId="4C097972"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Materials</w:t>
            </w:r>
          </w:p>
        </w:tc>
        <w:tc>
          <w:tcPr>
            <w:tcW w:w="1765" w:type="dxa"/>
            <w:tcBorders>
              <w:top w:val="single" w:sz="8" w:space="0" w:color="000000"/>
              <w:bottom w:val="single" w:sz="8" w:space="0" w:color="000000"/>
            </w:tcBorders>
          </w:tcPr>
          <w:p w14:paraId="2284DFFC"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Typical EV Use</w:t>
            </w:r>
          </w:p>
        </w:tc>
      </w:tr>
      <w:tr w:rsidR="006D0435" w14:paraId="6D25B92F" w14:textId="77777777" w:rsidTr="006D0435">
        <w:trPr>
          <w:trHeight w:val="745"/>
        </w:trPr>
        <w:tc>
          <w:tcPr>
            <w:tcW w:w="1751" w:type="dxa"/>
            <w:tcBorders>
              <w:top w:val="single" w:sz="8" w:space="0" w:color="000000"/>
            </w:tcBorders>
          </w:tcPr>
          <w:p w14:paraId="10812D25"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IPMSM/PMSM</w:t>
            </w:r>
          </w:p>
        </w:tc>
        <w:tc>
          <w:tcPr>
            <w:tcW w:w="1036" w:type="dxa"/>
            <w:tcBorders>
              <w:top w:val="single" w:sz="8" w:space="0" w:color="000000"/>
            </w:tcBorders>
          </w:tcPr>
          <w:p w14:paraId="46AD9D50"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5–10</w:t>
            </w:r>
          </w:p>
        </w:tc>
        <w:tc>
          <w:tcPr>
            <w:tcW w:w="1219" w:type="dxa"/>
            <w:tcBorders>
              <w:top w:val="single" w:sz="8" w:space="0" w:color="000000"/>
            </w:tcBorders>
          </w:tcPr>
          <w:p w14:paraId="0D78DABC"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94–96</w:t>
            </w:r>
          </w:p>
        </w:tc>
        <w:tc>
          <w:tcPr>
            <w:tcW w:w="1537" w:type="dxa"/>
            <w:tcBorders>
              <w:top w:val="single" w:sz="8" w:space="0" w:color="000000"/>
            </w:tcBorders>
          </w:tcPr>
          <w:p w14:paraId="706C1B83"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Smooth</w:t>
            </w:r>
          </w:p>
        </w:tc>
        <w:tc>
          <w:tcPr>
            <w:tcW w:w="1012" w:type="dxa"/>
            <w:tcBorders>
              <w:top w:val="single" w:sz="8" w:space="0" w:color="000000"/>
            </w:tcBorders>
          </w:tcPr>
          <w:p w14:paraId="7E6859C9"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~180 °C stator</w:t>
            </w:r>
          </w:p>
        </w:tc>
        <w:tc>
          <w:tcPr>
            <w:tcW w:w="1285" w:type="dxa"/>
            <w:tcBorders>
              <w:top w:val="single" w:sz="8" w:space="0" w:color="000000"/>
            </w:tcBorders>
          </w:tcPr>
          <w:p w14:paraId="04497520"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NdFeB (Nd/Dy)</w:t>
            </w:r>
          </w:p>
        </w:tc>
        <w:tc>
          <w:tcPr>
            <w:tcW w:w="1765" w:type="dxa"/>
            <w:tcBorders>
              <w:top w:val="single" w:sz="8" w:space="0" w:color="000000"/>
            </w:tcBorders>
          </w:tcPr>
          <w:p w14:paraId="111EFEE8"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Most EVs/HEVs [Q1]</w:t>
            </w:r>
          </w:p>
        </w:tc>
      </w:tr>
      <w:tr w:rsidR="006D0435" w14:paraId="0E46C9EC" w14:textId="77777777" w:rsidTr="006D0435">
        <w:trPr>
          <w:trHeight w:val="745"/>
        </w:trPr>
        <w:tc>
          <w:tcPr>
            <w:tcW w:w="1751" w:type="dxa"/>
          </w:tcPr>
          <w:p w14:paraId="5B3E3509"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Induction (IM)</w:t>
            </w:r>
          </w:p>
        </w:tc>
        <w:tc>
          <w:tcPr>
            <w:tcW w:w="1036" w:type="dxa"/>
          </w:tcPr>
          <w:p w14:paraId="7C8588EF"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3–6</w:t>
            </w:r>
          </w:p>
        </w:tc>
        <w:tc>
          <w:tcPr>
            <w:tcW w:w="1219" w:type="dxa"/>
          </w:tcPr>
          <w:p w14:paraId="29E343E5"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88–94</w:t>
            </w:r>
          </w:p>
        </w:tc>
        <w:tc>
          <w:tcPr>
            <w:tcW w:w="1537" w:type="dxa"/>
          </w:tcPr>
          <w:p w14:paraId="0EB06077"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Smooth</w:t>
            </w:r>
          </w:p>
        </w:tc>
        <w:tc>
          <w:tcPr>
            <w:tcW w:w="1012" w:type="dxa"/>
          </w:tcPr>
          <w:p w14:paraId="1F717885"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~130 °C rotor</w:t>
            </w:r>
          </w:p>
        </w:tc>
        <w:tc>
          <w:tcPr>
            <w:tcW w:w="1285" w:type="dxa"/>
          </w:tcPr>
          <w:p w14:paraId="5F293E23"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Copper, steel</w:t>
            </w:r>
          </w:p>
        </w:tc>
        <w:tc>
          <w:tcPr>
            <w:tcW w:w="1765" w:type="dxa"/>
          </w:tcPr>
          <w:p w14:paraId="4C41AAEB"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Some EVs, robust apps</w:t>
            </w:r>
          </w:p>
        </w:tc>
      </w:tr>
      <w:tr w:rsidR="006D0435" w14:paraId="58DE2AA8" w14:textId="77777777" w:rsidTr="006D0435">
        <w:trPr>
          <w:trHeight w:val="745"/>
        </w:trPr>
        <w:tc>
          <w:tcPr>
            <w:tcW w:w="1751" w:type="dxa"/>
          </w:tcPr>
          <w:p w14:paraId="4CBD2053"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SRM</w:t>
            </w:r>
          </w:p>
        </w:tc>
        <w:tc>
          <w:tcPr>
            <w:tcW w:w="1036" w:type="dxa"/>
          </w:tcPr>
          <w:p w14:paraId="0E8DF5D5"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4–8</w:t>
            </w:r>
          </w:p>
        </w:tc>
        <w:tc>
          <w:tcPr>
            <w:tcW w:w="1219" w:type="dxa"/>
          </w:tcPr>
          <w:p w14:paraId="771CB282"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85–92</w:t>
            </w:r>
          </w:p>
        </w:tc>
        <w:tc>
          <w:tcPr>
            <w:tcW w:w="1537" w:type="dxa"/>
          </w:tcPr>
          <w:p w14:paraId="22F92608"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Noisy/ripple</w:t>
            </w:r>
          </w:p>
        </w:tc>
        <w:tc>
          <w:tcPr>
            <w:tcW w:w="1012" w:type="dxa"/>
          </w:tcPr>
          <w:p w14:paraId="4B34BDAC"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~150 °C stator</w:t>
            </w:r>
          </w:p>
        </w:tc>
        <w:tc>
          <w:tcPr>
            <w:tcW w:w="1285" w:type="dxa"/>
          </w:tcPr>
          <w:p w14:paraId="415D553D"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None (steel)</w:t>
            </w:r>
          </w:p>
        </w:tc>
        <w:tc>
          <w:tcPr>
            <w:tcW w:w="1765" w:type="dxa"/>
          </w:tcPr>
          <w:p w14:paraId="349BD243"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Specialty EVs [Q2]</w:t>
            </w:r>
          </w:p>
        </w:tc>
      </w:tr>
      <w:tr w:rsidR="006D0435" w14:paraId="6FAC6EEE" w14:textId="77777777" w:rsidTr="006D0435">
        <w:trPr>
          <w:trHeight w:val="745"/>
        </w:trPr>
        <w:tc>
          <w:tcPr>
            <w:tcW w:w="1751" w:type="dxa"/>
          </w:tcPr>
          <w:p w14:paraId="5E175276"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proofErr w:type="spellStart"/>
            <w:r>
              <w:rPr>
                <w:rFonts w:ascii="Times New Roman" w:eastAsia="Times New Roman" w:hAnsi="Times New Roman" w:cs="Times New Roman"/>
                <w:color w:val="000000"/>
                <w:sz w:val="16"/>
                <w:szCs w:val="16"/>
              </w:rPr>
              <w:t>SynRM</w:t>
            </w:r>
            <w:proofErr w:type="spellEnd"/>
          </w:p>
        </w:tc>
        <w:tc>
          <w:tcPr>
            <w:tcW w:w="1036" w:type="dxa"/>
          </w:tcPr>
          <w:p w14:paraId="3FC35421"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3–5</w:t>
            </w:r>
          </w:p>
        </w:tc>
        <w:tc>
          <w:tcPr>
            <w:tcW w:w="1219" w:type="dxa"/>
          </w:tcPr>
          <w:p w14:paraId="437F58F8"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90–95</w:t>
            </w:r>
          </w:p>
        </w:tc>
        <w:tc>
          <w:tcPr>
            <w:tcW w:w="1537" w:type="dxa"/>
          </w:tcPr>
          <w:p w14:paraId="0784F9EA"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Moderate ripple</w:t>
            </w:r>
          </w:p>
        </w:tc>
        <w:tc>
          <w:tcPr>
            <w:tcW w:w="1012" w:type="dxa"/>
          </w:tcPr>
          <w:p w14:paraId="137434FE"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~150 °C</w:t>
            </w:r>
          </w:p>
        </w:tc>
        <w:tc>
          <w:tcPr>
            <w:tcW w:w="1285" w:type="dxa"/>
          </w:tcPr>
          <w:p w14:paraId="6C21A37A"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Ferrite/low PM</w:t>
            </w:r>
          </w:p>
        </w:tc>
        <w:tc>
          <w:tcPr>
            <w:tcW w:w="1765" w:type="dxa"/>
          </w:tcPr>
          <w:p w14:paraId="618969CB"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Emerging HEVs/EVs</w:t>
            </w:r>
          </w:p>
        </w:tc>
      </w:tr>
      <w:tr w:rsidR="006D0435" w14:paraId="609A6D2F" w14:textId="77777777" w:rsidTr="006D0435">
        <w:trPr>
          <w:trHeight w:val="1073"/>
        </w:trPr>
        <w:tc>
          <w:tcPr>
            <w:tcW w:w="1751" w:type="dxa"/>
          </w:tcPr>
          <w:p w14:paraId="452886AA"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Axial-Flux PM</w:t>
            </w:r>
          </w:p>
        </w:tc>
        <w:tc>
          <w:tcPr>
            <w:tcW w:w="1036" w:type="dxa"/>
          </w:tcPr>
          <w:p w14:paraId="3EC2F84E"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6–10</w:t>
            </w:r>
          </w:p>
        </w:tc>
        <w:tc>
          <w:tcPr>
            <w:tcW w:w="1219" w:type="dxa"/>
          </w:tcPr>
          <w:p w14:paraId="58BCAC4A"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94–96</w:t>
            </w:r>
          </w:p>
        </w:tc>
        <w:tc>
          <w:tcPr>
            <w:tcW w:w="1537" w:type="dxa"/>
          </w:tcPr>
          <w:p w14:paraId="592A788F"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Moderate (disc)</w:t>
            </w:r>
          </w:p>
        </w:tc>
        <w:tc>
          <w:tcPr>
            <w:tcW w:w="1012" w:type="dxa"/>
          </w:tcPr>
          <w:p w14:paraId="4D5FF272"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~1–3 mm gap</w:t>
            </w:r>
          </w:p>
        </w:tc>
        <w:tc>
          <w:tcPr>
            <w:tcW w:w="1285" w:type="dxa"/>
          </w:tcPr>
          <w:p w14:paraId="74E4D9D9"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NdFeB</w:t>
            </w:r>
          </w:p>
        </w:tc>
        <w:tc>
          <w:tcPr>
            <w:tcW w:w="1765" w:type="dxa"/>
          </w:tcPr>
          <w:p w14:paraId="0A866341"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In-wheel/supercars [Q1]</w:t>
            </w:r>
          </w:p>
        </w:tc>
      </w:tr>
      <w:tr w:rsidR="006D0435" w14:paraId="68A5C424" w14:textId="77777777" w:rsidTr="006D0435">
        <w:trPr>
          <w:trHeight w:val="745"/>
        </w:trPr>
        <w:tc>
          <w:tcPr>
            <w:tcW w:w="1751" w:type="dxa"/>
            <w:tcBorders>
              <w:bottom w:val="single" w:sz="8" w:space="0" w:color="000000"/>
            </w:tcBorders>
          </w:tcPr>
          <w:p w14:paraId="1F5B833C"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EESM (wound)</w:t>
            </w:r>
          </w:p>
        </w:tc>
        <w:tc>
          <w:tcPr>
            <w:tcW w:w="1036" w:type="dxa"/>
            <w:tcBorders>
              <w:bottom w:val="single" w:sz="8" w:space="0" w:color="000000"/>
            </w:tcBorders>
          </w:tcPr>
          <w:p w14:paraId="14C66280"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5–8</w:t>
            </w:r>
          </w:p>
        </w:tc>
        <w:tc>
          <w:tcPr>
            <w:tcW w:w="1219" w:type="dxa"/>
            <w:tcBorders>
              <w:bottom w:val="single" w:sz="8" w:space="0" w:color="000000"/>
            </w:tcBorders>
          </w:tcPr>
          <w:p w14:paraId="19BD89D7"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90–95</w:t>
            </w:r>
          </w:p>
        </w:tc>
        <w:tc>
          <w:tcPr>
            <w:tcW w:w="1537" w:type="dxa"/>
            <w:tcBorders>
              <w:bottom w:val="single" w:sz="8" w:space="0" w:color="000000"/>
            </w:tcBorders>
          </w:tcPr>
          <w:p w14:paraId="175DBF92"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Low (excited)</w:t>
            </w:r>
          </w:p>
        </w:tc>
        <w:tc>
          <w:tcPr>
            <w:tcW w:w="1012" w:type="dxa"/>
            <w:tcBorders>
              <w:bottom w:val="single" w:sz="8" w:space="0" w:color="000000"/>
            </w:tcBorders>
          </w:tcPr>
          <w:p w14:paraId="028AFBF1"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~150 °C rotor</w:t>
            </w:r>
          </w:p>
        </w:tc>
        <w:tc>
          <w:tcPr>
            <w:tcW w:w="1285" w:type="dxa"/>
            <w:tcBorders>
              <w:bottom w:val="single" w:sz="8" w:space="0" w:color="000000"/>
            </w:tcBorders>
          </w:tcPr>
          <w:p w14:paraId="28EFECFF"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Copper, steel</w:t>
            </w:r>
          </w:p>
        </w:tc>
        <w:tc>
          <w:tcPr>
            <w:tcW w:w="1765" w:type="dxa"/>
            <w:tcBorders>
              <w:bottom w:val="single" w:sz="8" w:space="0" w:color="000000"/>
            </w:tcBorders>
          </w:tcPr>
          <w:p w14:paraId="1763BF12"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Niche/large motors</w:t>
            </w:r>
          </w:p>
        </w:tc>
      </w:tr>
    </w:tbl>
    <w:p w14:paraId="3A629888" w14:textId="77777777" w:rsidR="006D0435" w:rsidRDefault="00000000">
      <w:pPr>
        <w:pBdr>
          <w:top w:val="nil"/>
          <w:left w:val="nil"/>
          <w:bottom w:val="nil"/>
          <w:right w:val="nil"/>
          <w:between w:val="nil"/>
        </w:pBdr>
        <w:spacing w:before="180" w:after="1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 xml:space="preserve">Source: compiled from </w:t>
      </w:r>
      <w:r>
        <w:rPr>
          <w:rFonts w:ascii="Times New Roman" w:eastAsia="Times New Roman" w:hAnsi="Times New Roman" w:cs="Times New Roman"/>
          <w:b/>
          <w:bCs/>
          <w:i/>
          <w:iCs/>
          <w:color w:val="000000"/>
          <w:sz w:val="24"/>
          <w:szCs w:val="24"/>
        </w:rPr>
        <w:t>[</w:t>
      </w:r>
      <w:r>
        <w:rPr>
          <w:rFonts w:ascii="Times New Roman" w:eastAsia="Times New Roman" w:hAnsi="Times New Roman" w:cs="Times New Roman"/>
          <w:b/>
          <w:bCs/>
          <w:i/>
          <w:iCs/>
          <w:sz w:val="24"/>
          <w:szCs w:val="24"/>
        </w:rPr>
        <w:t>100</w:t>
      </w:r>
      <w:r>
        <w:rPr>
          <w:rFonts w:ascii="Times New Roman" w:eastAsia="Times New Roman" w:hAnsi="Times New Roman" w:cs="Times New Roman"/>
          <w:b/>
          <w:bCs/>
          <w:i/>
          <w:iCs/>
          <w:color w:val="000000"/>
          <w:sz w:val="24"/>
          <w:szCs w:val="24"/>
        </w:rPr>
        <w:t>], [</w:t>
      </w:r>
      <w:r>
        <w:rPr>
          <w:rFonts w:ascii="Times New Roman" w:eastAsia="Times New Roman" w:hAnsi="Times New Roman" w:cs="Times New Roman"/>
          <w:b/>
          <w:bCs/>
          <w:i/>
          <w:iCs/>
          <w:sz w:val="24"/>
          <w:szCs w:val="24"/>
        </w:rPr>
        <w:t>101</w:t>
      </w:r>
      <w:r>
        <w:rPr>
          <w:rFonts w:ascii="Times New Roman" w:eastAsia="Times New Roman" w:hAnsi="Times New Roman" w:cs="Times New Roman"/>
          <w:b/>
          <w:bCs/>
          <w:i/>
          <w:iCs/>
          <w:color w:val="000000"/>
          <w:sz w:val="24"/>
          <w:szCs w:val="24"/>
        </w:rPr>
        <w:t>], [</w:t>
      </w:r>
      <w:r>
        <w:rPr>
          <w:rFonts w:ascii="Times New Roman" w:eastAsia="Times New Roman" w:hAnsi="Times New Roman" w:cs="Times New Roman"/>
          <w:b/>
          <w:bCs/>
          <w:i/>
          <w:iCs/>
          <w:sz w:val="24"/>
          <w:szCs w:val="24"/>
        </w:rPr>
        <w:t>113</w:t>
      </w:r>
      <w:r>
        <w:rPr>
          <w:rFonts w:ascii="Times New Roman" w:eastAsia="Times New Roman" w:hAnsi="Times New Roman" w:cs="Times New Roman"/>
          <w:b/>
          <w:bCs/>
          <w:i/>
          <w:iCs/>
          <w:color w:val="000000"/>
          <w:sz w:val="24"/>
          <w:szCs w:val="24"/>
        </w:rPr>
        <w:t>].</w:t>
      </w:r>
      <w:r>
        <w:rPr>
          <w:rFonts w:ascii="Times New Roman" w:eastAsia="Times New Roman" w:hAnsi="Times New Roman" w:cs="Times New Roman"/>
          <w:i/>
          <w:iCs/>
          <w:color w:val="000000"/>
          <w:sz w:val="24"/>
          <w:szCs w:val="24"/>
        </w:rPr>
        <w:t xml:space="preserve"> Range values are typical for automotive designs.</w:t>
      </w:r>
    </w:p>
    <w:p w14:paraId="7382721E" w14:textId="77777777" w:rsidR="006D0435" w:rsidRDefault="00000000">
      <w:pPr>
        <w:pStyle w:val="Heading2"/>
        <w:spacing w:line="360" w:lineRule="auto"/>
        <w:rPr>
          <w:rFonts w:ascii="Times New Roman" w:eastAsia="Times New Roman" w:hAnsi="Times New Roman" w:cs="Times New Roman"/>
          <w:color w:val="000000"/>
          <w:sz w:val="24"/>
          <w:szCs w:val="24"/>
        </w:rPr>
      </w:pPr>
      <w:bookmarkStart w:id="6" w:name="nbl446vpixpt" w:colFirst="0" w:colLast="0"/>
      <w:bookmarkEnd w:id="6"/>
      <w:r>
        <w:rPr>
          <w:rFonts w:ascii="Times New Roman" w:eastAsia="Times New Roman" w:hAnsi="Times New Roman" w:cs="Times New Roman"/>
          <w:color w:val="000000"/>
          <w:sz w:val="24"/>
          <w:szCs w:val="24"/>
        </w:rPr>
        <w:t>3. Power Electronics</w:t>
      </w:r>
    </w:p>
    <w:p w14:paraId="6E60EB7F" w14:textId="77777777" w:rsidR="006D0435"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Inverter Semiconductors:</w:t>
      </w:r>
      <w:r>
        <w:rPr>
          <w:rFonts w:ascii="Times New Roman" w:eastAsia="Times New Roman" w:hAnsi="Times New Roman" w:cs="Times New Roman"/>
          <w:color w:val="000000"/>
          <w:sz w:val="24"/>
          <w:szCs w:val="24"/>
        </w:rPr>
        <w:t xml:space="preserve"> Silicon IGBTs/MOSFETs (600–1200V) have been standard for &lt;400 V systems. Wide-bandgap devices are now prevalent: Silicon Carbide (</w:t>
      </w:r>
      <w:proofErr w:type="spellStart"/>
      <w:r>
        <w:rPr>
          <w:rFonts w:ascii="Times New Roman" w:eastAsia="Times New Roman" w:hAnsi="Times New Roman" w:cs="Times New Roman"/>
          <w:color w:val="000000"/>
          <w:sz w:val="24"/>
          <w:szCs w:val="24"/>
        </w:rPr>
        <w:t>SiC</w:t>
      </w:r>
      <w:proofErr w:type="spellEnd"/>
      <w:r>
        <w:rPr>
          <w:rFonts w:ascii="Times New Roman" w:eastAsia="Times New Roman" w:hAnsi="Times New Roman" w:cs="Times New Roman"/>
          <w:color w:val="000000"/>
          <w:sz w:val="24"/>
          <w:szCs w:val="24"/>
        </w:rPr>
        <w:t xml:space="preserve">, 1200–1700V) offers around 10× lower switching loss and ~2× higher thermal conductivity than </w:t>
      </w:r>
      <w:r>
        <w:rPr>
          <w:rFonts w:ascii="Times New Roman" w:eastAsia="Times New Roman" w:hAnsi="Times New Roman" w:cs="Times New Roman"/>
          <w:sz w:val="24"/>
          <w:szCs w:val="24"/>
        </w:rPr>
        <w:t>Si [108].</w:t>
      </w:r>
      <w:r>
        <w:rPr>
          <w:rFonts w:ascii="Times New Roman" w:eastAsia="Times New Roman" w:hAnsi="Times New Roman" w:cs="Times New Roman"/>
          <w:color w:val="000000"/>
          <w:sz w:val="24"/>
          <w:szCs w:val="24"/>
        </w:rPr>
        <w:t xml:space="preserve"> Gallium Nitride (</w:t>
      </w:r>
      <w:proofErr w:type="spellStart"/>
      <w:r>
        <w:rPr>
          <w:rFonts w:ascii="Times New Roman" w:eastAsia="Times New Roman" w:hAnsi="Times New Roman" w:cs="Times New Roman"/>
          <w:color w:val="000000"/>
          <w:sz w:val="24"/>
          <w:szCs w:val="24"/>
        </w:rPr>
        <w:t>GaN</w:t>
      </w:r>
      <w:proofErr w:type="spellEnd"/>
      <w:r>
        <w:rPr>
          <w:rFonts w:ascii="Times New Roman" w:eastAsia="Times New Roman" w:hAnsi="Times New Roman" w:cs="Times New Roman"/>
          <w:color w:val="000000"/>
          <w:sz w:val="24"/>
          <w:szCs w:val="24"/>
        </w:rPr>
        <w:t xml:space="preserve">, 650–900V) switches ultra-fast with very low conduction loss, ideal for 400–800 V </w:t>
      </w:r>
      <w:r>
        <w:rPr>
          <w:rFonts w:ascii="Times New Roman" w:eastAsia="Times New Roman" w:hAnsi="Times New Roman" w:cs="Times New Roman"/>
          <w:sz w:val="24"/>
          <w:szCs w:val="24"/>
        </w:rPr>
        <w:t>converters [108].</w:t>
      </w:r>
      <w:r>
        <w:rPr>
          <w:rFonts w:ascii="Times New Roman" w:eastAsia="Times New Roman" w:hAnsi="Times New Roman" w:cs="Times New Roman"/>
          <w:color w:val="000000"/>
          <w:sz w:val="24"/>
          <w:szCs w:val="24"/>
        </w:rPr>
        <w:t xml:space="preserve"> Table II contrasts them. For </w:t>
      </w:r>
      <w:r>
        <w:rPr>
          <w:rFonts w:ascii="Times New Roman" w:eastAsia="Times New Roman" w:hAnsi="Times New Roman" w:cs="Times New Roman"/>
          <w:color w:val="000000"/>
          <w:sz w:val="24"/>
          <w:szCs w:val="24"/>
        </w:rPr>
        <w:lastRenderedPageBreak/>
        <w:t xml:space="preserve">instance, an 800 V </w:t>
      </w:r>
      <w:proofErr w:type="spellStart"/>
      <w:r>
        <w:rPr>
          <w:rFonts w:ascii="Times New Roman" w:eastAsia="Times New Roman" w:hAnsi="Times New Roman" w:cs="Times New Roman"/>
          <w:color w:val="000000"/>
          <w:sz w:val="24"/>
          <w:szCs w:val="24"/>
        </w:rPr>
        <w:t>SiC</w:t>
      </w:r>
      <w:proofErr w:type="spellEnd"/>
      <w:r>
        <w:rPr>
          <w:rFonts w:ascii="Times New Roman" w:eastAsia="Times New Roman" w:hAnsi="Times New Roman" w:cs="Times New Roman"/>
          <w:color w:val="000000"/>
          <w:sz w:val="24"/>
          <w:szCs w:val="24"/>
        </w:rPr>
        <w:t xml:space="preserve"> MOSFET can handle 25 A with ~50 </w:t>
      </w:r>
      <w:proofErr w:type="spellStart"/>
      <w:r>
        <w:rPr>
          <w:rFonts w:ascii="Times New Roman" w:eastAsia="Times New Roman" w:hAnsi="Times New Roman" w:cs="Times New Roman"/>
          <w:color w:val="000000"/>
          <w:sz w:val="24"/>
          <w:szCs w:val="24"/>
        </w:rPr>
        <w:t>mΩ</w:t>
      </w:r>
      <w:proofErr w:type="spellEnd"/>
      <w:r>
        <w:rPr>
          <w:rFonts w:ascii="Times New Roman" w:eastAsia="Times New Roman" w:hAnsi="Times New Roman" w:cs="Times New Roman"/>
          <w:color w:val="000000"/>
          <w:sz w:val="24"/>
          <w:szCs w:val="24"/>
        </w:rPr>
        <w:t xml:space="preserve"> at 125 °C, whereas a Si device of similar voltage has &gt;200 </w:t>
      </w:r>
      <w:proofErr w:type="spellStart"/>
      <w:r>
        <w:rPr>
          <w:rFonts w:ascii="Times New Roman" w:eastAsia="Times New Roman" w:hAnsi="Times New Roman" w:cs="Times New Roman"/>
          <w:color w:val="000000"/>
          <w:sz w:val="24"/>
          <w:szCs w:val="24"/>
        </w:rPr>
        <w:t>m</w:t>
      </w:r>
      <w:proofErr w:type="gramStart"/>
      <w:r>
        <w:rPr>
          <w:rFonts w:ascii="Times New Roman" w:eastAsia="Times New Roman" w:hAnsi="Times New Roman" w:cs="Times New Roman"/>
          <w:color w:val="000000"/>
          <w:sz w:val="24"/>
          <w:szCs w:val="24"/>
        </w:rPr>
        <w:t>Ω</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104]</w:t>
      </w:r>
      <w:r>
        <w:rPr>
          <w:rFonts w:ascii="Times New Roman" w:eastAsia="Times New Roman" w:hAnsi="Times New Roman" w:cs="Times New Roman"/>
          <w:color w:val="000000"/>
          <w:sz w:val="24"/>
          <w:szCs w:val="24"/>
        </w:rPr>
        <w:t xml:space="preserve">. Wide-bandgap semiconductor adoption is also reshaping inverter control strategies. Higher switching frequencies enabled by </w:t>
      </w:r>
      <w:proofErr w:type="spellStart"/>
      <w:r>
        <w:rPr>
          <w:rFonts w:ascii="Times New Roman" w:eastAsia="Times New Roman" w:hAnsi="Times New Roman" w:cs="Times New Roman"/>
          <w:color w:val="000000"/>
          <w:sz w:val="24"/>
          <w:szCs w:val="24"/>
        </w:rPr>
        <w:t>SiC</w:t>
      </w:r>
      <w:proofErr w:type="spellEnd"/>
      <w:r>
        <w:rPr>
          <w:rFonts w:ascii="Times New Roman" w:eastAsia="Times New Roman" w:hAnsi="Times New Roman" w:cs="Times New Roman"/>
          <w:color w:val="000000"/>
          <w:sz w:val="24"/>
          <w:szCs w:val="24"/>
        </w:rPr>
        <w:t xml:space="preserve"> devices allow designers to reduce passive filter size and improve torque ripple performance. Faster switching, however, increases the dv/dt stress on motor insulation systems and presents problems with electromagnetic interference (EMI) [108</w:t>
      </w:r>
      <w:proofErr w:type="gramStart"/>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 xml:space="preserve"> .</w:t>
      </w:r>
      <w:proofErr w:type="gram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As a result, with high-voltage EV systems, cable design and insulation coordination become crucial factors.</w:t>
      </w:r>
    </w:p>
    <w:p w14:paraId="1737580E" w14:textId="77777777" w:rsidR="006D0435"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Additionally, recent research shows that increases in inverter efficiency immediately result in benefits at the vehicle level. In long-range EVs, a mere 1-2 percent reduction in inverter loss can increase driving range by several kilometers. As a result, power electronics optimization and battery enhancements are becoming more and more important to automakers [</w:t>
      </w:r>
      <w:r>
        <w:rPr>
          <w:rFonts w:ascii="Times New Roman" w:eastAsia="Times New Roman" w:hAnsi="Times New Roman" w:cs="Times New Roman"/>
          <w:sz w:val="24"/>
          <w:szCs w:val="24"/>
        </w:rPr>
        <w:t>104</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105</w:t>
      </w:r>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w:t>
      </w:r>
    </w:p>
    <w:p w14:paraId="4139E0BC" w14:textId="77777777" w:rsidR="006D0435" w:rsidRDefault="00000000">
      <w:pPr>
        <w:pBdr>
          <w:top w:val="nil"/>
          <w:left w:val="nil"/>
          <w:bottom w:val="nil"/>
          <w:right w:val="nil"/>
          <w:between w:val="nil"/>
        </w:pBdr>
        <w:spacing w:before="180" w:after="1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Loss Comparison:</w:t>
      </w:r>
      <w:r>
        <w:rPr>
          <w:rFonts w:ascii="Times New Roman" w:eastAsia="Times New Roman" w:hAnsi="Times New Roman" w:cs="Times New Roman"/>
          <w:color w:val="000000"/>
          <w:sz w:val="24"/>
          <w:szCs w:val="24"/>
        </w:rPr>
        <w:t xml:space="preserve"> Data from [6] shows that in a standard drive cycle, </w:t>
      </w:r>
      <w:proofErr w:type="gramStart"/>
      <w:r>
        <w:rPr>
          <w:rFonts w:ascii="Times New Roman" w:eastAsia="Times New Roman" w:hAnsi="Times New Roman" w:cs="Times New Roman"/>
          <w:color w:val="000000"/>
          <w:sz w:val="24"/>
          <w:szCs w:val="24"/>
        </w:rPr>
        <w:t>an</w:t>
      </w:r>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SiC</w:t>
      </w:r>
      <w:proofErr w:type="spellEnd"/>
      <w:r>
        <w:rPr>
          <w:rFonts w:ascii="Times New Roman" w:eastAsia="Times New Roman" w:hAnsi="Times New Roman" w:cs="Times New Roman"/>
          <w:color w:val="000000"/>
          <w:sz w:val="24"/>
          <w:szCs w:val="24"/>
        </w:rPr>
        <w:t xml:space="preserve">-based traction inverter may use only ~2% of vehicle energy versus ~6–7% for Si IGBTs. In a test, replacing Si with </w:t>
      </w:r>
      <w:proofErr w:type="spellStart"/>
      <w:r>
        <w:rPr>
          <w:rFonts w:ascii="Times New Roman" w:eastAsia="Times New Roman" w:hAnsi="Times New Roman" w:cs="Times New Roman"/>
          <w:color w:val="000000"/>
          <w:sz w:val="24"/>
          <w:szCs w:val="24"/>
        </w:rPr>
        <w:t>SiC</w:t>
      </w:r>
      <w:proofErr w:type="spellEnd"/>
      <w:r>
        <w:rPr>
          <w:rFonts w:ascii="Times New Roman" w:eastAsia="Times New Roman" w:hAnsi="Times New Roman" w:cs="Times New Roman"/>
          <w:color w:val="000000"/>
          <w:sz w:val="24"/>
          <w:szCs w:val="24"/>
        </w:rPr>
        <w:t xml:space="preserve"> cut inverter dissipation by ~70</w:t>
      </w:r>
      <w:proofErr w:type="gramStart"/>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104]</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GaN</w:t>
      </w:r>
      <w:proofErr w:type="spellEnd"/>
      <w:r>
        <w:rPr>
          <w:rFonts w:ascii="Times New Roman" w:eastAsia="Times New Roman" w:hAnsi="Times New Roman" w:cs="Times New Roman"/>
          <w:color w:val="000000"/>
          <w:sz w:val="24"/>
          <w:szCs w:val="24"/>
        </w:rPr>
        <w:t xml:space="preserve"> parts (600V) can reduce auxiliary converter losses by ~50% compared to Si (when used for DC–DC or </w:t>
      </w:r>
      <w:proofErr w:type="gramStart"/>
      <w:r>
        <w:rPr>
          <w:rFonts w:ascii="Times New Roman" w:eastAsia="Times New Roman" w:hAnsi="Times New Roman" w:cs="Times New Roman"/>
          <w:color w:val="000000"/>
          <w:sz w:val="24"/>
          <w:szCs w:val="24"/>
        </w:rPr>
        <w:t>OBC)</w:t>
      </w:r>
      <w:r>
        <w:rPr>
          <w:rFonts w:ascii="Times New Roman" w:eastAsia="Times New Roman" w:hAnsi="Times New Roman" w:cs="Times New Roman"/>
          <w:sz w:val="24"/>
          <w:szCs w:val="24"/>
        </w:rPr>
        <w:t>[</w:t>
      </w:r>
      <w:proofErr w:type="gramEnd"/>
      <w:r>
        <w:rPr>
          <w:rFonts w:ascii="Times New Roman" w:eastAsia="Times New Roman" w:hAnsi="Times New Roman" w:cs="Times New Roman"/>
          <w:color w:val="000000"/>
          <w:sz w:val="24"/>
          <w:szCs w:val="24"/>
        </w:rPr>
        <w:t>108</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(Quantitative plots: if users have device datasheets, one could chart conduction vs switching losses for each tech.)</w:t>
      </w:r>
    </w:p>
    <w:p w14:paraId="646F695B" w14:textId="77777777" w:rsidR="006D0435" w:rsidRDefault="00000000">
      <w:pPr>
        <w:pBdr>
          <w:top w:val="nil"/>
          <w:left w:val="nil"/>
          <w:bottom w:val="nil"/>
          <w:right w:val="nil"/>
          <w:between w:val="nil"/>
        </w:pBdr>
        <w:spacing w:before="180" w:after="1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Multilevel Inverters:</w:t>
      </w:r>
      <w:r>
        <w:rPr>
          <w:rFonts w:ascii="Times New Roman" w:eastAsia="Times New Roman" w:hAnsi="Times New Roman" w:cs="Times New Roman"/>
          <w:color w:val="000000"/>
          <w:sz w:val="24"/>
          <w:szCs w:val="24"/>
        </w:rPr>
        <w:t xml:space="preserve"> To utilize high-voltage packs, 3-level (NPC, ANPC) and cascaded inverters are used</w:t>
      </w:r>
      <w:r>
        <w:rPr>
          <w:rFonts w:ascii="Times New Roman" w:eastAsia="Times New Roman" w:hAnsi="Times New Roman" w:cs="Times New Roman"/>
          <w:sz w:val="24"/>
          <w:szCs w:val="24"/>
        </w:rPr>
        <w:t xml:space="preserve"> [106].</w:t>
      </w:r>
      <w:r>
        <w:rPr>
          <w:rFonts w:ascii="Times New Roman" w:eastAsia="Times New Roman" w:hAnsi="Times New Roman" w:cs="Times New Roman"/>
          <w:color w:val="000000"/>
          <w:sz w:val="24"/>
          <w:szCs w:val="24"/>
        </w:rPr>
        <w:t xml:space="preserve"> These reduce voltage stress per device, enabling higher switching frequency. For example, the Toyota Prius Prime uses a 3-level </w:t>
      </w:r>
      <w:proofErr w:type="spellStart"/>
      <w:r>
        <w:rPr>
          <w:rFonts w:ascii="Times New Roman" w:eastAsia="Times New Roman" w:hAnsi="Times New Roman" w:cs="Times New Roman"/>
          <w:color w:val="000000"/>
          <w:sz w:val="24"/>
          <w:szCs w:val="24"/>
        </w:rPr>
        <w:t>SiC</w:t>
      </w:r>
      <w:proofErr w:type="spellEnd"/>
      <w:r>
        <w:rPr>
          <w:rFonts w:ascii="Times New Roman" w:eastAsia="Times New Roman" w:hAnsi="Times New Roman" w:cs="Times New Roman"/>
          <w:color w:val="000000"/>
          <w:sz w:val="24"/>
          <w:szCs w:val="24"/>
        </w:rPr>
        <w:t xml:space="preserve"> inverter (boosting system voltage to 640 </w:t>
      </w:r>
      <w:r>
        <w:rPr>
          <w:rFonts w:ascii="Times New Roman" w:eastAsia="Times New Roman" w:hAnsi="Times New Roman" w:cs="Times New Roman"/>
          <w:sz w:val="24"/>
          <w:szCs w:val="24"/>
        </w:rPr>
        <w:t>V) [106].</w:t>
      </w:r>
      <w:r>
        <w:rPr>
          <w:rFonts w:ascii="Times New Roman" w:eastAsia="Times New Roman" w:hAnsi="Times New Roman" w:cs="Times New Roman"/>
          <w:color w:val="000000"/>
          <w:sz w:val="24"/>
          <w:szCs w:val="24"/>
        </w:rPr>
        <w:t xml:space="preserve"> Korea’s Hyundai E-GMP platform uses an ANPC 800 V </w:t>
      </w:r>
      <w:proofErr w:type="spellStart"/>
      <w:r>
        <w:rPr>
          <w:rFonts w:ascii="Times New Roman" w:eastAsia="Times New Roman" w:hAnsi="Times New Roman" w:cs="Times New Roman"/>
          <w:color w:val="000000"/>
          <w:sz w:val="24"/>
          <w:szCs w:val="24"/>
        </w:rPr>
        <w:t>SiC</w:t>
      </w:r>
      <w:proofErr w:type="spellEnd"/>
      <w:r>
        <w:rPr>
          <w:rFonts w:ascii="Times New Roman" w:eastAsia="Times New Roman" w:hAnsi="Times New Roman" w:cs="Times New Roman"/>
          <w:color w:val="000000"/>
          <w:sz w:val="24"/>
          <w:szCs w:val="24"/>
        </w:rPr>
        <w:t xml:space="preserve"> inverter. Multilevel designs increase component count and control complexity but improve efficiency and EMI performance.</w:t>
      </w:r>
    </w:p>
    <w:p w14:paraId="2129B8D4" w14:textId="77777777" w:rsidR="006D0435" w:rsidRDefault="00000000">
      <w:pPr>
        <w:pBdr>
          <w:top w:val="nil"/>
          <w:left w:val="nil"/>
          <w:bottom w:val="nil"/>
          <w:right w:val="nil"/>
          <w:between w:val="nil"/>
        </w:pBdr>
        <w:spacing w:before="180" w:after="1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Table II. Si vs </w:t>
      </w:r>
      <w:proofErr w:type="spellStart"/>
      <w:r>
        <w:rPr>
          <w:rFonts w:ascii="Times New Roman" w:eastAsia="Times New Roman" w:hAnsi="Times New Roman" w:cs="Times New Roman"/>
          <w:color w:val="000000"/>
          <w:sz w:val="24"/>
          <w:szCs w:val="24"/>
        </w:rPr>
        <w:t>SiC</w:t>
      </w:r>
      <w:proofErr w:type="spellEnd"/>
      <w:r>
        <w:rPr>
          <w:rFonts w:ascii="Times New Roman" w:eastAsia="Times New Roman" w:hAnsi="Times New Roman" w:cs="Times New Roman"/>
          <w:color w:val="000000"/>
          <w:sz w:val="24"/>
          <w:szCs w:val="24"/>
        </w:rPr>
        <w:t xml:space="preserve"> vs </w:t>
      </w:r>
      <w:proofErr w:type="spellStart"/>
      <w:proofErr w:type="gramStart"/>
      <w:r>
        <w:rPr>
          <w:rFonts w:ascii="Times New Roman" w:eastAsia="Times New Roman" w:hAnsi="Times New Roman" w:cs="Times New Roman"/>
          <w:color w:val="000000"/>
          <w:sz w:val="24"/>
          <w:szCs w:val="24"/>
        </w:rPr>
        <w:t>GaN</w:t>
      </w:r>
      <w:proofErr w:type="spellEnd"/>
      <w:r>
        <w:rPr>
          <w:rFonts w:ascii="Times New Roman" w:eastAsia="Times New Roman" w:hAnsi="Times New Roman" w:cs="Times New Roman"/>
          <w:color w:val="000000"/>
          <w:sz w:val="24"/>
          <w:szCs w:val="24"/>
        </w:rPr>
        <w:t xml:space="preserve"> :</w:t>
      </w:r>
      <w:proofErr w:type="gramEnd"/>
    </w:p>
    <w:tbl>
      <w:tblPr>
        <w:tblStyle w:val="a4"/>
        <w:tblW w:w="10800" w:type="dxa"/>
        <w:tblInd w:w="0" w:type="dxa"/>
        <w:tblLayout w:type="fixed"/>
        <w:tblLook w:val="0020" w:firstRow="1" w:lastRow="0" w:firstColumn="0" w:lastColumn="0" w:noHBand="0" w:noVBand="0"/>
      </w:tblPr>
      <w:tblGrid>
        <w:gridCol w:w="2015"/>
        <w:gridCol w:w="2896"/>
        <w:gridCol w:w="3262"/>
        <w:gridCol w:w="2627"/>
      </w:tblGrid>
      <w:tr w:rsidR="006D0435" w14:paraId="1E5BB84F" w14:textId="77777777" w:rsidTr="006D0435">
        <w:trPr>
          <w:cnfStyle w:val="100000000000" w:firstRow="1" w:lastRow="0" w:firstColumn="0" w:lastColumn="0" w:oddVBand="0" w:evenVBand="0" w:oddHBand="0" w:evenHBand="0" w:firstRowFirstColumn="0" w:firstRowLastColumn="0" w:lastRowFirstColumn="0" w:lastRowLastColumn="0"/>
          <w:tblHeader/>
        </w:trPr>
        <w:tc>
          <w:tcPr>
            <w:tcW w:w="2015" w:type="dxa"/>
            <w:tcBorders>
              <w:top w:val="single" w:sz="8" w:space="0" w:color="000000"/>
              <w:bottom w:val="single" w:sz="8" w:space="0" w:color="000000"/>
            </w:tcBorders>
          </w:tcPr>
          <w:p w14:paraId="58A45EA7"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Feature</w:t>
            </w:r>
          </w:p>
        </w:tc>
        <w:tc>
          <w:tcPr>
            <w:tcW w:w="2896" w:type="dxa"/>
            <w:tcBorders>
              <w:top w:val="single" w:sz="8" w:space="0" w:color="000000"/>
              <w:bottom w:val="single" w:sz="8" w:space="0" w:color="000000"/>
            </w:tcBorders>
          </w:tcPr>
          <w:p w14:paraId="34D00B01"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Silicon (Si IGBT/MOSFET)</w:t>
            </w:r>
          </w:p>
        </w:tc>
        <w:tc>
          <w:tcPr>
            <w:tcW w:w="3262" w:type="dxa"/>
            <w:tcBorders>
              <w:top w:val="single" w:sz="8" w:space="0" w:color="000000"/>
              <w:bottom w:val="single" w:sz="8" w:space="0" w:color="000000"/>
            </w:tcBorders>
          </w:tcPr>
          <w:p w14:paraId="2C42F324"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proofErr w:type="spellStart"/>
            <w:r>
              <w:rPr>
                <w:rFonts w:ascii="Times New Roman" w:eastAsia="Times New Roman" w:hAnsi="Times New Roman" w:cs="Times New Roman"/>
                <w:color w:val="000000"/>
                <w:sz w:val="16"/>
                <w:szCs w:val="16"/>
              </w:rPr>
              <w:t>SiC</w:t>
            </w:r>
            <w:proofErr w:type="spellEnd"/>
            <w:r>
              <w:rPr>
                <w:rFonts w:ascii="Times New Roman" w:eastAsia="Times New Roman" w:hAnsi="Times New Roman" w:cs="Times New Roman"/>
                <w:color w:val="000000"/>
                <w:sz w:val="16"/>
                <w:szCs w:val="16"/>
              </w:rPr>
              <w:t xml:space="preserve"> MOSFET</w:t>
            </w:r>
          </w:p>
        </w:tc>
        <w:tc>
          <w:tcPr>
            <w:tcW w:w="2627" w:type="dxa"/>
            <w:tcBorders>
              <w:top w:val="single" w:sz="8" w:space="0" w:color="000000"/>
              <w:bottom w:val="single" w:sz="8" w:space="0" w:color="000000"/>
            </w:tcBorders>
          </w:tcPr>
          <w:p w14:paraId="1F767463"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proofErr w:type="spellStart"/>
            <w:r>
              <w:rPr>
                <w:rFonts w:ascii="Times New Roman" w:eastAsia="Times New Roman" w:hAnsi="Times New Roman" w:cs="Times New Roman"/>
                <w:color w:val="000000"/>
                <w:sz w:val="16"/>
                <w:szCs w:val="16"/>
              </w:rPr>
              <w:t>GaN</w:t>
            </w:r>
            <w:proofErr w:type="spellEnd"/>
            <w:r>
              <w:rPr>
                <w:rFonts w:ascii="Times New Roman" w:eastAsia="Times New Roman" w:hAnsi="Times New Roman" w:cs="Times New Roman"/>
                <w:color w:val="000000"/>
                <w:sz w:val="16"/>
                <w:szCs w:val="16"/>
              </w:rPr>
              <w:t xml:space="preserve"> HEMT</w:t>
            </w:r>
          </w:p>
        </w:tc>
      </w:tr>
      <w:tr w:rsidR="006D0435" w14:paraId="615747EC" w14:textId="77777777" w:rsidTr="006D0435">
        <w:tc>
          <w:tcPr>
            <w:tcW w:w="2015" w:type="dxa"/>
            <w:tcBorders>
              <w:top w:val="single" w:sz="8" w:space="0" w:color="000000"/>
            </w:tcBorders>
          </w:tcPr>
          <w:p w14:paraId="3FBA66F9"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Typical Voltage</w:t>
            </w:r>
          </w:p>
        </w:tc>
        <w:tc>
          <w:tcPr>
            <w:tcW w:w="2896" w:type="dxa"/>
            <w:tcBorders>
              <w:top w:val="single" w:sz="8" w:space="0" w:color="000000"/>
            </w:tcBorders>
          </w:tcPr>
          <w:p w14:paraId="6D0D21BD"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600–1200 V</w:t>
            </w:r>
          </w:p>
        </w:tc>
        <w:tc>
          <w:tcPr>
            <w:tcW w:w="3262" w:type="dxa"/>
            <w:tcBorders>
              <w:top w:val="single" w:sz="8" w:space="0" w:color="000000"/>
            </w:tcBorders>
          </w:tcPr>
          <w:p w14:paraId="2BD45436"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1200–1700 V</w:t>
            </w:r>
          </w:p>
        </w:tc>
        <w:tc>
          <w:tcPr>
            <w:tcW w:w="2627" w:type="dxa"/>
            <w:tcBorders>
              <w:top w:val="single" w:sz="8" w:space="0" w:color="000000"/>
            </w:tcBorders>
          </w:tcPr>
          <w:p w14:paraId="0BAF5B89"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650–900 V</w:t>
            </w:r>
          </w:p>
        </w:tc>
      </w:tr>
      <w:tr w:rsidR="006D0435" w14:paraId="23B18EE2" w14:textId="77777777" w:rsidTr="006D0435">
        <w:tc>
          <w:tcPr>
            <w:tcW w:w="2015" w:type="dxa"/>
          </w:tcPr>
          <w:p w14:paraId="6C6F0891"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Bandgap</w:t>
            </w:r>
          </w:p>
        </w:tc>
        <w:tc>
          <w:tcPr>
            <w:tcW w:w="2896" w:type="dxa"/>
          </w:tcPr>
          <w:p w14:paraId="7AA888BA"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1.12 eV</w:t>
            </w:r>
          </w:p>
        </w:tc>
        <w:tc>
          <w:tcPr>
            <w:tcW w:w="3262" w:type="dxa"/>
          </w:tcPr>
          <w:p w14:paraId="2E9230B2"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3.26 eV</w:t>
            </w:r>
          </w:p>
        </w:tc>
        <w:tc>
          <w:tcPr>
            <w:tcW w:w="2627" w:type="dxa"/>
          </w:tcPr>
          <w:p w14:paraId="3962F082"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3.39 eV</w:t>
            </w:r>
          </w:p>
        </w:tc>
      </w:tr>
      <w:tr w:rsidR="006D0435" w14:paraId="1551BE5C" w14:textId="77777777" w:rsidTr="006D0435">
        <w:tc>
          <w:tcPr>
            <w:tcW w:w="2015" w:type="dxa"/>
          </w:tcPr>
          <w:p w14:paraId="6DC33DE7"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On-Resistance</w:t>
            </w:r>
          </w:p>
        </w:tc>
        <w:tc>
          <w:tcPr>
            <w:tcW w:w="2896" w:type="dxa"/>
          </w:tcPr>
          <w:p w14:paraId="762AC3E5"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Moderate</w:t>
            </w:r>
          </w:p>
        </w:tc>
        <w:tc>
          <w:tcPr>
            <w:tcW w:w="3262" w:type="dxa"/>
          </w:tcPr>
          <w:p w14:paraId="61AA277E"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Low</w:t>
            </w:r>
          </w:p>
        </w:tc>
        <w:tc>
          <w:tcPr>
            <w:tcW w:w="2627" w:type="dxa"/>
          </w:tcPr>
          <w:p w14:paraId="57B9FDFD"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Very low</w:t>
            </w:r>
          </w:p>
        </w:tc>
      </w:tr>
      <w:tr w:rsidR="006D0435" w14:paraId="35354DEB" w14:textId="77777777" w:rsidTr="006D0435">
        <w:tc>
          <w:tcPr>
            <w:tcW w:w="2015" w:type="dxa"/>
          </w:tcPr>
          <w:p w14:paraId="7C009507"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Switching Loss</w:t>
            </w:r>
          </w:p>
        </w:tc>
        <w:tc>
          <w:tcPr>
            <w:tcW w:w="2896" w:type="dxa"/>
          </w:tcPr>
          <w:p w14:paraId="3D6223EE"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High at &gt;20kHz</w:t>
            </w:r>
          </w:p>
        </w:tc>
        <w:tc>
          <w:tcPr>
            <w:tcW w:w="3262" w:type="dxa"/>
          </w:tcPr>
          <w:p w14:paraId="79093AFF"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Moderate at &gt;20kHz</w:t>
            </w:r>
          </w:p>
        </w:tc>
        <w:tc>
          <w:tcPr>
            <w:tcW w:w="2627" w:type="dxa"/>
          </w:tcPr>
          <w:p w14:paraId="72294B29"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Very low at &gt;100kHz</w:t>
            </w:r>
          </w:p>
        </w:tc>
      </w:tr>
      <w:tr w:rsidR="006D0435" w14:paraId="07AD7737" w14:textId="77777777" w:rsidTr="006D0435">
        <w:tc>
          <w:tcPr>
            <w:tcW w:w="2015" w:type="dxa"/>
          </w:tcPr>
          <w:p w14:paraId="58FB0B1C"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Thermal Tolerance</w:t>
            </w:r>
          </w:p>
        </w:tc>
        <w:tc>
          <w:tcPr>
            <w:tcW w:w="2896" w:type="dxa"/>
          </w:tcPr>
          <w:p w14:paraId="31E609BD"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~150–175 °C (SOA)</w:t>
            </w:r>
          </w:p>
        </w:tc>
        <w:tc>
          <w:tcPr>
            <w:tcW w:w="3262" w:type="dxa"/>
          </w:tcPr>
          <w:p w14:paraId="611065F5"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~175–200 °C</w:t>
            </w:r>
          </w:p>
        </w:tc>
        <w:tc>
          <w:tcPr>
            <w:tcW w:w="2627" w:type="dxa"/>
          </w:tcPr>
          <w:p w14:paraId="4D246116"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~150 °C</w:t>
            </w:r>
          </w:p>
        </w:tc>
      </w:tr>
      <w:tr w:rsidR="006D0435" w14:paraId="7BE1F6BF" w14:textId="77777777" w:rsidTr="006D0435">
        <w:tc>
          <w:tcPr>
            <w:tcW w:w="2015" w:type="dxa"/>
          </w:tcPr>
          <w:p w14:paraId="24C333E0"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Cost</w:t>
            </w:r>
          </w:p>
        </w:tc>
        <w:tc>
          <w:tcPr>
            <w:tcW w:w="2896" w:type="dxa"/>
          </w:tcPr>
          <w:p w14:paraId="6FA9E95F"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Low</w:t>
            </w:r>
          </w:p>
        </w:tc>
        <w:tc>
          <w:tcPr>
            <w:tcW w:w="3262" w:type="dxa"/>
          </w:tcPr>
          <w:p w14:paraId="646AC8E9"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High</w:t>
            </w:r>
          </w:p>
        </w:tc>
        <w:tc>
          <w:tcPr>
            <w:tcW w:w="2627" w:type="dxa"/>
          </w:tcPr>
          <w:p w14:paraId="6FAA85F5"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High (but falling)</w:t>
            </w:r>
          </w:p>
        </w:tc>
      </w:tr>
      <w:tr w:rsidR="006D0435" w14:paraId="402593E3" w14:textId="77777777" w:rsidTr="006D0435">
        <w:tc>
          <w:tcPr>
            <w:tcW w:w="2015" w:type="dxa"/>
          </w:tcPr>
          <w:p w14:paraId="26C3E936"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Application</w:t>
            </w:r>
          </w:p>
        </w:tc>
        <w:tc>
          <w:tcPr>
            <w:tcW w:w="2896" w:type="dxa"/>
          </w:tcPr>
          <w:p w14:paraId="44D67EC7"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400V traction (mass)</w:t>
            </w:r>
          </w:p>
        </w:tc>
        <w:tc>
          <w:tcPr>
            <w:tcW w:w="3262" w:type="dxa"/>
          </w:tcPr>
          <w:p w14:paraId="73CA810A"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800V traction (high perf.)</w:t>
            </w:r>
          </w:p>
        </w:tc>
        <w:tc>
          <w:tcPr>
            <w:tcW w:w="2627" w:type="dxa"/>
          </w:tcPr>
          <w:p w14:paraId="3AC55A4A"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400V DC/DC, OBC</w:t>
            </w:r>
          </w:p>
        </w:tc>
      </w:tr>
      <w:tr w:rsidR="006D0435" w14:paraId="65A020B0" w14:textId="77777777" w:rsidTr="006D0435">
        <w:tc>
          <w:tcPr>
            <w:tcW w:w="2015" w:type="dxa"/>
          </w:tcPr>
          <w:p w14:paraId="7CA73E7B"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Maturity</w:t>
            </w:r>
          </w:p>
        </w:tc>
        <w:tc>
          <w:tcPr>
            <w:tcW w:w="2896" w:type="dxa"/>
          </w:tcPr>
          <w:p w14:paraId="3714FEC7"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Mature, abundant</w:t>
            </w:r>
          </w:p>
        </w:tc>
        <w:tc>
          <w:tcPr>
            <w:tcW w:w="3262" w:type="dxa"/>
          </w:tcPr>
          <w:p w14:paraId="3B7EE924"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Increasing (</w:t>
            </w:r>
            <w:proofErr w:type="spellStart"/>
            <w:r>
              <w:rPr>
                <w:rFonts w:ascii="Times New Roman" w:eastAsia="Times New Roman" w:hAnsi="Times New Roman" w:cs="Times New Roman"/>
                <w:color w:val="000000"/>
                <w:sz w:val="16"/>
                <w:szCs w:val="16"/>
              </w:rPr>
              <w:t>Wolfspeed</w:t>
            </w:r>
            <w:proofErr w:type="spellEnd"/>
            <w:r>
              <w:rPr>
                <w:rFonts w:ascii="Times New Roman" w:eastAsia="Times New Roman" w:hAnsi="Times New Roman" w:cs="Times New Roman"/>
                <w:color w:val="000000"/>
                <w:sz w:val="16"/>
                <w:szCs w:val="16"/>
              </w:rPr>
              <w:t>/Toshiba)</w:t>
            </w:r>
          </w:p>
        </w:tc>
        <w:tc>
          <w:tcPr>
            <w:tcW w:w="2627" w:type="dxa"/>
          </w:tcPr>
          <w:p w14:paraId="0EC2E38C"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Emerging (</w:t>
            </w:r>
            <w:proofErr w:type="spellStart"/>
            <w:r>
              <w:rPr>
                <w:rFonts w:ascii="Times New Roman" w:eastAsia="Times New Roman" w:hAnsi="Times New Roman" w:cs="Times New Roman"/>
                <w:color w:val="000000"/>
                <w:sz w:val="16"/>
                <w:szCs w:val="16"/>
              </w:rPr>
              <w:t>GaN</w:t>
            </w:r>
            <w:proofErr w:type="spellEnd"/>
            <w:r>
              <w:rPr>
                <w:rFonts w:ascii="Times New Roman" w:eastAsia="Times New Roman" w:hAnsi="Times New Roman" w:cs="Times New Roman"/>
                <w:color w:val="000000"/>
                <w:sz w:val="16"/>
                <w:szCs w:val="16"/>
              </w:rPr>
              <w:t xml:space="preserve"> Systems)</w:t>
            </w:r>
          </w:p>
        </w:tc>
      </w:tr>
      <w:tr w:rsidR="006D0435" w14:paraId="3BB9797F" w14:textId="77777777" w:rsidTr="006D0435">
        <w:tc>
          <w:tcPr>
            <w:tcW w:w="2015" w:type="dxa"/>
            <w:tcBorders>
              <w:bottom w:val="single" w:sz="8" w:space="0" w:color="000000"/>
            </w:tcBorders>
          </w:tcPr>
          <w:p w14:paraId="4B12EDEF"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Sample Use</w:t>
            </w:r>
          </w:p>
        </w:tc>
        <w:tc>
          <w:tcPr>
            <w:tcW w:w="2896" w:type="dxa"/>
            <w:tcBorders>
              <w:bottom w:val="single" w:sz="8" w:space="0" w:color="000000"/>
            </w:tcBorders>
          </w:tcPr>
          <w:p w14:paraId="303EB62D"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Tesla Model S (Si IGBT)</w:t>
            </w:r>
          </w:p>
        </w:tc>
        <w:tc>
          <w:tcPr>
            <w:tcW w:w="3262" w:type="dxa"/>
            <w:tcBorders>
              <w:bottom w:val="single" w:sz="8" w:space="0" w:color="000000"/>
            </w:tcBorders>
          </w:tcPr>
          <w:p w14:paraId="70DFB9B5"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Audi e-tron GT (</w:t>
            </w:r>
            <w:proofErr w:type="spellStart"/>
            <w:r>
              <w:rPr>
                <w:rFonts w:ascii="Times New Roman" w:eastAsia="Times New Roman" w:hAnsi="Times New Roman" w:cs="Times New Roman"/>
                <w:color w:val="000000"/>
                <w:sz w:val="16"/>
                <w:szCs w:val="16"/>
              </w:rPr>
              <w:t>SiC</w:t>
            </w:r>
            <w:proofErr w:type="spellEnd"/>
            <w:r>
              <w:rPr>
                <w:rFonts w:ascii="Times New Roman" w:eastAsia="Times New Roman" w:hAnsi="Times New Roman" w:cs="Times New Roman"/>
                <w:color w:val="000000"/>
                <w:sz w:val="16"/>
                <w:szCs w:val="16"/>
              </w:rPr>
              <w:t>)</w:t>
            </w:r>
          </w:p>
        </w:tc>
        <w:tc>
          <w:tcPr>
            <w:tcW w:w="2627" w:type="dxa"/>
            <w:tcBorders>
              <w:bottom w:val="single" w:sz="8" w:space="0" w:color="000000"/>
            </w:tcBorders>
          </w:tcPr>
          <w:p w14:paraId="51E43B08"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Prototypes, onboards</w:t>
            </w:r>
          </w:p>
        </w:tc>
      </w:tr>
    </w:tbl>
    <w:p w14:paraId="5576E3F0" w14:textId="77777777" w:rsidR="006D0435" w:rsidRDefault="00000000">
      <w:pPr>
        <w:pBdr>
          <w:top w:val="nil"/>
          <w:left w:val="nil"/>
          <w:bottom w:val="nil"/>
          <w:right w:val="nil"/>
          <w:between w:val="nil"/>
        </w:pBdr>
        <w:spacing w:before="180" w:after="1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2 is a visual representation for choosing </w:t>
      </w:r>
      <w:proofErr w:type="spellStart"/>
      <w:r>
        <w:rPr>
          <w:rFonts w:ascii="Times New Roman" w:eastAsia="Times New Roman" w:hAnsi="Times New Roman" w:cs="Times New Roman"/>
          <w:sz w:val="24"/>
          <w:szCs w:val="24"/>
        </w:rPr>
        <w:t>SiC</w:t>
      </w:r>
      <w:proofErr w:type="spellEnd"/>
    </w:p>
    <w:p w14:paraId="4D13501E" w14:textId="77777777" w:rsidR="006D0435" w:rsidRDefault="00000000">
      <w:pPr>
        <w:pBdr>
          <w:top w:val="nil"/>
          <w:left w:val="nil"/>
          <w:bottom w:val="nil"/>
          <w:right w:val="nil"/>
          <w:between w:val="nil"/>
        </w:pBdr>
        <w:spacing w:before="180" w:after="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256371B" wp14:editId="308CD051">
            <wp:extent cx="5934075" cy="3505200"/>
            <wp:effectExtent l="0" t="0" r="0" b="0"/>
            <wp:docPr id="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6"/>
                    <a:srcRect t="5048" b="6490"/>
                    <a:stretch>
                      <a:fillRect/>
                    </a:stretch>
                  </pic:blipFill>
                  <pic:spPr>
                    <a:xfrm>
                      <a:off x="0" y="0"/>
                      <a:ext cx="5934075" cy="3505200"/>
                    </a:xfrm>
                    <a:prstGeom prst="rect">
                      <a:avLst/>
                    </a:prstGeom>
                    <a:ln/>
                  </pic:spPr>
                </pic:pic>
              </a:graphicData>
            </a:graphic>
          </wp:inline>
        </w:drawing>
      </w:r>
    </w:p>
    <w:p w14:paraId="78F5783F" w14:textId="77777777" w:rsidR="006D0435" w:rsidRDefault="00000000">
      <w:pPr>
        <w:spacing w:before="180" w:after="18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Fig. 2.</w:t>
      </w:r>
      <w:r>
        <w:rPr>
          <w:rFonts w:ascii="Times New Roman" w:eastAsia="Times New Roman" w:hAnsi="Times New Roman" w:cs="Times New Roman"/>
          <w:sz w:val="24"/>
          <w:szCs w:val="24"/>
        </w:rPr>
        <w:t xml:space="preserve"> Sample traction inverter comparison (Si vs </w:t>
      </w:r>
      <w:proofErr w:type="spellStart"/>
      <w:proofErr w:type="gramStart"/>
      <w:r>
        <w:rPr>
          <w:rFonts w:ascii="Times New Roman" w:eastAsia="Times New Roman" w:hAnsi="Times New Roman" w:cs="Times New Roman"/>
          <w:sz w:val="24"/>
          <w:szCs w:val="24"/>
        </w:rPr>
        <w:t>SiC</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104].</w:t>
      </w:r>
    </w:p>
    <w:p w14:paraId="7C12F18F" w14:textId="77777777" w:rsidR="006D0435" w:rsidRDefault="00000000">
      <w:pPr>
        <w:pBdr>
          <w:top w:val="nil"/>
          <w:left w:val="nil"/>
          <w:bottom w:val="nil"/>
          <w:right w:val="nil"/>
          <w:between w:val="nil"/>
        </w:pBdr>
        <w:spacing w:before="180" w:after="1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400V vs 800V Systems:</w:t>
      </w:r>
      <w:r>
        <w:rPr>
          <w:rFonts w:ascii="Times New Roman" w:eastAsia="Times New Roman" w:hAnsi="Times New Roman" w:cs="Times New Roman"/>
          <w:color w:val="000000"/>
          <w:sz w:val="24"/>
          <w:szCs w:val="24"/>
        </w:rPr>
        <w:t xml:space="preserve"> 400 V systems (e.g. Nissan Leaf) use ~600V switches; 800 V (e.g. Porsche Taycan) use 1200–1700V </w:t>
      </w:r>
      <w:proofErr w:type="spellStart"/>
      <w:r>
        <w:rPr>
          <w:rFonts w:ascii="Times New Roman" w:eastAsia="Times New Roman" w:hAnsi="Times New Roman" w:cs="Times New Roman"/>
          <w:color w:val="000000"/>
          <w:sz w:val="24"/>
          <w:szCs w:val="24"/>
        </w:rPr>
        <w:t>SiC.</w:t>
      </w:r>
      <w:proofErr w:type="spellEnd"/>
      <w:r>
        <w:rPr>
          <w:rFonts w:ascii="Times New Roman" w:eastAsia="Times New Roman" w:hAnsi="Times New Roman" w:cs="Times New Roman"/>
          <w:color w:val="000000"/>
          <w:sz w:val="24"/>
          <w:szCs w:val="24"/>
        </w:rPr>
        <w:t xml:space="preserve"> In a </w:t>
      </w:r>
      <w:proofErr w:type="gramStart"/>
      <w:r>
        <w:rPr>
          <w:rFonts w:ascii="Times New Roman" w:eastAsia="Times New Roman" w:hAnsi="Times New Roman" w:cs="Times New Roman"/>
          <w:color w:val="000000"/>
          <w:sz w:val="24"/>
          <w:szCs w:val="24"/>
        </w:rPr>
        <w:t>200 kW</w:t>
      </w:r>
      <w:proofErr w:type="gramEnd"/>
      <w:r>
        <w:rPr>
          <w:rFonts w:ascii="Times New Roman" w:eastAsia="Times New Roman" w:hAnsi="Times New Roman" w:cs="Times New Roman"/>
          <w:color w:val="000000"/>
          <w:sz w:val="24"/>
          <w:szCs w:val="24"/>
        </w:rPr>
        <w:t xml:space="preserve"> charge scenario, 800 V halves current (250 A vs 500 A) and reduces I²R loss to </w:t>
      </w:r>
      <w:r>
        <w:rPr>
          <w:rFonts w:ascii="Times New Roman" w:eastAsia="Times New Roman" w:hAnsi="Times New Roman" w:cs="Times New Roman"/>
          <w:sz w:val="24"/>
          <w:szCs w:val="24"/>
        </w:rPr>
        <w:t>~25% [103].</w:t>
      </w:r>
      <w:r>
        <w:rPr>
          <w:rFonts w:ascii="Times New Roman" w:eastAsia="Times New Roman" w:hAnsi="Times New Roman" w:cs="Times New Roman"/>
          <w:color w:val="000000"/>
          <w:sz w:val="24"/>
          <w:szCs w:val="24"/>
        </w:rPr>
        <w:t xml:space="preserve"> 800 V allows faster charging (up to 500 kW) but requires higher isolation and higher-cost semis. Figures 2 and 4 visualize </w:t>
      </w:r>
      <w:r>
        <w:rPr>
          <w:rFonts w:ascii="Times New Roman" w:eastAsia="Times New Roman" w:hAnsi="Times New Roman" w:cs="Times New Roman"/>
          <w:sz w:val="24"/>
          <w:szCs w:val="24"/>
        </w:rPr>
        <w:t xml:space="preserve">the advantage of </w:t>
      </w:r>
      <w:proofErr w:type="spellStart"/>
      <w:r>
        <w:rPr>
          <w:rFonts w:ascii="Times New Roman" w:eastAsia="Times New Roman" w:hAnsi="Times New Roman" w:cs="Times New Roman"/>
          <w:sz w:val="24"/>
          <w:szCs w:val="24"/>
        </w:rPr>
        <w:t>SiC</w:t>
      </w:r>
      <w:proofErr w:type="spellEnd"/>
      <w:r>
        <w:rPr>
          <w:rFonts w:ascii="Times New Roman" w:eastAsia="Times New Roman" w:hAnsi="Times New Roman" w:cs="Times New Roman"/>
          <w:sz w:val="24"/>
          <w:szCs w:val="24"/>
        </w:rPr>
        <w:t xml:space="preserve"> inverter </w:t>
      </w:r>
      <w:r>
        <w:rPr>
          <w:rFonts w:ascii="Times New Roman" w:eastAsia="Times New Roman" w:hAnsi="Times New Roman" w:cs="Times New Roman"/>
          <w:color w:val="000000"/>
          <w:sz w:val="24"/>
          <w:szCs w:val="24"/>
        </w:rPr>
        <w:t xml:space="preserve">and 400/800 V differences (data from published case </w:t>
      </w:r>
      <w:proofErr w:type="gramStart"/>
      <w:r>
        <w:rPr>
          <w:rFonts w:ascii="Times New Roman" w:eastAsia="Times New Roman" w:hAnsi="Times New Roman" w:cs="Times New Roman"/>
          <w:color w:val="000000"/>
          <w:sz w:val="24"/>
          <w:szCs w:val="24"/>
        </w:rPr>
        <w:t>studies</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104][105])</w:t>
      </w:r>
    </w:p>
    <w:p w14:paraId="7DC9F1B5" w14:textId="77777777" w:rsidR="006D0435" w:rsidRDefault="00000000">
      <w:pPr>
        <w:pBdr>
          <w:top w:val="nil"/>
          <w:left w:val="nil"/>
          <w:bottom w:val="nil"/>
          <w:right w:val="nil"/>
          <w:between w:val="nil"/>
        </w:pBdr>
        <w:spacing w:before="180" w:after="18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25206E2C" wp14:editId="682F510B">
            <wp:extent cx="5486400" cy="2959931"/>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27"/>
                    <a:srcRect t="2947" b="3098"/>
                    <a:stretch>
                      <a:fillRect/>
                    </a:stretch>
                  </pic:blipFill>
                  <pic:spPr>
                    <a:xfrm>
                      <a:off x="0" y="0"/>
                      <a:ext cx="5486400" cy="2959931"/>
                    </a:xfrm>
                    <a:prstGeom prst="rect">
                      <a:avLst/>
                    </a:prstGeom>
                    <a:ln/>
                  </pic:spPr>
                </pic:pic>
              </a:graphicData>
            </a:graphic>
          </wp:inline>
        </w:drawing>
      </w:r>
    </w:p>
    <w:p w14:paraId="474AA936" w14:textId="77777777" w:rsidR="006D0435" w:rsidRDefault="00000000">
      <w:pPr>
        <w:pBdr>
          <w:top w:val="nil"/>
          <w:left w:val="nil"/>
          <w:bottom w:val="nil"/>
          <w:right w:val="nil"/>
          <w:between w:val="nil"/>
        </w:pBdr>
        <w:spacing w:before="180" w:after="18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 4.</w:t>
      </w:r>
      <w:r>
        <w:rPr>
          <w:rFonts w:ascii="Times New Roman" w:eastAsia="Times New Roman" w:hAnsi="Times New Roman" w:cs="Times New Roman"/>
          <w:color w:val="000000"/>
          <w:sz w:val="24"/>
          <w:szCs w:val="24"/>
        </w:rPr>
        <w:t xml:space="preserve"> Charging current and cable loss at 200 kW (400V vs</w:t>
      </w:r>
      <w:r>
        <w:rPr>
          <w:rFonts w:ascii="Times New Roman" w:eastAsia="Times New Roman" w:hAnsi="Times New Roman" w:cs="Times New Roman"/>
          <w:sz w:val="24"/>
          <w:szCs w:val="24"/>
        </w:rPr>
        <w:t>. 800 V) [103].</w:t>
      </w:r>
      <w:r>
        <w:rPr>
          <w:rFonts w:ascii="Times New Roman" w:eastAsia="Times New Roman" w:hAnsi="Times New Roman" w:cs="Times New Roman"/>
          <w:color w:val="000000"/>
          <w:sz w:val="24"/>
          <w:szCs w:val="24"/>
        </w:rPr>
        <w:t xml:space="preserve"> (Exact values depend on cable specs, user can supply data for precise calculation.)</w:t>
      </w:r>
    </w:p>
    <w:p w14:paraId="164A4B38" w14:textId="77777777" w:rsidR="006D0435" w:rsidRDefault="00000000">
      <w:pPr>
        <w:pStyle w:val="Heading2"/>
        <w:spacing w:line="360" w:lineRule="auto"/>
        <w:rPr>
          <w:rFonts w:ascii="Times New Roman" w:eastAsia="Times New Roman" w:hAnsi="Times New Roman" w:cs="Times New Roman"/>
          <w:color w:val="000000"/>
          <w:sz w:val="24"/>
          <w:szCs w:val="24"/>
        </w:rPr>
      </w:pPr>
      <w:bookmarkStart w:id="7" w:name="rr8gu1xrapgh" w:colFirst="0" w:colLast="0"/>
      <w:bookmarkEnd w:id="7"/>
      <w:r>
        <w:rPr>
          <w:rFonts w:ascii="Times New Roman" w:eastAsia="Times New Roman" w:hAnsi="Times New Roman" w:cs="Times New Roman"/>
          <w:color w:val="000000"/>
          <w:sz w:val="24"/>
          <w:szCs w:val="24"/>
        </w:rPr>
        <w:lastRenderedPageBreak/>
        <w:t>4. System Integration</w:t>
      </w:r>
    </w:p>
    <w:p w14:paraId="3B346B93" w14:textId="77777777" w:rsidR="006D0435" w:rsidRDefault="00000000">
      <w:pPr>
        <w:numPr>
          <w:ilvl w:val="0"/>
          <w:numId w:val="2"/>
        </w:numPr>
        <w:pBdr>
          <w:top w:val="nil"/>
          <w:left w:val="nil"/>
          <w:bottom w:val="nil"/>
          <w:right w:val="nil"/>
          <w:between w:val="nil"/>
        </w:pBdr>
        <w:spacing w:before="36" w:after="36" w:line="360" w:lineRule="auto"/>
        <w:rPr>
          <w:color w:val="000000"/>
          <w:sz w:val="24"/>
          <w:szCs w:val="24"/>
        </w:rPr>
      </w:pPr>
      <w:r>
        <w:rPr>
          <w:rFonts w:ascii="Times New Roman" w:eastAsia="Times New Roman" w:hAnsi="Times New Roman" w:cs="Times New Roman"/>
          <w:b/>
          <w:bCs/>
          <w:color w:val="000000"/>
          <w:sz w:val="24"/>
          <w:szCs w:val="24"/>
        </w:rPr>
        <w:t>e-Axles:</w:t>
      </w:r>
      <w:r>
        <w:rPr>
          <w:rFonts w:ascii="Times New Roman" w:eastAsia="Times New Roman" w:hAnsi="Times New Roman" w:cs="Times New Roman"/>
          <w:color w:val="000000"/>
          <w:sz w:val="24"/>
          <w:szCs w:val="24"/>
        </w:rPr>
        <w:t xml:space="preserve"> Many Asian EVs use integrated e-axles (motor + inverter + gearbox). For example, Nidec’s 250 kW e-axle (used in Japanese EVs) co-locates a 12,000 rpm IPMSM with </w:t>
      </w:r>
      <w:proofErr w:type="spellStart"/>
      <w:r>
        <w:rPr>
          <w:rFonts w:ascii="Times New Roman" w:eastAsia="Times New Roman" w:hAnsi="Times New Roman" w:cs="Times New Roman"/>
          <w:color w:val="000000"/>
          <w:sz w:val="24"/>
          <w:szCs w:val="24"/>
        </w:rPr>
        <w:t>SiC</w:t>
      </w:r>
      <w:proofErr w:type="spellEnd"/>
      <w:r>
        <w:rPr>
          <w:rFonts w:ascii="Times New Roman" w:eastAsia="Times New Roman" w:hAnsi="Times New Roman" w:cs="Times New Roman"/>
          <w:color w:val="000000"/>
          <w:sz w:val="24"/>
          <w:szCs w:val="24"/>
        </w:rPr>
        <w:t xml:space="preserve"> inverter in one </w:t>
      </w:r>
      <w:r>
        <w:rPr>
          <w:rFonts w:ascii="Times New Roman" w:eastAsia="Times New Roman" w:hAnsi="Times New Roman" w:cs="Times New Roman"/>
          <w:sz w:val="24"/>
          <w:szCs w:val="24"/>
        </w:rPr>
        <w:t>housing [102].</w:t>
      </w:r>
      <w:r>
        <w:rPr>
          <w:rFonts w:ascii="Times New Roman" w:eastAsia="Times New Roman" w:hAnsi="Times New Roman" w:cs="Times New Roman"/>
          <w:color w:val="000000"/>
          <w:sz w:val="24"/>
          <w:szCs w:val="24"/>
        </w:rPr>
        <w:t xml:space="preserve"> This saves space and weight.</w:t>
      </w:r>
    </w:p>
    <w:p w14:paraId="650FC423" w14:textId="77777777" w:rsidR="006D0435" w:rsidRDefault="00000000">
      <w:pPr>
        <w:numPr>
          <w:ilvl w:val="0"/>
          <w:numId w:val="2"/>
        </w:numPr>
        <w:pBdr>
          <w:top w:val="nil"/>
          <w:left w:val="nil"/>
          <w:bottom w:val="nil"/>
          <w:right w:val="nil"/>
          <w:between w:val="nil"/>
        </w:pBdr>
        <w:spacing w:before="36" w:after="36" w:line="360" w:lineRule="auto"/>
        <w:rPr>
          <w:color w:val="000000"/>
          <w:sz w:val="24"/>
          <w:szCs w:val="24"/>
        </w:rPr>
      </w:pPr>
      <w:r>
        <w:rPr>
          <w:rFonts w:ascii="Times New Roman" w:eastAsia="Times New Roman" w:hAnsi="Times New Roman" w:cs="Times New Roman"/>
          <w:b/>
          <w:bCs/>
          <w:color w:val="000000"/>
          <w:sz w:val="24"/>
          <w:szCs w:val="24"/>
        </w:rPr>
        <w:t>X-in-1 Modules:</w:t>
      </w:r>
      <w:r>
        <w:rPr>
          <w:rFonts w:ascii="Times New Roman" w:eastAsia="Times New Roman" w:hAnsi="Times New Roman" w:cs="Times New Roman"/>
          <w:color w:val="000000"/>
          <w:sz w:val="24"/>
          <w:szCs w:val="24"/>
        </w:rPr>
        <w:t xml:space="preserve"> Chinese OEMs (e.g. BYD) are developing single-unit ‘X-in-1’ drives combining motor, inverter, OBC, and </w:t>
      </w:r>
      <w:r>
        <w:rPr>
          <w:rFonts w:ascii="Times New Roman" w:eastAsia="Times New Roman" w:hAnsi="Times New Roman" w:cs="Times New Roman"/>
          <w:sz w:val="24"/>
          <w:szCs w:val="24"/>
        </w:rPr>
        <w:t>DC–DC [105].</w:t>
      </w:r>
      <w:r>
        <w:rPr>
          <w:rFonts w:ascii="Times New Roman" w:eastAsia="Times New Roman" w:hAnsi="Times New Roman" w:cs="Times New Roman"/>
          <w:color w:val="000000"/>
          <w:sz w:val="24"/>
          <w:szCs w:val="24"/>
        </w:rPr>
        <w:t xml:space="preserve"> This reduces wiring and improves thermal coupling. Figure 1 shows a conceptual block of such integration.</w:t>
      </w:r>
    </w:p>
    <w:p w14:paraId="28E45579" w14:textId="77777777" w:rsidR="006D0435" w:rsidRDefault="00000000">
      <w:pPr>
        <w:numPr>
          <w:ilvl w:val="0"/>
          <w:numId w:val="2"/>
        </w:numPr>
        <w:pBdr>
          <w:top w:val="nil"/>
          <w:left w:val="nil"/>
          <w:bottom w:val="nil"/>
          <w:right w:val="nil"/>
          <w:between w:val="nil"/>
        </w:pBdr>
        <w:spacing w:before="36" w:after="36" w:line="360" w:lineRule="auto"/>
        <w:rPr>
          <w:color w:val="000000"/>
          <w:sz w:val="24"/>
          <w:szCs w:val="24"/>
        </w:rPr>
      </w:pPr>
      <w:r>
        <w:rPr>
          <w:rFonts w:ascii="Times New Roman" w:eastAsia="Times New Roman" w:hAnsi="Times New Roman" w:cs="Times New Roman"/>
          <w:b/>
          <w:bCs/>
          <w:sz w:val="24"/>
          <w:szCs w:val="24"/>
        </w:rPr>
        <w:t xml:space="preserve">800 V </w:t>
      </w:r>
      <w:proofErr w:type="gramStart"/>
      <w:r>
        <w:rPr>
          <w:rFonts w:ascii="Times New Roman" w:eastAsia="Times New Roman" w:hAnsi="Times New Roman" w:cs="Times New Roman"/>
          <w:b/>
          <w:bCs/>
          <w:sz w:val="24"/>
          <w:szCs w:val="24"/>
        </w:rPr>
        <w:t>architecture :</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These systems integrate high-voltage batteries, advanced power electronics such as </w:t>
      </w:r>
      <w:proofErr w:type="spellStart"/>
      <w:r>
        <w:rPr>
          <w:rFonts w:ascii="Times New Roman" w:eastAsia="Times New Roman" w:hAnsi="Times New Roman" w:cs="Times New Roman"/>
          <w:sz w:val="24"/>
          <w:szCs w:val="24"/>
        </w:rPr>
        <w:t>SiC</w:t>
      </w:r>
      <w:proofErr w:type="spellEnd"/>
      <w:r>
        <w:rPr>
          <w:rFonts w:ascii="Times New Roman" w:eastAsia="Times New Roman" w:hAnsi="Times New Roman" w:cs="Times New Roman"/>
          <w:sz w:val="24"/>
          <w:szCs w:val="24"/>
        </w:rPr>
        <w:t>-based inverters, and high-power charging systems to enable ultra-fast charging and improved efficiency [114].</w:t>
      </w:r>
    </w:p>
    <w:p w14:paraId="5AAFC5DE" w14:textId="77777777" w:rsidR="006D0435" w:rsidRDefault="00000000">
      <w:pPr>
        <w:pBdr>
          <w:top w:val="nil"/>
          <w:left w:val="nil"/>
          <w:bottom w:val="nil"/>
          <w:right w:val="nil"/>
          <w:between w:val="nil"/>
        </w:pBdr>
        <w:spacing w:before="180" w:after="18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7A4502A3" wp14:editId="448319C8">
            <wp:extent cx="5953125" cy="1206929"/>
            <wp:effectExtent l="0" t="0" r="0" b="0"/>
            <wp:docPr id="3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8"/>
                    <a:srcRect t="33744" b="35838"/>
                    <a:stretch>
                      <a:fillRect/>
                    </a:stretch>
                  </pic:blipFill>
                  <pic:spPr>
                    <a:xfrm>
                      <a:off x="0" y="0"/>
                      <a:ext cx="5953125" cy="1206929"/>
                    </a:xfrm>
                    <a:prstGeom prst="rect">
                      <a:avLst/>
                    </a:prstGeom>
                    <a:ln/>
                  </pic:spPr>
                </pic:pic>
              </a:graphicData>
            </a:graphic>
          </wp:inline>
        </w:drawing>
      </w:r>
    </w:p>
    <w:p w14:paraId="2446B75B" w14:textId="77777777" w:rsidR="006D0435" w:rsidRDefault="00000000">
      <w:pPr>
        <w:pBdr>
          <w:top w:val="nil"/>
          <w:left w:val="nil"/>
          <w:bottom w:val="nil"/>
          <w:right w:val="nil"/>
          <w:between w:val="nil"/>
        </w:pBdr>
        <w:spacing w:before="180" w:after="1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000000"/>
          <w:sz w:val="24"/>
          <w:szCs w:val="24"/>
        </w:rPr>
        <w:t>Fig. 1.</w:t>
      </w:r>
      <w:r>
        <w:rPr>
          <w:rFonts w:ascii="Times New Roman" w:eastAsia="Times New Roman" w:hAnsi="Times New Roman" w:cs="Times New Roman"/>
          <w:color w:val="000000"/>
          <w:sz w:val="24"/>
          <w:szCs w:val="24"/>
        </w:rPr>
        <w:t xml:space="preserve"> EV powertrain block diagram with integrated components</w:t>
      </w:r>
    </w:p>
    <w:p w14:paraId="47F4F281" w14:textId="77777777" w:rsidR="006D0435" w:rsidRDefault="00000000">
      <w:pPr>
        <w:pStyle w:val="Heading2"/>
        <w:spacing w:line="360" w:lineRule="auto"/>
        <w:rPr>
          <w:rFonts w:ascii="Times New Roman" w:eastAsia="Times New Roman" w:hAnsi="Times New Roman" w:cs="Times New Roman"/>
          <w:color w:val="000000"/>
          <w:sz w:val="24"/>
          <w:szCs w:val="24"/>
        </w:rPr>
      </w:pPr>
      <w:bookmarkStart w:id="8" w:name="ipb7t5y9nn27" w:colFirst="0" w:colLast="0"/>
      <w:bookmarkEnd w:id="8"/>
      <w:r>
        <w:rPr>
          <w:rFonts w:ascii="Times New Roman" w:eastAsia="Times New Roman" w:hAnsi="Times New Roman" w:cs="Times New Roman"/>
          <w:color w:val="000000"/>
          <w:sz w:val="24"/>
          <w:szCs w:val="24"/>
        </w:rPr>
        <w:t>5. Supply Chain &amp; Policy</w:t>
      </w:r>
    </w:p>
    <w:p w14:paraId="1B080D8A" w14:textId="77777777" w:rsidR="006D0435"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Asia’s leadership in EV manufacturing has accelerated innovation in both motor and inverter technology. With the help of domestic semiconductor supply chains and government incentives, Chinese firms have quickly expanded their manufacturing of </w:t>
      </w:r>
      <w:proofErr w:type="spellStart"/>
      <w:r>
        <w:rPr>
          <w:rFonts w:ascii="Times New Roman" w:eastAsia="Times New Roman" w:hAnsi="Times New Roman" w:cs="Times New Roman"/>
          <w:color w:val="000000"/>
          <w:sz w:val="24"/>
          <w:szCs w:val="24"/>
        </w:rPr>
        <w:t>SiC</w:t>
      </w:r>
      <w:proofErr w:type="spellEnd"/>
      <w:r>
        <w:rPr>
          <w:rFonts w:ascii="Times New Roman" w:eastAsia="Times New Roman" w:hAnsi="Times New Roman" w:cs="Times New Roman"/>
          <w:color w:val="000000"/>
          <w:sz w:val="24"/>
          <w:szCs w:val="24"/>
        </w:rPr>
        <w:t xml:space="preserve"> inverters. Advanced e-axle systems with optimal thermal performance are the result of Japanese and Korean firms' focus on integration and dependability [</w:t>
      </w:r>
      <w:r>
        <w:rPr>
          <w:rFonts w:ascii="Times New Roman" w:eastAsia="Times New Roman" w:hAnsi="Times New Roman" w:cs="Times New Roman"/>
          <w:sz w:val="24"/>
          <w:szCs w:val="24"/>
        </w:rPr>
        <w:t>1</w:t>
      </w:r>
      <w:r>
        <w:rPr>
          <w:rFonts w:ascii="Times New Roman" w:eastAsia="Times New Roman" w:hAnsi="Times New Roman" w:cs="Times New Roman"/>
          <w:color w:val="000000"/>
          <w:sz w:val="24"/>
          <w:szCs w:val="24"/>
        </w:rPr>
        <w:t>].</w:t>
      </w:r>
    </w:p>
    <w:p w14:paraId="1EFC3656" w14:textId="77777777" w:rsidR="006D0435"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developing EV ecosystem in India shows a steady shift toward higher-voltage systems. Reducing reliance on imported power electronics and permanent magnet materials is the goal of policy initiatives like localized production incentives.</w:t>
      </w:r>
    </w:p>
    <w:p w14:paraId="4CBD347E" w14:textId="77777777" w:rsidR="006D0435" w:rsidRDefault="00000000">
      <w:pPr>
        <w:numPr>
          <w:ilvl w:val="1"/>
          <w:numId w:val="2"/>
        </w:numPr>
        <w:pBdr>
          <w:top w:val="nil"/>
          <w:left w:val="nil"/>
          <w:bottom w:val="nil"/>
          <w:right w:val="nil"/>
          <w:between w:val="nil"/>
        </w:pBdr>
        <w:spacing w:before="36" w:after="36" w:line="360" w:lineRule="auto"/>
        <w:rPr>
          <w:color w:val="000000"/>
          <w:sz w:val="24"/>
          <w:szCs w:val="24"/>
        </w:rPr>
      </w:pPr>
      <w:r>
        <w:rPr>
          <w:rFonts w:ascii="Times New Roman" w:eastAsia="Times New Roman" w:hAnsi="Times New Roman" w:cs="Times New Roman"/>
          <w:b/>
          <w:bCs/>
          <w:color w:val="000000"/>
          <w:sz w:val="24"/>
          <w:szCs w:val="24"/>
        </w:rPr>
        <w:t>China:</w:t>
      </w:r>
      <w:r>
        <w:rPr>
          <w:rFonts w:ascii="Times New Roman" w:eastAsia="Times New Roman" w:hAnsi="Times New Roman" w:cs="Times New Roman"/>
          <w:color w:val="000000"/>
          <w:sz w:val="24"/>
          <w:szCs w:val="24"/>
        </w:rPr>
        <w:t xml:space="preserve"> Leading EV market; 60% of global sales [1]. Strong supply of Li-ion cells (CATL, BYD) and rare-earth magnets (80% global </w:t>
      </w:r>
      <w:proofErr w:type="gramStart"/>
      <w:r>
        <w:rPr>
          <w:rFonts w:ascii="Times New Roman" w:eastAsia="Times New Roman" w:hAnsi="Times New Roman" w:cs="Times New Roman"/>
          <w:color w:val="000000"/>
          <w:sz w:val="24"/>
          <w:szCs w:val="24"/>
        </w:rPr>
        <w:t>share</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112]</w:t>
      </w:r>
      <w:r>
        <w:rPr>
          <w:rFonts w:ascii="Times New Roman" w:eastAsia="Times New Roman" w:hAnsi="Times New Roman" w:cs="Times New Roman"/>
          <w:color w:val="000000"/>
          <w:sz w:val="24"/>
          <w:szCs w:val="24"/>
        </w:rPr>
        <w:t xml:space="preserve">). NEV subsidies and credit system favor domestic motor and inverter makers. Mandates push towards high efficiency and LFP chemistries. China also leads battery recycling pilot </w:t>
      </w:r>
      <w:r>
        <w:rPr>
          <w:rFonts w:ascii="Times New Roman" w:eastAsia="Times New Roman" w:hAnsi="Times New Roman" w:cs="Times New Roman"/>
          <w:sz w:val="24"/>
          <w:szCs w:val="24"/>
        </w:rPr>
        <w:t>projects [111].</w:t>
      </w:r>
    </w:p>
    <w:p w14:paraId="1193A8E8" w14:textId="77777777" w:rsidR="006D0435" w:rsidRDefault="00000000">
      <w:pPr>
        <w:numPr>
          <w:ilvl w:val="0"/>
          <w:numId w:val="2"/>
        </w:numPr>
        <w:pBdr>
          <w:top w:val="nil"/>
          <w:left w:val="nil"/>
          <w:bottom w:val="nil"/>
          <w:right w:val="nil"/>
          <w:between w:val="nil"/>
        </w:pBdr>
        <w:spacing w:before="36" w:after="36" w:line="360" w:lineRule="auto"/>
        <w:rPr>
          <w:color w:val="000000"/>
          <w:sz w:val="24"/>
          <w:szCs w:val="24"/>
        </w:rPr>
      </w:pPr>
      <w:r>
        <w:rPr>
          <w:rFonts w:ascii="Times New Roman" w:eastAsia="Times New Roman" w:hAnsi="Times New Roman" w:cs="Times New Roman"/>
          <w:b/>
          <w:bCs/>
          <w:color w:val="000000"/>
          <w:sz w:val="24"/>
          <w:szCs w:val="24"/>
        </w:rPr>
        <w:t>Japan:</w:t>
      </w:r>
      <w:r>
        <w:rPr>
          <w:rFonts w:ascii="Times New Roman" w:eastAsia="Times New Roman" w:hAnsi="Times New Roman" w:cs="Times New Roman"/>
          <w:color w:val="000000"/>
          <w:sz w:val="24"/>
          <w:szCs w:val="24"/>
        </w:rPr>
        <w:t xml:space="preserve"> Pioneers in motor and battery R&amp;D (Panasonic, Hitachi Metals). Government incentives for EV adoption are smaller (focus was hybrids), but substantial R&amp;D in solid-state batteries and silicon-carbide </w:t>
      </w:r>
      <w:r>
        <w:rPr>
          <w:rFonts w:ascii="Times New Roman" w:eastAsia="Times New Roman" w:hAnsi="Times New Roman" w:cs="Times New Roman"/>
          <w:color w:val="000000"/>
          <w:sz w:val="24"/>
          <w:szCs w:val="24"/>
        </w:rPr>
        <w:lastRenderedPageBreak/>
        <w:t xml:space="preserve">devices. Strict industrial standards ensure high quality. Japan is also developing next-gen inverters (e.g. </w:t>
      </w:r>
      <w:proofErr w:type="spellStart"/>
      <w:r>
        <w:rPr>
          <w:rFonts w:ascii="Times New Roman" w:eastAsia="Times New Roman" w:hAnsi="Times New Roman" w:cs="Times New Roman"/>
          <w:sz w:val="24"/>
          <w:szCs w:val="24"/>
        </w:rPr>
        <w:t>GaN</w:t>
      </w:r>
      <w:proofErr w:type="spellEnd"/>
      <w:r>
        <w:rPr>
          <w:rFonts w:ascii="Times New Roman" w:eastAsia="Times New Roman" w:hAnsi="Times New Roman" w:cs="Times New Roman"/>
          <w:sz w:val="24"/>
          <w:szCs w:val="24"/>
        </w:rPr>
        <w:t>-based) [107].</w:t>
      </w:r>
    </w:p>
    <w:p w14:paraId="68C38BAB" w14:textId="77777777" w:rsidR="006D0435" w:rsidRDefault="00000000">
      <w:pPr>
        <w:pBdr>
          <w:top w:val="nil"/>
          <w:left w:val="nil"/>
          <w:bottom w:val="nil"/>
          <w:right w:val="nil"/>
          <w:between w:val="nil"/>
        </w:pBdr>
        <w:spacing w:before="36" w:after="36" w:line="360" w:lineRule="auto"/>
        <w:ind w:left="90"/>
        <w:rPr>
          <w:rFonts w:ascii="Times New Roman" w:eastAsia="Times New Roman" w:hAnsi="Times New Roman" w:cs="Times New Roman"/>
          <w:color w:val="000000"/>
          <w:sz w:val="24"/>
          <w:szCs w:val="24"/>
        </w:rPr>
      </w:pPr>
      <w:bookmarkStart w:id="9" w:name="fyjuf5ce5rcc" w:colFirst="0" w:colLast="0"/>
      <w:bookmarkEnd w:id="9"/>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 xml:space="preserve">Korea: </w:t>
      </w:r>
      <w:r>
        <w:rPr>
          <w:rFonts w:ascii="Times New Roman" w:eastAsia="Times New Roman" w:hAnsi="Times New Roman" w:cs="Times New Roman"/>
          <w:sz w:val="24"/>
          <w:szCs w:val="24"/>
        </w:rPr>
        <w:t xml:space="preserve">Korea’s EV industry benefits from strong battery exports and semiconductor innovation. Hyundai/Kia’s electrification push and partnerships with semiconductor suppliers support the adoption of high-voltage </w:t>
      </w:r>
      <w:proofErr w:type="spellStart"/>
      <w:r>
        <w:rPr>
          <w:rFonts w:ascii="Times New Roman" w:eastAsia="Times New Roman" w:hAnsi="Times New Roman" w:cs="Times New Roman"/>
          <w:sz w:val="24"/>
          <w:szCs w:val="24"/>
        </w:rPr>
        <w:t>SiC</w:t>
      </w:r>
      <w:proofErr w:type="spellEnd"/>
      <w:r>
        <w:rPr>
          <w:rFonts w:ascii="Times New Roman" w:eastAsia="Times New Roman" w:hAnsi="Times New Roman" w:cs="Times New Roman"/>
          <w:sz w:val="24"/>
          <w:szCs w:val="24"/>
        </w:rPr>
        <w:t xml:space="preserve"> power modules in next-generation EV platforms [115]</w:t>
      </w:r>
      <w:r>
        <w:rPr>
          <w:rFonts w:ascii="Times New Roman" w:eastAsia="Times New Roman" w:hAnsi="Times New Roman" w:cs="Times New Roman"/>
          <w:color w:val="000000"/>
          <w:sz w:val="24"/>
          <w:szCs w:val="24"/>
        </w:rPr>
        <w:t>.</w:t>
      </w:r>
    </w:p>
    <w:p w14:paraId="30D21296" w14:textId="77777777" w:rsidR="006D0435" w:rsidRDefault="00000000">
      <w:pPr>
        <w:pBdr>
          <w:top w:val="nil"/>
          <w:left w:val="nil"/>
          <w:bottom w:val="nil"/>
          <w:right w:val="nil"/>
          <w:between w:val="nil"/>
        </w:pBdr>
        <w:spacing w:before="36" w:after="36" w:line="360" w:lineRule="auto"/>
        <w:ind w:left="9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 xml:space="preserve">India: Emerging EV policies of </w:t>
      </w:r>
      <w:proofErr w:type="spellStart"/>
      <w:r>
        <w:rPr>
          <w:rFonts w:ascii="Times New Roman" w:eastAsia="Times New Roman" w:hAnsi="Times New Roman" w:cs="Times New Roman"/>
          <w:color w:val="000000"/>
          <w:sz w:val="24"/>
          <w:szCs w:val="24"/>
        </w:rPr>
        <w:t>india</w:t>
      </w:r>
      <w:proofErr w:type="spellEnd"/>
      <w:r>
        <w:rPr>
          <w:rFonts w:ascii="Times New Roman" w:eastAsia="Times New Roman" w:hAnsi="Times New Roman" w:cs="Times New Roman"/>
          <w:color w:val="000000"/>
          <w:sz w:val="24"/>
          <w:szCs w:val="24"/>
        </w:rPr>
        <w:t xml:space="preserve"> (FAME-II, PLI) fund local manufacturing of motors and batteries. Many two/three-wheelers use cheaper lead-acid or LFP and the transition to Li-ion (48–72V nominal) is ongoing. Usually in </w:t>
      </w:r>
      <w:proofErr w:type="gramStart"/>
      <w:r>
        <w:rPr>
          <w:rFonts w:ascii="Times New Roman" w:eastAsia="Times New Roman" w:hAnsi="Times New Roman" w:cs="Times New Roman"/>
          <w:color w:val="000000"/>
          <w:sz w:val="24"/>
          <w:szCs w:val="24"/>
        </w:rPr>
        <w:t>India ,</w:t>
      </w:r>
      <w:proofErr w:type="gramEnd"/>
      <w:r>
        <w:rPr>
          <w:rFonts w:ascii="Times New Roman" w:eastAsia="Times New Roman" w:hAnsi="Times New Roman" w:cs="Times New Roman"/>
          <w:color w:val="000000"/>
          <w:sz w:val="24"/>
          <w:szCs w:val="24"/>
        </w:rPr>
        <w:t xml:space="preserve"> rare earth minerals are imported, so recycling and alternative magnet R&amp;D are high priorities</w:t>
      </w:r>
      <w:r>
        <w:rPr>
          <w:rFonts w:ascii="Gungsuh" w:eastAsia="Gungsuh" w:hAnsi="Gungsuh" w:cs="Gungsuh"/>
          <w:sz w:val="24"/>
          <w:szCs w:val="24"/>
        </w:rPr>
        <w:t>【112】.</w:t>
      </w:r>
      <w:r>
        <w:rPr>
          <w:rFonts w:ascii="Times New Roman" w:eastAsia="Times New Roman" w:hAnsi="Times New Roman" w:cs="Times New Roman"/>
          <w:color w:val="000000"/>
          <w:sz w:val="24"/>
          <w:szCs w:val="24"/>
        </w:rPr>
        <w:t xml:space="preserve"> The Indian market currently favors simpler 400V drives, but 800V adoption is planned in premium segments.</w:t>
      </w:r>
    </w:p>
    <w:p w14:paraId="061FDAD0" w14:textId="77777777" w:rsidR="006D0435" w:rsidRDefault="00000000">
      <w:pPr>
        <w:pBdr>
          <w:top w:val="nil"/>
          <w:left w:val="nil"/>
          <w:bottom w:val="nil"/>
          <w:right w:val="nil"/>
          <w:between w:val="nil"/>
        </w:pBdr>
        <w:spacing w:before="36" w:after="36"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India</w:t>
      </w:r>
      <w:r>
        <w:rPr>
          <w:rFonts w:ascii="Times New Roman" w:eastAsia="Times New Roman" w:hAnsi="Times New Roman" w:cs="Times New Roman"/>
          <w:color w:val="000000"/>
          <w:sz w:val="24"/>
          <w:szCs w:val="24"/>
        </w:rPr>
        <w:t>: Local production of motors and batteries is supported by emerging EV legislation (FAME-II, PLI). Cheaper lead-acid or LFP is used in many two- and three-wheelers; the switch to Li-ion (48–72V nominal) is still happening. Due to the importation of rare earth minerals, recycling and alternative magnet research and development are top priorities‐14. Although 800V adoption is anticipated in premium areas, the Indian market now prefers simpler 400V drives</w:t>
      </w:r>
      <w:r>
        <w:rPr>
          <w:rFonts w:ascii="Times New Roman" w:eastAsia="Times New Roman" w:hAnsi="Times New Roman" w:cs="Times New Roman"/>
          <w:b/>
          <w:bCs/>
          <w:color w:val="000000"/>
          <w:sz w:val="24"/>
          <w:szCs w:val="24"/>
        </w:rPr>
        <w:t>.</w:t>
      </w:r>
    </w:p>
    <w:p w14:paraId="0F1A1AA2" w14:textId="77777777" w:rsidR="006D0435" w:rsidRDefault="00000000">
      <w:pPr>
        <w:pStyle w:val="Heading2"/>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Safety, Manufacturing, Recycling, Trends (2025–2035)</w:t>
      </w:r>
    </w:p>
    <w:p w14:paraId="777C6DBF" w14:textId="77777777" w:rsidR="006D0435" w:rsidRDefault="00000000">
      <w:pPr>
        <w:numPr>
          <w:ilvl w:val="0"/>
          <w:numId w:val="2"/>
        </w:numPr>
        <w:pBdr>
          <w:top w:val="nil"/>
          <w:left w:val="nil"/>
          <w:bottom w:val="nil"/>
          <w:right w:val="nil"/>
          <w:between w:val="nil"/>
        </w:pBdr>
        <w:spacing w:before="36" w:after="36" w:line="360" w:lineRule="auto"/>
        <w:rPr>
          <w:color w:val="000000"/>
          <w:sz w:val="24"/>
          <w:szCs w:val="24"/>
        </w:rPr>
      </w:pPr>
      <w:r>
        <w:rPr>
          <w:rFonts w:ascii="Times New Roman" w:eastAsia="Times New Roman" w:hAnsi="Times New Roman" w:cs="Times New Roman"/>
          <w:b/>
          <w:bCs/>
          <w:color w:val="000000"/>
          <w:sz w:val="24"/>
          <w:szCs w:val="24"/>
        </w:rPr>
        <w:t>Safety:</w:t>
      </w:r>
      <w:r>
        <w:rPr>
          <w:rFonts w:ascii="Times New Roman" w:eastAsia="Times New Roman" w:hAnsi="Times New Roman" w:cs="Times New Roman"/>
          <w:color w:val="000000"/>
          <w:sz w:val="24"/>
          <w:szCs w:val="24"/>
        </w:rPr>
        <w:t xml:space="preserve"> Drive systems are governed by EV-specific requirements (ISO 6469) and functional safety (ISO 26262). Higher insulation is needed for 800V systems (e.g. double-fusion interrupts). High currents must be safely managed by regen braking, while overcharge and overtemperature must be avoided by BMS. Pack fuses and active cooling reduce battery thermal runaway.</w:t>
      </w:r>
    </w:p>
    <w:p w14:paraId="7B8B41BA" w14:textId="77777777" w:rsidR="006D0435" w:rsidRDefault="00000000">
      <w:pPr>
        <w:numPr>
          <w:ilvl w:val="0"/>
          <w:numId w:val="2"/>
        </w:numPr>
        <w:pBdr>
          <w:top w:val="nil"/>
          <w:left w:val="nil"/>
          <w:bottom w:val="nil"/>
          <w:right w:val="nil"/>
          <w:between w:val="nil"/>
        </w:pBdr>
        <w:spacing w:before="36" w:after="36" w:line="360" w:lineRule="auto"/>
        <w:rPr>
          <w:color w:val="000000"/>
          <w:sz w:val="24"/>
          <w:szCs w:val="24"/>
        </w:rPr>
      </w:pPr>
      <w:r>
        <w:rPr>
          <w:rFonts w:ascii="Times New Roman" w:eastAsia="Times New Roman" w:hAnsi="Times New Roman" w:cs="Times New Roman"/>
          <w:b/>
          <w:bCs/>
          <w:color w:val="000000"/>
          <w:sz w:val="24"/>
          <w:szCs w:val="24"/>
        </w:rPr>
        <w:t>Manufacturability:</w:t>
      </w:r>
      <w:r>
        <w:rPr>
          <w:rFonts w:ascii="Times New Roman" w:eastAsia="Times New Roman" w:hAnsi="Times New Roman" w:cs="Times New Roman"/>
          <w:color w:val="000000"/>
          <w:sz w:val="24"/>
          <w:szCs w:val="24"/>
        </w:rPr>
        <w:t xml:space="preserve"> EV drive factories use CNC machining, additive manufacturing for complicated parts, and automated winding (hairpin stators for greater fill factor). Rare-earth magnets are controlled by the motor assembly (usually in glass-fiber reinforced housings to contain fragmentation). Sintered die-attach is used in power module construction to ensure dependability at high cycling </w:t>
      </w:r>
      <w:r>
        <w:rPr>
          <w:rFonts w:ascii="Times New Roman" w:eastAsia="Times New Roman" w:hAnsi="Times New Roman" w:cs="Times New Roman"/>
          <w:b/>
          <w:bCs/>
          <w:color w:val="000000"/>
          <w:sz w:val="24"/>
          <w:szCs w:val="24"/>
        </w:rPr>
        <w:t>[</w:t>
      </w:r>
      <w:r>
        <w:rPr>
          <w:rFonts w:ascii="Times New Roman" w:eastAsia="Times New Roman" w:hAnsi="Times New Roman" w:cs="Times New Roman"/>
          <w:b/>
          <w:bCs/>
          <w:sz w:val="24"/>
          <w:szCs w:val="24"/>
        </w:rPr>
        <w:t>102</w:t>
      </w:r>
      <w:r>
        <w:rPr>
          <w:rFonts w:ascii="Times New Roman" w:eastAsia="Times New Roman" w:hAnsi="Times New Roman" w:cs="Times New Roman"/>
          <w:b/>
          <w:bCs/>
          <w:color w:val="000000"/>
          <w:sz w:val="24"/>
          <w:szCs w:val="24"/>
        </w:rPr>
        <w:t>].</w:t>
      </w:r>
      <w:r>
        <w:rPr>
          <w:rFonts w:ascii="Times New Roman" w:eastAsia="Times New Roman" w:hAnsi="Times New Roman" w:cs="Times New Roman"/>
          <w:color w:val="000000"/>
          <w:sz w:val="24"/>
          <w:szCs w:val="24"/>
        </w:rPr>
        <w:t xml:space="preserve"> Because of the need for rotor assembly and particular laminations, producing axial-flux or SRM at scale is still expensive </w:t>
      </w:r>
      <w:r>
        <w:rPr>
          <w:rFonts w:ascii="Times New Roman" w:eastAsia="Times New Roman" w:hAnsi="Times New Roman" w:cs="Times New Roman"/>
          <w:b/>
          <w:bCs/>
          <w:color w:val="000000"/>
          <w:sz w:val="24"/>
          <w:szCs w:val="24"/>
        </w:rPr>
        <w:t>[1</w:t>
      </w:r>
      <w:r>
        <w:rPr>
          <w:rFonts w:ascii="Times New Roman" w:eastAsia="Times New Roman" w:hAnsi="Times New Roman" w:cs="Times New Roman"/>
          <w:b/>
          <w:bCs/>
          <w:sz w:val="24"/>
          <w:szCs w:val="24"/>
        </w:rPr>
        <w:t>13</w:t>
      </w:r>
      <w:r>
        <w:rPr>
          <w:rFonts w:ascii="Times New Roman" w:eastAsia="Times New Roman" w:hAnsi="Times New Roman" w:cs="Times New Roman"/>
          <w:b/>
          <w:bCs/>
          <w:color w:val="000000"/>
          <w:sz w:val="24"/>
          <w:szCs w:val="24"/>
        </w:rPr>
        <w:t>].</w:t>
      </w:r>
    </w:p>
    <w:p w14:paraId="28657AD4" w14:textId="77777777" w:rsidR="006D0435" w:rsidRDefault="00000000">
      <w:pPr>
        <w:numPr>
          <w:ilvl w:val="0"/>
          <w:numId w:val="2"/>
        </w:numPr>
        <w:pBdr>
          <w:top w:val="nil"/>
          <w:left w:val="nil"/>
          <w:bottom w:val="nil"/>
          <w:right w:val="nil"/>
          <w:between w:val="nil"/>
        </w:pBdr>
        <w:spacing w:before="36" w:after="36" w:line="360" w:lineRule="auto"/>
        <w:rPr>
          <w:color w:val="000000"/>
          <w:sz w:val="24"/>
          <w:szCs w:val="24"/>
        </w:rPr>
      </w:pPr>
      <w:r>
        <w:rPr>
          <w:rFonts w:ascii="Times New Roman" w:eastAsia="Times New Roman" w:hAnsi="Times New Roman" w:cs="Times New Roman"/>
          <w:b/>
          <w:bCs/>
          <w:color w:val="000000"/>
          <w:sz w:val="24"/>
          <w:szCs w:val="24"/>
        </w:rPr>
        <w:t>Recycling:</w:t>
      </w:r>
      <w:r>
        <w:rPr>
          <w:rFonts w:ascii="Times New Roman" w:eastAsia="Times New Roman" w:hAnsi="Times New Roman" w:cs="Times New Roman"/>
          <w:color w:val="000000"/>
          <w:sz w:val="24"/>
          <w:szCs w:val="24"/>
        </w:rPr>
        <w:t xml:space="preserve"> Asian initiatives target &gt;90% material recovery. China now recycles ~60% of Li-ion batteries via hydrometallurgy. NiMH (from hybrids) has a mature recycling stream in </w:t>
      </w:r>
      <w:proofErr w:type="gramStart"/>
      <w:r>
        <w:rPr>
          <w:rFonts w:ascii="Times New Roman" w:eastAsia="Times New Roman" w:hAnsi="Times New Roman" w:cs="Times New Roman"/>
          <w:color w:val="000000"/>
          <w:sz w:val="24"/>
          <w:szCs w:val="24"/>
        </w:rPr>
        <w:t>Japan</w:t>
      </w:r>
      <w:r>
        <w:rPr>
          <w:rFonts w:ascii="Times New Roman" w:eastAsia="Times New Roman" w:hAnsi="Times New Roman" w:cs="Times New Roman"/>
          <w:b/>
          <w:bCs/>
          <w:color w:val="000000"/>
          <w:sz w:val="24"/>
          <w:szCs w:val="24"/>
        </w:rPr>
        <w:t>[</w:t>
      </w:r>
      <w:proofErr w:type="gramEnd"/>
      <w:r>
        <w:rPr>
          <w:rFonts w:ascii="Times New Roman" w:eastAsia="Times New Roman" w:hAnsi="Times New Roman" w:cs="Times New Roman"/>
          <w:b/>
          <w:bCs/>
          <w:color w:val="000000"/>
          <w:sz w:val="24"/>
          <w:szCs w:val="24"/>
        </w:rPr>
        <w:t>1</w:t>
      </w:r>
      <w:r>
        <w:rPr>
          <w:rFonts w:ascii="Times New Roman" w:eastAsia="Times New Roman" w:hAnsi="Times New Roman" w:cs="Times New Roman"/>
          <w:b/>
          <w:bCs/>
          <w:sz w:val="24"/>
          <w:szCs w:val="24"/>
        </w:rPr>
        <w:t>12</w:t>
      </w:r>
      <w:r>
        <w:rPr>
          <w:rFonts w:ascii="Times New Roman" w:eastAsia="Times New Roman" w:hAnsi="Times New Roman" w:cs="Times New Roman"/>
          <w:b/>
          <w:bCs/>
          <w:color w:val="000000"/>
          <w:sz w:val="24"/>
          <w:szCs w:val="24"/>
        </w:rPr>
        <w:t>].</w:t>
      </w:r>
      <w:r>
        <w:rPr>
          <w:rFonts w:ascii="Times New Roman" w:eastAsia="Times New Roman" w:hAnsi="Times New Roman" w:cs="Times New Roman"/>
          <w:color w:val="000000"/>
          <w:sz w:val="24"/>
          <w:szCs w:val="24"/>
        </w:rPr>
        <w:t xml:space="preserve"> Motor magnet recycling is nascent: techniques (HREPPER, hydrogen decrepitation) can reclaim NdFeB from end-of-life drives. Future EV designs may use recycled NdFeB or shift to ferrite/PMSM hybrids to reduce critical material usage.</w:t>
      </w:r>
    </w:p>
    <w:p w14:paraId="5825CD0A" w14:textId="77777777" w:rsidR="006D0435"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Future (2025–2035):</w:t>
      </w:r>
      <w:r>
        <w:rPr>
          <w:rFonts w:ascii="Times New Roman" w:eastAsia="Times New Roman" w:hAnsi="Times New Roman" w:cs="Times New Roman"/>
          <w:color w:val="000000"/>
          <w:sz w:val="24"/>
          <w:szCs w:val="24"/>
        </w:rPr>
        <w:t xml:space="preserve"> Widespread use of </w:t>
      </w:r>
      <w:proofErr w:type="spellStart"/>
      <w:r>
        <w:rPr>
          <w:rFonts w:ascii="Times New Roman" w:eastAsia="Times New Roman" w:hAnsi="Times New Roman" w:cs="Times New Roman"/>
          <w:color w:val="000000"/>
          <w:sz w:val="24"/>
          <w:szCs w:val="24"/>
        </w:rPr>
        <w:t>SiC</w:t>
      </w:r>
      <w:proofErr w:type="spellEnd"/>
      <w:r>
        <w:rPr>
          <w:rFonts w:ascii="Times New Roman" w:eastAsia="Times New Roman" w:hAnsi="Times New Roman" w:cs="Times New Roman"/>
          <w:color w:val="000000"/>
          <w:sz w:val="24"/>
          <w:szCs w:val="24"/>
        </w:rPr>
        <w:t xml:space="preserve"> inverters and </w:t>
      </w:r>
      <w:proofErr w:type="spellStart"/>
      <w:r>
        <w:rPr>
          <w:rFonts w:ascii="Times New Roman" w:eastAsia="Times New Roman" w:hAnsi="Times New Roman" w:cs="Times New Roman"/>
          <w:color w:val="000000"/>
          <w:sz w:val="24"/>
          <w:szCs w:val="24"/>
        </w:rPr>
        <w:t>GaN</w:t>
      </w:r>
      <w:proofErr w:type="spellEnd"/>
      <w:r>
        <w:rPr>
          <w:rFonts w:ascii="Times New Roman" w:eastAsia="Times New Roman" w:hAnsi="Times New Roman" w:cs="Times New Roman"/>
          <w:color w:val="000000"/>
          <w:sz w:val="24"/>
          <w:szCs w:val="24"/>
        </w:rPr>
        <w:t xml:space="preserve"> in auxiliaries, which raise system efficiencies above 97%, are anticipated trends. If the supply gets tighter, magnet-free or reduced-RE motors (</w:t>
      </w:r>
      <w:proofErr w:type="spellStart"/>
      <w:r>
        <w:rPr>
          <w:rFonts w:ascii="Times New Roman" w:eastAsia="Times New Roman" w:hAnsi="Times New Roman" w:cs="Times New Roman"/>
          <w:color w:val="000000"/>
          <w:sz w:val="24"/>
          <w:szCs w:val="24"/>
        </w:rPr>
        <w:t>SynRM</w:t>
      </w:r>
      <w:proofErr w:type="spellEnd"/>
      <w:r>
        <w:rPr>
          <w:rFonts w:ascii="Times New Roman" w:eastAsia="Times New Roman" w:hAnsi="Times New Roman" w:cs="Times New Roman"/>
          <w:color w:val="000000"/>
          <w:sz w:val="24"/>
          <w:szCs w:val="24"/>
        </w:rPr>
        <w:t>, flux-</w:t>
      </w:r>
      <w:r>
        <w:rPr>
          <w:rFonts w:ascii="Times New Roman" w:eastAsia="Times New Roman" w:hAnsi="Times New Roman" w:cs="Times New Roman"/>
          <w:color w:val="000000"/>
          <w:sz w:val="24"/>
          <w:szCs w:val="24"/>
        </w:rPr>
        <w:lastRenderedPageBreak/>
        <w:t xml:space="preserve">switching) might be used more. AI/ML integration for motor control (adaptive torque control, predictive failure) will progress. As grid services develop, bidirectional V2G and wireless charging pads will be implemented. By 2030, battery-electric vehicles, including 2/3-wheelers, may account for more than 50% of the Asian market. Drive design may be further influenced by the introduction of solid-state batteries (400–500 </w:t>
      </w:r>
      <w:proofErr w:type="spellStart"/>
      <w:r>
        <w:rPr>
          <w:rFonts w:ascii="Times New Roman" w:eastAsia="Times New Roman" w:hAnsi="Times New Roman" w:cs="Times New Roman"/>
          <w:color w:val="000000"/>
          <w:sz w:val="24"/>
          <w:szCs w:val="24"/>
        </w:rPr>
        <w:t>Wh</w:t>
      </w:r>
      <w:proofErr w:type="spellEnd"/>
      <w:r>
        <w:rPr>
          <w:rFonts w:ascii="Times New Roman" w:eastAsia="Times New Roman" w:hAnsi="Times New Roman" w:cs="Times New Roman"/>
          <w:color w:val="000000"/>
          <w:sz w:val="24"/>
          <w:szCs w:val="24"/>
        </w:rPr>
        <w:t xml:space="preserve">/kg) in specialty EVs. Future developments in traction motors are anticipated to prioritize digital twin modeling for predictive maintenance, sophisticated cooling systems, and magnet reduction techniques. </w:t>
      </w:r>
      <w:proofErr w:type="spellStart"/>
      <w:r>
        <w:rPr>
          <w:rFonts w:ascii="Times New Roman" w:eastAsia="Times New Roman" w:hAnsi="Times New Roman" w:cs="Times New Roman"/>
          <w:color w:val="000000"/>
          <w:sz w:val="24"/>
          <w:szCs w:val="24"/>
        </w:rPr>
        <w:t>SiC</w:t>
      </w:r>
      <w:proofErr w:type="spellEnd"/>
      <w:r>
        <w:rPr>
          <w:rFonts w:ascii="Times New Roman" w:eastAsia="Times New Roman" w:hAnsi="Times New Roman" w:cs="Times New Roman"/>
          <w:color w:val="000000"/>
          <w:sz w:val="24"/>
          <w:szCs w:val="24"/>
        </w:rPr>
        <w:t xml:space="preserve"> is expected to rule high-voltage traction inverters in power electronics, while </w:t>
      </w:r>
      <w:proofErr w:type="spellStart"/>
      <w:r>
        <w:rPr>
          <w:rFonts w:ascii="Times New Roman" w:eastAsia="Times New Roman" w:hAnsi="Times New Roman" w:cs="Times New Roman"/>
          <w:color w:val="000000"/>
          <w:sz w:val="24"/>
          <w:szCs w:val="24"/>
        </w:rPr>
        <w:t>GaN</w:t>
      </w:r>
      <w:proofErr w:type="spellEnd"/>
      <w:r>
        <w:rPr>
          <w:rFonts w:ascii="Times New Roman" w:eastAsia="Times New Roman" w:hAnsi="Times New Roman" w:cs="Times New Roman"/>
          <w:color w:val="000000"/>
          <w:sz w:val="24"/>
          <w:szCs w:val="24"/>
        </w:rPr>
        <w:t xml:space="preserve"> is growing in auxiliary converters than the its counterpart onboard chargers due to its superior switching speed [</w:t>
      </w:r>
      <w:r>
        <w:rPr>
          <w:rFonts w:ascii="Times New Roman" w:eastAsia="Times New Roman" w:hAnsi="Times New Roman" w:cs="Times New Roman"/>
          <w:sz w:val="24"/>
          <w:szCs w:val="24"/>
        </w:rPr>
        <w:t>112</w:t>
      </w:r>
      <w:r>
        <w:rPr>
          <w:rFonts w:ascii="Times New Roman" w:eastAsia="Times New Roman" w:hAnsi="Times New Roman" w:cs="Times New Roman"/>
          <w:color w:val="000000"/>
          <w:sz w:val="24"/>
          <w:szCs w:val="24"/>
        </w:rPr>
        <w:t>].</w:t>
      </w:r>
    </w:p>
    <w:p w14:paraId="3D37D10C" w14:textId="77777777" w:rsidR="006D0435"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Integration trends suggest that future EV platforms may combine battery, inverter, and motor assemblies into highly compact modules, reducing system complexity while improving efficiency and manufacturability.</w:t>
      </w:r>
      <w:bookmarkStart w:id="10" w:name="9izivr5azqu5" w:colFirst="0" w:colLast="0"/>
      <w:bookmarkEnd w:id="10"/>
    </w:p>
    <w:p w14:paraId="215BA017"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6.Charging Infrastructure &amp; Grid Interaction</w:t>
      </w:r>
    </w:p>
    <w:p w14:paraId="531946F4"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6.1</w:t>
      </w:r>
    </w:p>
    <w:p w14:paraId="0BC3EC1D"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Electric cars (EVs) get all of their power from batteries, so charging infrastructure is very important for getting a lot of people to use EVs. Unlike regular gas-powered cars, electric vehicles need charging stations that are well-placed in homes, businesses, and public places. Having charging stations available makes people less worried about running out of power, boosts public confidence, and helps the overall shift to sustainable transportation. Several studies show that the EV market needs to increase at the same time as the EV charging infrastructure to make sure it is useful. [11</w:t>
      </w:r>
      <w:r>
        <w:rPr>
          <w:rFonts w:ascii="Times New Roman" w:eastAsia="Times New Roman" w:hAnsi="Times New Roman" w:cs="Times New Roman"/>
          <w:sz w:val="24"/>
          <w:szCs w:val="24"/>
        </w:rPr>
        <w:t>6</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117</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t>The power system needs more electricity as more electric vehicles (EVs) are on the road. This makes the way people charge their EVs and the way the grid works work together very well. If charging isn't handled, charging a lot of electric vehicles at once could raise peak load, put stress on distribution transformers, and cause voltage difficulties. So, technological planning and grid reinforcement must support the growth of EV charging infrastructure. [</w:t>
      </w:r>
      <w:r>
        <w:rPr>
          <w:rFonts w:ascii="Times New Roman" w:eastAsia="Times New Roman" w:hAnsi="Times New Roman" w:cs="Times New Roman"/>
          <w:sz w:val="24"/>
          <w:szCs w:val="24"/>
        </w:rPr>
        <w:t>117</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118</w:t>
      </w:r>
      <w:r>
        <w:rPr>
          <w:rFonts w:ascii="Times New Roman" w:eastAsia="Times New Roman" w:hAnsi="Times New Roman" w:cs="Times New Roman"/>
          <w:color w:val="000000"/>
          <w:sz w:val="24"/>
          <w:szCs w:val="24"/>
        </w:rPr>
        <w:t>]</w:t>
      </w:r>
    </w:p>
    <w:p w14:paraId="7645D678" w14:textId="77777777" w:rsidR="006D0435"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480DD27" wp14:editId="0EB116A9">
            <wp:extent cx="5943600" cy="2338705"/>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29"/>
                    <a:srcRect/>
                    <a:stretch>
                      <a:fillRect/>
                    </a:stretch>
                  </pic:blipFill>
                  <pic:spPr>
                    <a:xfrm>
                      <a:off x="0" y="0"/>
                      <a:ext cx="5943600" cy="2338705"/>
                    </a:xfrm>
                    <a:prstGeom prst="rect">
                      <a:avLst/>
                    </a:prstGeom>
                    <a:ln/>
                  </pic:spPr>
                </pic:pic>
              </a:graphicData>
            </a:graphic>
          </wp:inline>
        </w:drawing>
      </w:r>
    </w:p>
    <w:p w14:paraId="7041B3CD" w14:textId="77777777" w:rsidR="006D0435" w:rsidRDefault="00000000">
      <w:pPr>
        <w:spacing w:line="360" w:lineRule="auto"/>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lastRenderedPageBreak/>
        <w:t xml:space="preserve">                           Fig. 1. Growth of charging stations and electricity demand </w:t>
      </w:r>
    </w:p>
    <w:p w14:paraId="239BA334"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6.2 Types of Charging Infrastructure</w:t>
      </w:r>
    </w:p>
    <w:p w14:paraId="24D0D2BE"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may group EV charging infrastructure by where the charging happens and what kind of service it is. Home charging, office charging, public charging stations, and highway fast charging stations are the most prevalent varieties. People like charging at home since it's easy and they can do it overnight when the grid isn't as busy. Charging at work assists EV users during the day and makes them less reliant on charging at home. City centers, retail malls, and parking lots all include public charging stations so that drivers who don't have their own charging stations can charge their cars. Fast charging stations are often put up on highways and other key roads to cut down on charging time when traveling large distances. A lot of research and planning goes into EV infrastructure, and these forms of charging are often talked about. [</w:t>
      </w:r>
      <w:r>
        <w:rPr>
          <w:rFonts w:ascii="Times New Roman" w:eastAsia="Times New Roman" w:hAnsi="Times New Roman" w:cs="Times New Roman"/>
          <w:sz w:val="24"/>
          <w:szCs w:val="24"/>
        </w:rPr>
        <w:t>116</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118</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119</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t>The development of charging infrastructure is not the same in every part of the world. Cities like Shenzhen, Beijing, and Shanghai have a lot more public charging points than cities in Europe and America. This discrepancy is caused by government policy, the rate at which electric vehicles are being adopted, and the amount of money being put into the economy. This kind of uneven distribution shows that we need to design charging stations better and build more infrastructure based on policy. [</w:t>
      </w:r>
      <w:r>
        <w:rPr>
          <w:rFonts w:ascii="Times New Roman" w:eastAsia="Times New Roman" w:hAnsi="Times New Roman" w:cs="Times New Roman"/>
          <w:sz w:val="24"/>
          <w:szCs w:val="24"/>
        </w:rPr>
        <w:t>118</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120</w:t>
      </w:r>
      <w:r>
        <w:rPr>
          <w:rFonts w:ascii="Times New Roman" w:eastAsia="Times New Roman" w:hAnsi="Times New Roman" w:cs="Times New Roman"/>
          <w:color w:val="000000"/>
          <w:sz w:val="24"/>
          <w:szCs w:val="24"/>
        </w:rPr>
        <w:t>]</w:t>
      </w:r>
    </w:p>
    <w:p w14:paraId="7A31761F" w14:textId="77777777" w:rsidR="006D0435"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3ABEFDAE" wp14:editId="4C16BD19">
            <wp:extent cx="5943600" cy="1854597"/>
            <wp:effectExtent l="0" t="0" r="0" b="0"/>
            <wp:docPr id="3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0"/>
                    <a:srcRect t="6367" b="9230"/>
                    <a:stretch>
                      <a:fillRect/>
                    </a:stretch>
                  </pic:blipFill>
                  <pic:spPr>
                    <a:xfrm>
                      <a:off x="0" y="0"/>
                      <a:ext cx="5943600" cy="1854597"/>
                    </a:xfrm>
                    <a:prstGeom prst="rect">
                      <a:avLst/>
                    </a:prstGeom>
                    <a:ln/>
                  </pic:spPr>
                </pic:pic>
              </a:graphicData>
            </a:graphic>
          </wp:inline>
        </w:drawing>
      </w:r>
    </w:p>
    <w:p w14:paraId="568D7ED1" w14:textId="77777777" w:rsidR="006D0435" w:rsidRDefault="00000000">
      <w:pP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Fig. 2. Classification of charging infrastructure types </w:t>
      </w:r>
    </w:p>
    <w:p w14:paraId="0D470600"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6.3 Charging Levels, Standards, and Power Ratings</w:t>
      </w:r>
    </w:p>
    <w:p w14:paraId="78BDDAF4"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are two basic types of EV charging systems: AC charging and DC charging. AC charging takes longer since the car's charger changes AC power into DC power before charging the battery. Most of the time, this technology is employed in charging systems for homes and businesses. DC charging is faster since the charging station changes AC power to DC power and sends it directly to the EV battery. Because of this, DC fast chargers are used in charging stations for businesses and on highways. [</w:t>
      </w:r>
      <w:r>
        <w:rPr>
          <w:rFonts w:ascii="Times New Roman" w:eastAsia="Times New Roman" w:hAnsi="Times New Roman" w:cs="Times New Roman"/>
          <w:sz w:val="24"/>
          <w:szCs w:val="24"/>
        </w:rPr>
        <w:t>117</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119</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122</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t xml:space="preserve">There are different charging standards around the world, like SAE J1772, CCS, CHAdeMO, and GB/T. The design of the connectors, the voltage level, and the communication protocols are all different amongst these standards. Standardization is vital for making sure that EVs and charging stations work together, making things </w:t>
      </w:r>
      <w:r>
        <w:rPr>
          <w:rFonts w:ascii="Times New Roman" w:eastAsia="Times New Roman" w:hAnsi="Times New Roman" w:cs="Times New Roman"/>
          <w:color w:val="000000"/>
          <w:sz w:val="24"/>
          <w:szCs w:val="24"/>
        </w:rPr>
        <w:lastRenderedPageBreak/>
        <w:t>easier for users, and making sure that everything works safely. The SAE J1772 standard sets multiple levels for charging, like AC Level 1, AC Level 2, DC Level 1, and DC Level 2. Each level has its own voltage, current, and maximum power ratings. [</w:t>
      </w:r>
      <w:r>
        <w:rPr>
          <w:rFonts w:ascii="Times New Roman" w:eastAsia="Times New Roman" w:hAnsi="Times New Roman" w:cs="Times New Roman"/>
          <w:sz w:val="24"/>
          <w:szCs w:val="24"/>
        </w:rPr>
        <w:t>119</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122</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123</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t>For instance, AC Level 1 usually works at 120 V and has low charging power, which is good for charging at home. AC Level 2 is utilized in public charging stations since it has a greater voltage and charges faster. DC Level 1 and DC Level 2 give forth a lot more power, which makes charging quick in business settings. [4], [8]</w:t>
      </w:r>
    </w:p>
    <w:p w14:paraId="2685C23F"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Charging power rating levels:</w:t>
      </w:r>
    </w:p>
    <w:tbl>
      <w:tblPr>
        <w:tblStyle w:val="a5"/>
        <w:tblW w:w="9225" w:type="dxa"/>
        <w:tblInd w:w="-9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50"/>
        <w:gridCol w:w="1995"/>
        <w:gridCol w:w="2970"/>
        <w:gridCol w:w="1410"/>
      </w:tblGrid>
      <w:tr w:rsidR="006D0435" w14:paraId="5C09DB4E" w14:textId="77777777" w:rsidTr="006D0435">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2850" w:type="dxa"/>
            <w:tcBorders>
              <w:top w:val="single" w:sz="8" w:space="0" w:color="BFBFBF"/>
              <w:left w:val="nil"/>
              <w:bottom w:val="single" w:sz="8" w:space="0" w:color="BFBFBF"/>
              <w:right w:val="nil"/>
            </w:tcBorders>
            <w:shd w:val="clear" w:color="auto" w:fill="FFFFFF"/>
          </w:tcPr>
          <w:p w14:paraId="7479AB3F"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Charge Method</w:t>
            </w:r>
          </w:p>
        </w:tc>
        <w:tc>
          <w:tcPr>
            <w:tcW w:w="1995" w:type="dxa"/>
            <w:tcBorders>
              <w:top w:val="single" w:sz="8" w:space="0" w:color="BFBFBF"/>
              <w:left w:val="nil"/>
              <w:bottom w:val="single" w:sz="8" w:space="0" w:color="BFBFBF"/>
              <w:right w:val="nil"/>
            </w:tcBorders>
            <w:shd w:val="clear" w:color="auto" w:fill="FFFFFF"/>
          </w:tcPr>
          <w:p w14:paraId="7AAB9136" w14:textId="77777777" w:rsidR="006D0435" w:rsidRDefault="000000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Volts</w:t>
            </w:r>
          </w:p>
        </w:tc>
        <w:tc>
          <w:tcPr>
            <w:tcW w:w="2970" w:type="dxa"/>
            <w:tcBorders>
              <w:top w:val="single" w:sz="8" w:space="0" w:color="BFBFBF"/>
              <w:left w:val="nil"/>
              <w:bottom w:val="single" w:sz="8" w:space="0" w:color="BFBFBF"/>
              <w:right w:val="nil"/>
            </w:tcBorders>
            <w:shd w:val="clear" w:color="auto" w:fill="FFFFFF"/>
          </w:tcPr>
          <w:p w14:paraId="22EEB23D" w14:textId="77777777" w:rsidR="006D0435" w:rsidRDefault="000000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Maximum Current</w:t>
            </w:r>
          </w:p>
          <w:p w14:paraId="3A389E1C" w14:textId="77777777" w:rsidR="006D0435" w:rsidRDefault="000000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(Amps- continuous)</w:t>
            </w:r>
          </w:p>
        </w:tc>
        <w:tc>
          <w:tcPr>
            <w:tcW w:w="1410" w:type="dxa"/>
            <w:tcBorders>
              <w:top w:val="single" w:sz="8" w:space="0" w:color="BFBFBF"/>
              <w:left w:val="nil"/>
              <w:bottom w:val="single" w:sz="8" w:space="0" w:color="BFBFBF"/>
              <w:right w:val="nil"/>
            </w:tcBorders>
            <w:shd w:val="clear" w:color="auto" w:fill="FFFFFF"/>
          </w:tcPr>
          <w:p w14:paraId="29166ABF" w14:textId="77777777" w:rsidR="006D0435" w:rsidRDefault="000000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Maximum Power</w:t>
            </w:r>
          </w:p>
        </w:tc>
      </w:tr>
      <w:tr w:rsidR="006D0435" w14:paraId="6A1207BD" w14:textId="77777777" w:rsidTr="006D0435">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850" w:type="dxa"/>
            <w:tcBorders>
              <w:top w:val="single" w:sz="8" w:space="0" w:color="BFBFBF"/>
              <w:left w:val="nil"/>
              <w:bottom w:val="nil"/>
              <w:right w:val="nil"/>
            </w:tcBorders>
            <w:shd w:val="clear" w:color="auto" w:fill="FFFFFF"/>
          </w:tcPr>
          <w:p w14:paraId="012F28D7" w14:textId="77777777" w:rsidR="006D0435"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val="0"/>
                <w:bCs w:val="0"/>
                <w:color w:val="000000"/>
                <w:sz w:val="24"/>
                <w:szCs w:val="24"/>
              </w:rPr>
              <w:t>AC Level 1</w:t>
            </w:r>
          </w:p>
        </w:tc>
        <w:tc>
          <w:tcPr>
            <w:tcW w:w="1995" w:type="dxa"/>
            <w:tcBorders>
              <w:top w:val="single" w:sz="8" w:space="0" w:color="BFBFBF"/>
              <w:left w:val="nil"/>
              <w:bottom w:val="nil"/>
              <w:right w:val="nil"/>
            </w:tcBorders>
            <w:shd w:val="clear" w:color="auto" w:fill="FFFFFF"/>
          </w:tcPr>
          <w:p w14:paraId="093E69FE" w14:textId="77777777" w:rsidR="006D0435"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120 V AC</w:t>
            </w:r>
          </w:p>
        </w:tc>
        <w:tc>
          <w:tcPr>
            <w:tcW w:w="2970" w:type="dxa"/>
            <w:tcBorders>
              <w:top w:val="single" w:sz="8" w:space="0" w:color="BFBFBF"/>
              <w:left w:val="nil"/>
              <w:bottom w:val="nil"/>
              <w:right w:val="nil"/>
            </w:tcBorders>
            <w:shd w:val="clear" w:color="auto" w:fill="FFFFFF"/>
          </w:tcPr>
          <w:p w14:paraId="3A74FD5B" w14:textId="77777777" w:rsidR="006D0435"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16A </w:t>
            </w:r>
          </w:p>
        </w:tc>
        <w:tc>
          <w:tcPr>
            <w:tcW w:w="1410" w:type="dxa"/>
            <w:tcBorders>
              <w:top w:val="single" w:sz="8" w:space="0" w:color="BFBFBF"/>
              <w:left w:val="nil"/>
              <w:bottom w:val="nil"/>
              <w:right w:val="nil"/>
            </w:tcBorders>
            <w:shd w:val="clear" w:color="auto" w:fill="FFFFFF"/>
          </w:tcPr>
          <w:p w14:paraId="3528675C" w14:textId="77777777" w:rsidR="006D0435"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 kW</w:t>
            </w:r>
          </w:p>
        </w:tc>
      </w:tr>
      <w:tr w:rsidR="006D0435" w14:paraId="1A34F93E" w14:textId="77777777" w:rsidTr="006D0435">
        <w:trPr>
          <w:trHeight w:val="497"/>
        </w:trPr>
        <w:tc>
          <w:tcPr>
            <w:cnfStyle w:val="001000000000" w:firstRow="0" w:lastRow="0" w:firstColumn="1" w:lastColumn="0" w:oddVBand="0" w:evenVBand="0" w:oddHBand="0" w:evenHBand="0" w:firstRowFirstColumn="0" w:firstRowLastColumn="0" w:lastRowFirstColumn="0" w:lastRowLastColumn="0"/>
            <w:tcW w:w="2850" w:type="dxa"/>
            <w:tcBorders>
              <w:top w:val="nil"/>
              <w:left w:val="nil"/>
              <w:bottom w:val="nil"/>
              <w:right w:val="nil"/>
            </w:tcBorders>
            <w:shd w:val="clear" w:color="auto" w:fill="FFFFFF"/>
          </w:tcPr>
          <w:p w14:paraId="50BFDD43" w14:textId="77777777" w:rsidR="006D0435"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val="0"/>
                <w:bCs w:val="0"/>
                <w:color w:val="000000"/>
                <w:sz w:val="24"/>
                <w:szCs w:val="24"/>
              </w:rPr>
              <w:t>AC Level 2</w:t>
            </w:r>
          </w:p>
        </w:tc>
        <w:tc>
          <w:tcPr>
            <w:tcW w:w="1995" w:type="dxa"/>
            <w:tcBorders>
              <w:top w:val="nil"/>
              <w:left w:val="nil"/>
              <w:bottom w:val="nil"/>
              <w:right w:val="nil"/>
            </w:tcBorders>
            <w:shd w:val="clear" w:color="auto" w:fill="FFFFFF"/>
          </w:tcPr>
          <w:p w14:paraId="6B9839FD" w14:textId="77777777" w:rsidR="006D043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120 V AC</w:t>
            </w:r>
          </w:p>
        </w:tc>
        <w:tc>
          <w:tcPr>
            <w:tcW w:w="2970" w:type="dxa"/>
            <w:tcBorders>
              <w:top w:val="nil"/>
              <w:left w:val="nil"/>
              <w:bottom w:val="nil"/>
              <w:right w:val="nil"/>
            </w:tcBorders>
            <w:shd w:val="clear" w:color="auto" w:fill="FFFFFF"/>
          </w:tcPr>
          <w:p w14:paraId="49F59945" w14:textId="77777777" w:rsidR="006D043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80A</w:t>
            </w:r>
          </w:p>
        </w:tc>
        <w:tc>
          <w:tcPr>
            <w:tcW w:w="1410" w:type="dxa"/>
            <w:tcBorders>
              <w:top w:val="nil"/>
              <w:left w:val="nil"/>
              <w:bottom w:val="nil"/>
              <w:right w:val="nil"/>
            </w:tcBorders>
            <w:shd w:val="clear" w:color="auto" w:fill="FFFFFF"/>
          </w:tcPr>
          <w:p w14:paraId="6E05B75E" w14:textId="77777777" w:rsidR="006D043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19.2 kW</w:t>
            </w:r>
          </w:p>
          <w:p w14:paraId="6C58800A" w14:textId="77777777" w:rsidR="006D0435" w:rsidRDefault="006D04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p>
        </w:tc>
      </w:tr>
      <w:tr w:rsidR="006D0435" w14:paraId="45C8A1A8" w14:textId="77777777" w:rsidTr="006D0435">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850" w:type="dxa"/>
            <w:tcBorders>
              <w:top w:val="nil"/>
              <w:left w:val="nil"/>
              <w:bottom w:val="nil"/>
              <w:right w:val="nil"/>
            </w:tcBorders>
            <w:shd w:val="clear" w:color="auto" w:fill="FFFFFF"/>
          </w:tcPr>
          <w:p w14:paraId="7D4A91DE" w14:textId="77777777" w:rsidR="006D0435"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val="0"/>
                <w:bCs w:val="0"/>
                <w:color w:val="000000"/>
                <w:sz w:val="24"/>
                <w:szCs w:val="24"/>
              </w:rPr>
              <w:t>DC Level 1</w:t>
            </w:r>
          </w:p>
        </w:tc>
        <w:tc>
          <w:tcPr>
            <w:tcW w:w="1995" w:type="dxa"/>
            <w:tcBorders>
              <w:top w:val="nil"/>
              <w:left w:val="nil"/>
              <w:bottom w:val="nil"/>
              <w:right w:val="nil"/>
            </w:tcBorders>
            <w:shd w:val="clear" w:color="auto" w:fill="FFFFFF"/>
          </w:tcPr>
          <w:p w14:paraId="30CAE364" w14:textId="77777777" w:rsidR="006D0435"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 to 500V DC maximum</w:t>
            </w:r>
          </w:p>
        </w:tc>
        <w:tc>
          <w:tcPr>
            <w:tcW w:w="2970" w:type="dxa"/>
            <w:tcBorders>
              <w:top w:val="nil"/>
              <w:left w:val="nil"/>
              <w:bottom w:val="nil"/>
              <w:right w:val="nil"/>
            </w:tcBorders>
            <w:shd w:val="clear" w:color="auto" w:fill="FFFFFF"/>
          </w:tcPr>
          <w:p w14:paraId="728242F9" w14:textId="77777777" w:rsidR="006D0435"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80A</w:t>
            </w:r>
          </w:p>
        </w:tc>
        <w:tc>
          <w:tcPr>
            <w:tcW w:w="1410" w:type="dxa"/>
            <w:tcBorders>
              <w:top w:val="nil"/>
              <w:left w:val="nil"/>
              <w:bottom w:val="nil"/>
              <w:right w:val="nil"/>
            </w:tcBorders>
            <w:shd w:val="clear" w:color="auto" w:fill="FFFFFF"/>
          </w:tcPr>
          <w:p w14:paraId="0A504DE3" w14:textId="77777777" w:rsidR="006D0435"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 kW</w:t>
            </w:r>
          </w:p>
        </w:tc>
      </w:tr>
      <w:tr w:rsidR="006D0435" w14:paraId="1D696F48" w14:textId="77777777" w:rsidTr="006D0435">
        <w:trPr>
          <w:trHeight w:val="691"/>
        </w:trPr>
        <w:tc>
          <w:tcPr>
            <w:cnfStyle w:val="001000000000" w:firstRow="0" w:lastRow="0" w:firstColumn="1" w:lastColumn="0" w:oddVBand="0" w:evenVBand="0" w:oddHBand="0" w:evenHBand="0" w:firstRowFirstColumn="0" w:firstRowLastColumn="0" w:lastRowFirstColumn="0" w:lastRowLastColumn="0"/>
            <w:tcW w:w="2850" w:type="dxa"/>
            <w:tcBorders>
              <w:top w:val="nil"/>
              <w:left w:val="nil"/>
              <w:bottom w:val="single" w:sz="8" w:space="0" w:color="BFBFBF"/>
              <w:right w:val="nil"/>
            </w:tcBorders>
            <w:shd w:val="clear" w:color="auto" w:fill="FFFFFF"/>
          </w:tcPr>
          <w:p w14:paraId="3CEE799B" w14:textId="77777777" w:rsidR="006D0435"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val="0"/>
                <w:bCs w:val="0"/>
                <w:color w:val="000000"/>
                <w:sz w:val="24"/>
                <w:szCs w:val="24"/>
              </w:rPr>
              <w:t>DC Level 2</w:t>
            </w:r>
          </w:p>
        </w:tc>
        <w:tc>
          <w:tcPr>
            <w:tcW w:w="1995" w:type="dxa"/>
            <w:tcBorders>
              <w:top w:val="nil"/>
              <w:left w:val="nil"/>
              <w:bottom w:val="single" w:sz="8" w:space="0" w:color="BFBFBF"/>
              <w:right w:val="nil"/>
            </w:tcBorders>
            <w:shd w:val="clear" w:color="auto" w:fill="FFFFFF"/>
          </w:tcPr>
          <w:p w14:paraId="23BC0567" w14:textId="77777777" w:rsidR="006D043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 to 500V DC maximum</w:t>
            </w:r>
          </w:p>
        </w:tc>
        <w:tc>
          <w:tcPr>
            <w:tcW w:w="2970" w:type="dxa"/>
            <w:tcBorders>
              <w:top w:val="nil"/>
              <w:left w:val="nil"/>
              <w:bottom w:val="single" w:sz="8" w:space="0" w:color="BFBFBF"/>
              <w:right w:val="nil"/>
            </w:tcBorders>
            <w:shd w:val="clear" w:color="auto" w:fill="FFFFFF"/>
          </w:tcPr>
          <w:p w14:paraId="7F280EF0" w14:textId="77777777" w:rsidR="006D043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200A</w:t>
            </w:r>
          </w:p>
        </w:tc>
        <w:tc>
          <w:tcPr>
            <w:tcW w:w="1410" w:type="dxa"/>
            <w:tcBorders>
              <w:top w:val="nil"/>
              <w:left w:val="nil"/>
              <w:bottom w:val="single" w:sz="8" w:space="0" w:color="BFBFBF"/>
              <w:right w:val="nil"/>
            </w:tcBorders>
            <w:shd w:val="clear" w:color="auto" w:fill="FFFFFF"/>
          </w:tcPr>
          <w:p w14:paraId="3ED21B2D" w14:textId="77777777" w:rsidR="006D043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kW</w:t>
            </w:r>
          </w:p>
        </w:tc>
      </w:tr>
    </w:tbl>
    <w:p w14:paraId="70DEE024" w14:textId="77777777" w:rsidR="006D0435" w:rsidRDefault="006D0435">
      <w:pPr>
        <w:spacing w:line="360" w:lineRule="auto"/>
        <w:rPr>
          <w:rFonts w:ascii="Times New Roman" w:eastAsia="Times New Roman" w:hAnsi="Times New Roman" w:cs="Times New Roman"/>
          <w:color w:val="000000"/>
          <w:sz w:val="24"/>
          <w:szCs w:val="24"/>
        </w:rPr>
      </w:pPr>
    </w:p>
    <w:p w14:paraId="3149ADC1" w14:textId="77777777" w:rsidR="006D0435"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F614D76" wp14:editId="72E5787D">
            <wp:extent cx="5769306" cy="3846204"/>
            <wp:effectExtent l="0" t="0" r="0" b="0"/>
            <wp:docPr id="3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31"/>
                    <a:srcRect/>
                    <a:stretch>
                      <a:fillRect/>
                    </a:stretch>
                  </pic:blipFill>
                  <pic:spPr>
                    <a:xfrm>
                      <a:off x="0" y="0"/>
                      <a:ext cx="5769306" cy="3846204"/>
                    </a:xfrm>
                    <a:prstGeom prst="rect">
                      <a:avLst/>
                    </a:prstGeom>
                    <a:ln/>
                  </pic:spPr>
                </pic:pic>
              </a:graphicData>
            </a:graphic>
          </wp:inline>
        </w:drawing>
      </w:r>
    </w:p>
    <w:p w14:paraId="729B9582"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Fig. X. Major EV charging connector standards (based on [3],[6])</w:t>
      </w:r>
    </w:p>
    <w:p w14:paraId="55C3989B"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6.4 Charging Station Structure and Main Components</w:t>
      </w:r>
    </w:p>
    <w:p w14:paraId="4BC2603A"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A charging station is composed of up of several electrical subsystems, such as circuits for connecting transformers, power converters, protection devices, and control systems. A standard EV charging station has a grid connection, a transformer, a rectifier/inverter, a charging controller, and a charging connector. To keep people safe while they work, there must be safety devices including fuses, circuit breakers, and grounding systems. Because they use a lot of current and create a lot of heat, modern rapid charging stations also need cooling systems. [</w:t>
      </w:r>
      <w:r>
        <w:rPr>
          <w:rFonts w:ascii="Times New Roman" w:eastAsia="Times New Roman" w:hAnsi="Times New Roman" w:cs="Times New Roman"/>
          <w:sz w:val="24"/>
          <w:szCs w:val="24"/>
        </w:rPr>
        <w:t>116</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119</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t xml:space="preserve">Also, modern EV charging systems need infrastructure for communication and monitoring. For authentication, payment, defect detection, and smart scheduling, EVs, charging stations, and grid operators need to be able to talk to each other. Technologies like GSM, </w:t>
      </w:r>
      <w:proofErr w:type="spellStart"/>
      <w:r>
        <w:rPr>
          <w:rFonts w:ascii="Times New Roman" w:eastAsia="Times New Roman" w:hAnsi="Times New Roman" w:cs="Times New Roman"/>
          <w:color w:val="000000"/>
          <w:sz w:val="24"/>
          <w:szCs w:val="24"/>
        </w:rPr>
        <w:t>WiFi</w:t>
      </w:r>
      <w:proofErr w:type="spellEnd"/>
      <w:r>
        <w:rPr>
          <w:rFonts w:ascii="Times New Roman" w:eastAsia="Times New Roman" w:hAnsi="Times New Roman" w:cs="Times New Roman"/>
          <w:color w:val="000000"/>
          <w:sz w:val="24"/>
          <w:szCs w:val="24"/>
        </w:rPr>
        <w:t>, ZigBee, and improved metering infrastructure make it possible to monitor things in real time and manage charging from a distance. These kinds of communication systems make it possible for EV charging to work with smart grids. [</w:t>
      </w:r>
      <w:r>
        <w:rPr>
          <w:rFonts w:ascii="Times New Roman" w:eastAsia="Times New Roman" w:hAnsi="Times New Roman" w:cs="Times New Roman"/>
          <w:sz w:val="24"/>
          <w:szCs w:val="24"/>
        </w:rPr>
        <w:t>117</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119</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122</w:t>
      </w:r>
      <w:r>
        <w:rPr>
          <w:rFonts w:ascii="Times New Roman" w:eastAsia="Times New Roman" w:hAnsi="Times New Roman" w:cs="Times New Roman"/>
          <w:color w:val="000000"/>
          <w:sz w:val="24"/>
          <w:szCs w:val="24"/>
        </w:rPr>
        <w:t>]</w:t>
      </w:r>
    </w:p>
    <w:p w14:paraId="7AF27CD0" w14:textId="77777777" w:rsidR="006D0435"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84C3E55" wp14:editId="50002483">
            <wp:extent cx="5943600" cy="657225"/>
            <wp:effectExtent l="0" t="0" r="0" b="0"/>
            <wp:docPr id="3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2"/>
                    <a:srcRect t="27778" b="29630"/>
                    <a:stretch>
                      <a:fillRect/>
                    </a:stretch>
                  </pic:blipFill>
                  <pic:spPr>
                    <a:xfrm>
                      <a:off x="0" y="0"/>
                      <a:ext cx="5943600" cy="657225"/>
                    </a:xfrm>
                    <a:prstGeom prst="rect">
                      <a:avLst/>
                    </a:prstGeom>
                    <a:ln/>
                  </pic:spPr>
                </pic:pic>
              </a:graphicData>
            </a:graphic>
          </wp:inline>
        </w:drawing>
      </w:r>
    </w:p>
    <w:p w14:paraId="43AB3F68" w14:textId="77777777" w:rsidR="006D0435"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 X. Basic block diagram of an EV charging station</w:t>
      </w:r>
    </w:p>
    <w:p w14:paraId="1BAC5EC3" w14:textId="77777777" w:rsidR="006D0435" w:rsidRDefault="00000000">
      <w:pPr>
        <w:spacing w:line="360" w:lineRule="auto"/>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i/>
          <w:iCs/>
          <w:noProof/>
          <w:color w:val="000000"/>
          <w:sz w:val="24"/>
          <w:szCs w:val="24"/>
        </w:rPr>
        <w:drawing>
          <wp:inline distT="0" distB="0" distL="0" distR="0" wp14:anchorId="30858311" wp14:editId="0D01F5FA">
            <wp:extent cx="5943600" cy="3333750"/>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33"/>
                    <a:srcRect t="2981" b="2168"/>
                    <a:stretch>
                      <a:fillRect/>
                    </a:stretch>
                  </pic:blipFill>
                  <pic:spPr>
                    <a:xfrm>
                      <a:off x="0" y="0"/>
                      <a:ext cx="5943600" cy="3333750"/>
                    </a:xfrm>
                    <a:prstGeom prst="rect">
                      <a:avLst/>
                    </a:prstGeom>
                    <a:ln/>
                  </pic:spPr>
                </pic:pic>
              </a:graphicData>
            </a:graphic>
          </wp:inline>
        </w:drawing>
      </w:r>
    </w:p>
    <w:p w14:paraId="3EBC1A7C" w14:textId="77777777" w:rsidR="006D0435"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Fig.  Communication and monitoring framework for smart EV charging and grid </w:t>
      </w:r>
      <w:proofErr w:type="gramStart"/>
      <w:r>
        <w:rPr>
          <w:rFonts w:ascii="Times New Roman" w:eastAsia="Times New Roman" w:hAnsi="Times New Roman" w:cs="Times New Roman"/>
          <w:color w:val="000000"/>
          <w:sz w:val="24"/>
          <w:szCs w:val="24"/>
        </w:rPr>
        <w:t>management(</w:t>
      </w:r>
      <w:proofErr w:type="gramEnd"/>
      <w:r>
        <w:rPr>
          <w:rFonts w:ascii="Times New Roman" w:eastAsia="Times New Roman" w:hAnsi="Times New Roman" w:cs="Times New Roman"/>
          <w:color w:val="000000"/>
          <w:sz w:val="24"/>
          <w:szCs w:val="24"/>
        </w:rPr>
        <w:t xml:space="preserve">adopted from </w:t>
      </w:r>
      <w:hyperlink r:id="rId234">
        <w:r>
          <w:rPr>
            <w:rFonts w:ascii="Times New Roman" w:eastAsia="Times New Roman" w:hAnsi="Times New Roman" w:cs="Times New Roman"/>
            <w:color w:val="000000"/>
            <w:sz w:val="24"/>
            <w:szCs w:val="24"/>
            <w:u w:val="single"/>
          </w:rPr>
          <w:t>https://doi.org/10.1016/j.rser.2019.109618</w:t>
        </w:r>
      </w:hyperlink>
      <w:r>
        <w:rPr>
          <w:rFonts w:ascii="Times New Roman" w:eastAsia="Times New Roman" w:hAnsi="Times New Roman" w:cs="Times New Roman"/>
          <w:color w:val="000000"/>
          <w:sz w:val="24"/>
          <w:szCs w:val="24"/>
        </w:rPr>
        <w:t>)</w:t>
      </w:r>
    </w:p>
    <w:p w14:paraId="5150D100"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6.5 Grid Interaction and Electricity Demand Increase</w:t>
      </w:r>
    </w:p>
    <w:p w14:paraId="246ED18E"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When we charge an electric vehicle, it adds more load to the distribution network which means it interacts directly with the power grid. Unlike regular household loads, EV charging uses a lot of power for a long time. When a lot of electric vehicles (EVs) charge at the same time, especially during the evening rush hour, it puts more strain on feeders and increases peak demand. This could cause distribution feeders to become crowded and put more strain on transformers and substations. Studies show that unmanaged EV charging can greatly increase the peak demand on the system and make the grid less reliable. [</w:t>
      </w:r>
      <w:r>
        <w:rPr>
          <w:rFonts w:ascii="Times New Roman" w:eastAsia="Times New Roman" w:hAnsi="Times New Roman" w:cs="Times New Roman"/>
          <w:sz w:val="24"/>
          <w:szCs w:val="24"/>
        </w:rPr>
        <w:t>117</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123</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124</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t xml:space="preserve">A smart </w:t>
      </w:r>
      <w:proofErr w:type="gramStart"/>
      <w:r>
        <w:rPr>
          <w:rFonts w:ascii="Times New Roman" w:eastAsia="Times New Roman" w:hAnsi="Times New Roman" w:cs="Times New Roman"/>
          <w:color w:val="000000"/>
          <w:sz w:val="24"/>
          <w:szCs w:val="24"/>
        </w:rPr>
        <w:t>grid based</w:t>
      </w:r>
      <w:proofErr w:type="gramEnd"/>
      <w:r>
        <w:rPr>
          <w:rFonts w:ascii="Times New Roman" w:eastAsia="Times New Roman" w:hAnsi="Times New Roman" w:cs="Times New Roman"/>
          <w:color w:val="000000"/>
          <w:sz w:val="24"/>
          <w:szCs w:val="24"/>
        </w:rPr>
        <w:t xml:space="preserve"> system describes how EV charging and the grid work together. EV charging stations link to the distribution feeder and are watched over through wired and wireless communication. The kind of charging (AC or DC), the timetable for charging, the location of the charging station, and the level of EV penetration all have a big effect on this grid interaction. So, charging electric vehicles is now seen as a crucial aspect of how new smart grids work. [</w:t>
      </w:r>
      <w:r>
        <w:rPr>
          <w:rFonts w:ascii="Times New Roman" w:eastAsia="Times New Roman" w:hAnsi="Times New Roman" w:cs="Times New Roman"/>
          <w:sz w:val="24"/>
          <w:szCs w:val="24"/>
        </w:rPr>
        <w:t>119</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123</w:t>
      </w:r>
      <w:r>
        <w:rPr>
          <w:rFonts w:ascii="Times New Roman" w:eastAsia="Times New Roman" w:hAnsi="Times New Roman" w:cs="Times New Roman"/>
          <w:color w:val="000000"/>
          <w:sz w:val="24"/>
          <w:szCs w:val="24"/>
        </w:rPr>
        <w:t>]</w:t>
      </w:r>
    </w:p>
    <w:p w14:paraId="4A6A0549" w14:textId="77777777" w:rsidR="006D0435" w:rsidRDefault="006D0435">
      <w:pPr>
        <w:spacing w:line="360" w:lineRule="auto"/>
        <w:rPr>
          <w:rFonts w:ascii="Times New Roman" w:eastAsia="Times New Roman" w:hAnsi="Times New Roman" w:cs="Times New Roman"/>
          <w:color w:val="000000"/>
          <w:sz w:val="24"/>
          <w:szCs w:val="24"/>
        </w:rPr>
      </w:pPr>
    </w:p>
    <w:p w14:paraId="60598D0C" w14:textId="77777777" w:rsidR="006D0435"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F462049" wp14:editId="6051474A">
            <wp:extent cx="5714969" cy="4961521"/>
            <wp:effectExtent l="0" t="0" r="0" b="0"/>
            <wp:docPr id="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35"/>
                    <a:srcRect/>
                    <a:stretch>
                      <a:fillRect/>
                    </a:stretch>
                  </pic:blipFill>
                  <pic:spPr>
                    <a:xfrm>
                      <a:off x="0" y="0"/>
                      <a:ext cx="5714969" cy="4961521"/>
                    </a:xfrm>
                    <a:prstGeom prst="rect">
                      <a:avLst/>
                    </a:prstGeom>
                    <a:ln/>
                  </pic:spPr>
                </pic:pic>
              </a:graphicData>
            </a:graphic>
          </wp:inline>
        </w:drawing>
      </w:r>
    </w:p>
    <w:p w14:paraId="6684E2CB" w14:textId="77777777" w:rsidR="006D0435"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Fig. Smart </w:t>
      </w:r>
      <w:proofErr w:type="gramStart"/>
      <w:r>
        <w:rPr>
          <w:rFonts w:ascii="Times New Roman" w:eastAsia="Times New Roman" w:hAnsi="Times New Roman" w:cs="Times New Roman"/>
          <w:color w:val="000000"/>
          <w:sz w:val="24"/>
          <w:szCs w:val="24"/>
        </w:rPr>
        <w:t>grid based</w:t>
      </w:r>
      <w:proofErr w:type="gramEnd"/>
      <w:r>
        <w:rPr>
          <w:rFonts w:ascii="Times New Roman" w:eastAsia="Times New Roman" w:hAnsi="Times New Roman" w:cs="Times New Roman"/>
          <w:color w:val="000000"/>
          <w:sz w:val="24"/>
          <w:szCs w:val="24"/>
        </w:rPr>
        <w:t xml:space="preserve"> EV charging interaction with generation, transmission and distribution networks (adopted from </w:t>
      </w:r>
      <w:hyperlink r:id="rId236">
        <w:r>
          <w:rPr>
            <w:rFonts w:ascii="Times New Roman" w:eastAsia="Times New Roman" w:hAnsi="Times New Roman" w:cs="Times New Roman"/>
            <w:color w:val="000000"/>
            <w:sz w:val="24"/>
            <w:szCs w:val="24"/>
            <w:u w:val="single"/>
          </w:rPr>
          <w:t>https://doi.org/10.1016/j.rser.2019.109618</w:t>
        </w:r>
      </w:hyperlink>
      <w:r>
        <w:rPr>
          <w:rFonts w:ascii="Times New Roman" w:eastAsia="Times New Roman" w:hAnsi="Times New Roman" w:cs="Times New Roman"/>
          <w:color w:val="000000"/>
          <w:sz w:val="24"/>
          <w:szCs w:val="24"/>
        </w:rPr>
        <w:t>)</w:t>
      </w:r>
    </w:p>
    <w:p w14:paraId="12FD72FF"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6.6 Major Grid Challenges Due to EV Charging</w:t>
      </w:r>
    </w:p>
    <w:p w14:paraId="20314DAC"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There are many problems with adding large scale EV charging to distribution networks. The biggest problem is that peak load is growing. Charging electric vehicles at different times could increase demand at peak hours in the evening, which means that more capacity is needed to generate and distribute electricity. [2], [8] </w:t>
      </w:r>
      <w:r>
        <w:rPr>
          <w:rFonts w:ascii="Times New Roman" w:eastAsia="Times New Roman" w:hAnsi="Times New Roman" w:cs="Times New Roman"/>
          <w:color w:val="000000"/>
          <w:sz w:val="24"/>
          <w:szCs w:val="24"/>
        </w:rPr>
        <w:br/>
        <w:t>Another big problem is that transformers are too full. Distribution transformers are made to handle typical loads, but charging an electric vehicle (EV) puts a constant high current demand on them. This can make them heat up faster and limit their lifespan. [</w:t>
      </w:r>
      <w:r>
        <w:rPr>
          <w:rFonts w:ascii="Times New Roman" w:eastAsia="Times New Roman" w:hAnsi="Times New Roman" w:cs="Times New Roman"/>
          <w:sz w:val="24"/>
          <w:szCs w:val="24"/>
        </w:rPr>
        <w:t>123</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124</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t>A drop in voltage is also typical, especially for weak distribution feeders. A lot of charging current can lower the voltage at end-user nodes, which can make the grid less stable and less trustworthy for charging. Also, fast chargers use power electronic converters that can cause difficulties with reactive power and harmonic distortion, which can make the power quality not satisfactory. [</w:t>
      </w:r>
      <w:r>
        <w:rPr>
          <w:rFonts w:ascii="Times New Roman" w:eastAsia="Times New Roman" w:hAnsi="Times New Roman" w:cs="Times New Roman"/>
          <w:sz w:val="24"/>
          <w:szCs w:val="24"/>
        </w:rPr>
        <w:t>117</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124</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t>Building fast charging infrastructure is also quite expensive, and it may require improvements to transformers, feeders, and substations to make the grid stronger. Studies of the economy point out that it costs a lot to create more charging stations when the grid needs to be strengthened. [1</w:t>
      </w:r>
      <w:r>
        <w:rPr>
          <w:rFonts w:ascii="Times New Roman" w:eastAsia="Times New Roman" w:hAnsi="Times New Roman" w:cs="Times New Roman"/>
          <w:sz w:val="24"/>
          <w:szCs w:val="24"/>
        </w:rPr>
        <w:t>25</w:t>
      </w:r>
      <w:r>
        <w:rPr>
          <w:rFonts w:ascii="Times New Roman" w:eastAsia="Times New Roman" w:hAnsi="Times New Roman" w:cs="Times New Roman"/>
          <w:color w:val="000000"/>
          <w:sz w:val="24"/>
          <w:szCs w:val="24"/>
        </w:rPr>
        <w:t>], [1</w:t>
      </w:r>
      <w:r>
        <w:rPr>
          <w:rFonts w:ascii="Times New Roman" w:eastAsia="Times New Roman" w:hAnsi="Times New Roman" w:cs="Times New Roman"/>
          <w:sz w:val="24"/>
          <w:szCs w:val="24"/>
        </w:rPr>
        <w:t>26</w:t>
      </w:r>
      <w:r>
        <w:rPr>
          <w:rFonts w:ascii="Times New Roman" w:eastAsia="Times New Roman" w:hAnsi="Times New Roman" w:cs="Times New Roman"/>
          <w:color w:val="000000"/>
          <w:sz w:val="24"/>
          <w:szCs w:val="24"/>
        </w:rPr>
        <w:t>]</w:t>
      </w:r>
    </w:p>
    <w:p w14:paraId="1E7D7955"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Table: </w:t>
      </w:r>
      <w:r>
        <w:rPr>
          <w:rFonts w:ascii="Times New Roman" w:eastAsia="Times New Roman" w:hAnsi="Times New Roman" w:cs="Times New Roman"/>
          <w:color w:val="000000"/>
          <w:sz w:val="24"/>
          <w:szCs w:val="24"/>
        </w:rPr>
        <w:t xml:space="preserve">Summary of EV charging impact on distribution grid </w:t>
      </w:r>
    </w:p>
    <w:tbl>
      <w:tblPr>
        <w:tblStyle w:val="a6"/>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85"/>
        <w:gridCol w:w="3270"/>
        <w:gridCol w:w="3285"/>
      </w:tblGrid>
      <w:tr w:rsidR="006D0435" w14:paraId="1B27A5E7" w14:textId="77777777">
        <w:trPr>
          <w:trHeight w:val="260"/>
        </w:trPr>
        <w:tc>
          <w:tcPr>
            <w:tcW w:w="3285" w:type="dxa"/>
            <w:tcBorders>
              <w:top w:val="single" w:sz="8" w:space="0" w:color="000000"/>
              <w:left w:val="nil"/>
              <w:bottom w:val="single" w:sz="8" w:space="0" w:color="000000"/>
              <w:right w:val="nil"/>
            </w:tcBorders>
          </w:tcPr>
          <w:p w14:paraId="4EA46E0C" w14:textId="77777777" w:rsidR="006D0435" w:rsidRDefault="00000000">
            <w:pPr>
              <w:spacing w:line="360" w:lineRule="auto"/>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Grid Problem</w:t>
            </w:r>
          </w:p>
        </w:tc>
        <w:tc>
          <w:tcPr>
            <w:tcW w:w="3270" w:type="dxa"/>
            <w:tcBorders>
              <w:top w:val="single" w:sz="8" w:space="0" w:color="000000"/>
              <w:left w:val="nil"/>
              <w:bottom w:val="single" w:sz="8" w:space="0" w:color="000000"/>
              <w:right w:val="nil"/>
            </w:tcBorders>
          </w:tcPr>
          <w:p w14:paraId="151E96BB" w14:textId="77777777" w:rsidR="006D0435" w:rsidRDefault="00000000">
            <w:pPr>
              <w:spacing w:line="360" w:lineRule="auto"/>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Cause</w:t>
            </w:r>
          </w:p>
        </w:tc>
        <w:tc>
          <w:tcPr>
            <w:tcW w:w="3285" w:type="dxa"/>
            <w:tcBorders>
              <w:top w:val="single" w:sz="8" w:space="0" w:color="000000"/>
              <w:left w:val="nil"/>
              <w:bottom w:val="single" w:sz="8" w:space="0" w:color="000000"/>
              <w:right w:val="nil"/>
            </w:tcBorders>
          </w:tcPr>
          <w:p w14:paraId="51894BA4" w14:textId="77777777" w:rsidR="006D0435" w:rsidRDefault="00000000">
            <w:pPr>
              <w:spacing w:line="360" w:lineRule="auto"/>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Possible Impact</w:t>
            </w:r>
          </w:p>
        </w:tc>
      </w:tr>
      <w:tr w:rsidR="006D0435" w14:paraId="4C4DEDF3" w14:textId="77777777">
        <w:trPr>
          <w:trHeight w:val="260"/>
        </w:trPr>
        <w:tc>
          <w:tcPr>
            <w:tcW w:w="3285" w:type="dxa"/>
            <w:tcBorders>
              <w:top w:val="single" w:sz="8" w:space="0" w:color="000000"/>
              <w:left w:val="nil"/>
              <w:bottom w:val="nil"/>
              <w:right w:val="nil"/>
            </w:tcBorders>
          </w:tcPr>
          <w:p w14:paraId="5B1441CB"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Peak load increase</w:t>
            </w:r>
          </w:p>
        </w:tc>
        <w:tc>
          <w:tcPr>
            <w:tcW w:w="3270" w:type="dxa"/>
            <w:tcBorders>
              <w:top w:val="single" w:sz="8" w:space="0" w:color="000000"/>
              <w:left w:val="nil"/>
              <w:bottom w:val="nil"/>
              <w:right w:val="nil"/>
            </w:tcBorders>
          </w:tcPr>
          <w:p w14:paraId="332CEF66"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simultaneous charging</w:t>
            </w:r>
          </w:p>
        </w:tc>
        <w:tc>
          <w:tcPr>
            <w:tcW w:w="3285" w:type="dxa"/>
            <w:tcBorders>
              <w:top w:val="single" w:sz="8" w:space="0" w:color="000000"/>
              <w:left w:val="nil"/>
              <w:bottom w:val="nil"/>
              <w:right w:val="nil"/>
            </w:tcBorders>
          </w:tcPr>
          <w:p w14:paraId="5DE8F00C"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higher electricity cost</w:t>
            </w:r>
          </w:p>
        </w:tc>
      </w:tr>
      <w:tr w:rsidR="006D0435" w14:paraId="1A19634F" w14:textId="77777777">
        <w:trPr>
          <w:trHeight w:val="260"/>
        </w:trPr>
        <w:tc>
          <w:tcPr>
            <w:tcW w:w="3285" w:type="dxa"/>
            <w:tcBorders>
              <w:top w:val="nil"/>
              <w:left w:val="nil"/>
              <w:bottom w:val="nil"/>
              <w:right w:val="nil"/>
            </w:tcBorders>
          </w:tcPr>
          <w:p w14:paraId="64AE6B33"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Transformer overload</w:t>
            </w:r>
          </w:p>
        </w:tc>
        <w:tc>
          <w:tcPr>
            <w:tcW w:w="3270" w:type="dxa"/>
            <w:tcBorders>
              <w:top w:val="nil"/>
              <w:left w:val="nil"/>
              <w:bottom w:val="nil"/>
              <w:right w:val="nil"/>
            </w:tcBorders>
          </w:tcPr>
          <w:p w14:paraId="12538143"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high continuous current</w:t>
            </w:r>
          </w:p>
        </w:tc>
        <w:tc>
          <w:tcPr>
            <w:tcW w:w="3285" w:type="dxa"/>
            <w:tcBorders>
              <w:top w:val="nil"/>
              <w:left w:val="nil"/>
              <w:bottom w:val="nil"/>
              <w:right w:val="nil"/>
            </w:tcBorders>
          </w:tcPr>
          <w:p w14:paraId="289292E0"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overheating, reduced lifetime</w:t>
            </w:r>
          </w:p>
        </w:tc>
      </w:tr>
      <w:tr w:rsidR="006D0435" w14:paraId="677D1068" w14:textId="77777777">
        <w:trPr>
          <w:trHeight w:val="260"/>
        </w:trPr>
        <w:tc>
          <w:tcPr>
            <w:tcW w:w="3285" w:type="dxa"/>
            <w:tcBorders>
              <w:top w:val="nil"/>
              <w:left w:val="nil"/>
              <w:bottom w:val="nil"/>
              <w:right w:val="nil"/>
            </w:tcBorders>
          </w:tcPr>
          <w:p w14:paraId="5B038F8F"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Voltage </w:t>
            </w:r>
            <w:proofErr w:type="gramStart"/>
            <w:r>
              <w:rPr>
                <w:rFonts w:ascii="Times New Roman" w:eastAsia="Times New Roman" w:hAnsi="Times New Roman" w:cs="Times New Roman"/>
                <w:color w:val="000000"/>
                <w:sz w:val="16"/>
                <w:szCs w:val="16"/>
              </w:rPr>
              <w:t>drop</w:t>
            </w:r>
            <w:proofErr w:type="gramEnd"/>
          </w:p>
        </w:tc>
        <w:tc>
          <w:tcPr>
            <w:tcW w:w="3270" w:type="dxa"/>
            <w:tcBorders>
              <w:top w:val="nil"/>
              <w:left w:val="nil"/>
              <w:bottom w:val="nil"/>
              <w:right w:val="nil"/>
            </w:tcBorders>
          </w:tcPr>
          <w:p w14:paraId="32A75431"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weak distribution feeder</w:t>
            </w:r>
          </w:p>
        </w:tc>
        <w:tc>
          <w:tcPr>
            <w:tcW w:w="3285" w:type="dxa"/>
            <w:tcBorders>
              <w:top w:val="nil"/>
              <w:left w:val="nil"/>
              <w:bottom w:val="nil"/>
              <w:right w:val="nil"/>
            </w:tcBorders>
          </w:tcPr>
          <w:p w14:paraId="58559D36"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unstable charging</w:t>
            </w:r>
          </w:p>
        </w:tc>
      </w:tr>
      <w:tr w:rsidR="006D0435" w14:paraId="7D585A54" w14:textId="77777777">
        <w:trPr>
          <w:trHeight w:val="360"/>
        </w:trPr>
        <w:tc>
          <w:tcPr>
            <w:tcW w:w="3285" w:type="dxa"/>
            <w:tcBorders>
              <w:top w:val="nil"/>
              <w:left w:val="nil"/>
              <w:bottom w:val="nil"/>
              <w:right w:val="nil"/>
            </w:tcBorders>
          </w:tcPr>
          <w:p w14:paraId="43EB6649"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Harmonics</w:t>
            </w:r>
          </w:p>
        </w:tc>
        <w:tc>
          <w:tcPr>
            <w:tcW w:w="3270" w:type="dxa"/>
            <w:tcBorders>
              <w:top w:val="nil"/>
              <w:left w:val="nil"/>
              <w:bottom w:val="nil"/>
              <w:right w:val="nil"/>
            </w:tcBorders>
          </w:tcPr>
          <w:p w14:paraId="38BFC5B4"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power electronics</w:t>
            </w:r>
          </w:p>
        </w:tc>
        <w:tc>
          <w:tcPr>
            <w:tcW w:w="3285" w:type="dxa"/>
            <w:tcBorders>
              <w:top w:val="nil"/>
              <w:left w:val="nil"/>
              <w:bottom w:val="nil"/>
              <w:right w:val="nil"/>
            </w:tcBorders>
          </w:tcPr>
          <w:p w14:paraId="3010534C"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power quality reduction</w:t>
            </w:r>
          </w:p>
        </w:tc>
      </w:tr>
      <w:tr w:rsidR="006D0435" w14:paraId="053D6CAA" w14:textId="77777777">
        <w:trPr>
          <w:trHeight w:val="269"/>
        </w:trPr>
        <w:tc>
          <w:tcPr>
            <w:tcW w:w="3285" w:type="dxa"/>
            <w:tcBorders>
              <w:top w:val="nil"/>
              <w:left w:val="nil"/>
              <w:bottom w:val="single" w:sz="8" w:space="0" w:color="000000"/>
              <w:right w:val="nil"/>
            </w:tcBorders>
          </w:tcPr>
          <w:p w14:paraId="418E52E9"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Upgrade cost</w:t>
            </w:r>
          </w:p>
        </w:tc>
        <w:tc>
          <w:tcPr>
            <w:tcW w:w="3270" w:type="dxa"/>
            <w:tcBorders>
              <w:top w:val="nil"/>
              <w:left w:val="nil"/>
              <w:bottom w:val="single" w:sz="8" w:space="0" w:color="000000"/>
              <w:right w:val="nil"/>
            </w:tcBorders>
          </w:tcPr>
          <w:p w14:paraId="0C0F7B01"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high-power fast chargers</w:t>
            </w:r>
          </w:p>
        </w:tc>
        <w:tc>
          <w:tcPr>
            <w:tcW w:w="3285" w:type="dxa"/>
            <w:tcBorders>
              <w:top w:val="nil"/>
              <w:left w:val="nil"/>
              <w:bottom w:val="single" w:sz="8" w:space="0" w:color="000000"/>
              <w:right w:val="nil"/>
            </w:tcBorders>
          </w:tcPr>
          <w:p w14:paraId="48EE9E58" w14:textId="77777777" w:rsidR="006D0435" w:rsidRDefault="00000000">
            <w:pPr>
              <w:spacing w:line="36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high investment</w:t>
            </w:r>
          </w:p>
        </w:tc>
      </w:tr>
    </w:tbl>
    <w:p w14:paraId="207E6F4E"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noProof/>
          <w:color w:val="000000"/>
          <w:sz w:val="24"/>
          <w:szCs w:val="24"/>
        </w:rPr>
        <w:drawing>
          <wp:inline distT="0" distB="0" distL="0" distR="0" wp14:anchorId="2928D99F" wp14:editId="1F316648">
            <wp:extent cx="6146703" cy="3240809"/>
            <wp:effectExtent l="0" t="0" r="0" b="0"/>
            <wp:docPr id="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37"/>
                    <a:srcRect/>
                    <a:stretch>
                      <a:fillRect/>
                    </a:stretch>
                  </pic:blipFill>
                  <pic:spPr>
                    <a:xfrm>
                      <a:off x="0" y="0"/>
                      <a:ext cx="6146703" cy="3240809"/>
                    </a:xfrm>
                    <a:prstGeom prst="rect">
                      <a:avLst/>
                    </a:prstGeom>
                    <a:ln/>
                  </pic:spPr>
                </pic:pic>
              </a:graphicData>
            </a:graphic>
          </wp:inline>
        </w:drawing>
      </w:r>
    </w:p>
    <w:p w14:paraId="2D80C9FF"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6.7 Smart Charging and Demand Management</w:t>
      </w:r>
    </w:p>
    <w:p w14:paraId="40D1FA21"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Smart charging could help relieve the strain on the grid by permitting us choose the charging time and pace. Smart charging shifts the demand for charging to times when there isn't as much demand, instead of charging right away after plugging in. This minimizes peak demand makes transformer loading more even and maintains the voltage profile consistent. Studies show that combined charging can greatly improve the dependability of the grid and lower the costs of strengthening infrastructure. [</w:t>
      </w:r>
      <w:r>
        <w:rPr>
          <w:rFonts w:ascii="Times New Roman" w:eastAsia="Times New Roman" w:hAnsi="Times New Roman" w:cs="Times New Roman"/>
          <w:sz w:val="24"/>
          <w:szCs w:val="24"/>
        </w:rPr>
        <w:t>117</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123</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127</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t>We may regulate smart charging by using a centralized, hierarchical, or decentralized system. Centralized control makes it easy to plan things but it needs strong communication and a lot of computational power. Decentralized control makes it easier to grow and not depends as much on communication. These control designs let grid operators deal with EV demand in a rational way. [</w:t>
      </w:r>
      <w:r>
        <w:rPr>
          <w:rFonts w:ascii="Times New Roman" w:eastAsia="Times New Roman" w:hAnsi="Times New Roman" w:cs="Times New Roman"/>
          <w:sz w:val="24"/>
          <w:szCs w:val="24"/>
        </w:rPr>
        <w:t>119</w:t>
      </w:r>
      <w:r>
        <w:rPr>
          <w:rFonts w:ascii="Times New Roman" w:eastAsia="Times New Roman" w:hAnsi="Times New Roman" w:cs="Times New Roman"/>
          <w:color w:val="000000"/>
          <w:sz w:val="24"/>
          <w:szCs w:val="24"/>
        </w:rPr>
        <w:t>], [1</w:t>
      </w:r>
      <w:r>
        <w:rPr>
          <w:rFonts w:ascii="Times New Roman" w:eastAsia="Times New Roman" w:hAnsi="Times New Roman" w:cs="Times New Roman"/>
          <w:sz w:val="24"/>
          <w:szCs w:val="24"/>
        </w:rPr>
        <w:t>27</w:t>
      </w:r>
      <w:r>
        <w:rPr>
          <w:rFonts w:ascii="Times New Roman" w:eastAsia="Times New Roman" w:hAnsi="Times New Roman" w:cs="Times New Roman"/>
          <w:color w:val="000000"/>
          <w:sz w:val="24"/>
          <w:szCs w:val="24"/>
        </w:rPr>
        <w:t>]</w:t>
      </w:r>
    </w:p>
    <w:p w14:paraId="52758A32" w14:textId="77777777" w:rsidR="006D0435"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52D9081" wp14:editId="000D6F1F">
            <wp:extent cx="5943600" cy="2940050"/>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8"/>
                    <a:srcRect/>
                    <a:stretch>
                      <a:fillRect/>
                    </a:stretch>
                  </pic:blipFill>
                  <pic:spPr>
                    <a:xfrm>
                      <a:off x="0" y="0"/>
                      <a:ext cx="5943600" cy="2940050"/>
                    </a:xfrm>
                    <a:prstGeom prst="rect">
                      <a:avLst/>
                    </a:prstGeom>
                    <a:ln/>
                  </pic:spPr>
                </pic:pic>
              </a:graphicData>
            </a:graphic>
          </wp:inline>
        </w:drawing>
      </w:r>
    </w:p>
    <w:p w14:paraId="02438193" w14:textId="77777777" w:rsidR="006D0435" w:rsidRDefault="00000000">
      <w:pP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i/>
          <w:iCs/>
          <w:color w:val="000000"/>
          <w:sz w:val="24"/>
          <w:szCs w:val="24"/>
        </w:rPr>
        <w:t>Fig. 15. Uncontrolled vs coordinated charging load profile showing peak demand increase</w:t>
      </w:r>
    </w:p>
    <w:p w14:paraId="72CE9CF8"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6.8 Vehicle to Grid (V2G) and Bidirectional Charging</w:t>
      </w:r>
    </w:p>
    <w:p w14:paraId="7B68DB9D" w14:textId="77777777" w:rsidR="006D043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Vehicle to the electrical grid (V2G) is a revolutionary charging system that lets EV batteries send power back to the grid. This lets electric vehicles (EVs) work as distributed energy storage devices, which can help with peak shaving, frequency management, and backup power in case of an emergency. V2G can also help in integrating renewable energy by storing extra energy and giving it to the grid when demand is high. [</w:t>
      </w:r>
      <w:r>
        <w:rPr>
          <w:rFonts w:ascii="Times New Roman" w:eastAsia="Times New Roman" w:hAnsi="Times New Roman" w:cs="Times New Roman"/>
          <w:sz w:val="24"/>
          <w:szCs w:val="24"/>
        </w:rPr>
        <w:t>117</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123</w:t>
      </w:r>
      <w:r>
        <w:rPr>
          <w:rFonts w:ascii="Times New Roman" w:eastAsia="Times New Roman" w:hAnsi="Times New Roman" w:cs="Times New Roman"/>
          <w:color w:val="000000"/>
          <w:sz w:val="24"/>
          <w:szCs w:val="24"/>
        </w:rPr>
        <w:t>], and [</w:t>
      </w:r>
      <w:r>
        <w:rPr>
          <w:rFonts w:ascii="Times New Roman" w:eastAsia="Times New Roman" w:hAnsi="Times New Roman" w:cs="Times New Roman"/>
          <w:sz w:val="24"/>
          <w:szCs w:val="24"/>
        </w:rPr>
        <w:t>124</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t>But V2G needs chargers that can work in both directions and advanced control and communication systems. The battery wears out quickly because it is charged and discharged often and the charger is very expensive. Also, secure communication is necessary to avoid cyber threats. Even with these problems V2G is thought to be an achievable solution for smart grids in the future. [</w:t>
      </w:r>
      <w:r>
        <w:rPr>
          <w:rFonts w:ascii="Times New Roman" w:eastAsia="Times New Roman" w:hAnsi="Times New Roman" w:cs="Times New Roman"/>
          <w:sz w:val="24"/>
          <w:szCs w:val="24"/>
        </w:rPr>
        <w:t>117</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124</w:t>
      </w:r>
      <w:r>
        <w:rPr>
          <w:rFonts w:ascii="Times New Roman" w:eastAsia="Times New Roman" w:hAnsi="Times New Roman" w:cs="Times New Roman"/>
          <w:color w:val="000000"/>
          <w:sz w:val="24"/>
          <w:szCs w:val="24"/>
        </w:rPr>
        <w:t>]</w:t>
      </w:r>
    </w:p>
    <w:p w14:paraId="00BE212E"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X. Comparison between unidirectional charging and V2G</w:t>
      </w:r>
    </w:p>
    <w:tbl>
      <w:tblPr>
        <w:tblStyle w:val="a7"/>
        <w:tblW w:w="98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8"/>
        <w:gridCol w:w="3269"/>
        <w:gridCol w:w="3269"/>
      </w:tblGrid>
      <w:tr w:rsidR="006D0435" w14:paraId="215761D6" w14:textId="77777777">
        <w:tc>
          <w:tcPr>
            <w:tcW w:w="3268" w:type="dxa"/>
            <w:tcBorders>
              <w:top w:val="single" w:sz="8" w:space="0" w:color="000000"/>
              <w:left w:val="nil"/>
              <w:bottom w:val="single" w:sz="8" w:space="0" w:color="000000"/>
              <w:right w:val="nil"/>
            </w:tcBorders>
          </w:tcPr>
          <w:p w14:paraId="190BA107"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Feature</w:t>
            </w:r>
          </w:p>
        </w:tc>
        <w:tc>
          <w:tcPr>
            <w:tcW w:w="3269" w:type="dxa"/>
            <w:tcBorders>
              <w:top w:val="single" w:sz="8" w:space="0" w:color="000000"/>
              <w:left w:val="nil"/>
              <w:bottom w:val="single" w:sz="8" w:space="0" w:color="000000"/>
              <w:right w:val="nil"/>
            </w:tcBorders>
          </w:tcPr>
          <w:p w14:paraId="6E2D4FAD"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Normal Charging</w:t>
            </w:r>
          </w:p>
        </w:tc>
        <w:tc>
          <w:tcPr>
            <w:tcW w:w="3269" w:type="dxa"/>
            <w:tcBorders>
              <w:top w:val="single" w:sz="8" w:space="0" w:color="000000"/>
              <w:left w:val="nil"/>
              <w:bottom w:val="single" w:sz="8" w:space="0" w:color="000000"/>
              <w:right w:val="nil"/>
            </w:tcBorders>
          </w:tcPr>
          <w:p w14:paraId="5B5685C9"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V2G Charging</w:t>
            </w:r>
          </w:p>
        </w:tc>
      </w:tr>
      <w:tr w:rsidR="006D0435" w14:paraId="09DC5564" w14:textId="77777777">
        <w:tc>
          <w:tcPr>
            <w:tcW w:w="3268" w:type="dxa"/>
            <w:tcBorders>
              <w:top w:val="single" w:sz="8" w:space="0" w:color="000000"/>
              <w:left w:val="nil"/>
              <w:bottom w:val="nil"/>
              <w:right w:val="nil"/>
            </w:tcBorders>
          </w:tcPr>
          <w:p w14:paraId="30512536"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Power flow</w:t>
            </w:r>
          </w:p>
        </w:tc>
        <w:tc>
          <w:tcPr>
            <w:tcW w:w="3269" w:type="dxa"/>
            <w:tcBorders>
              <w:top w:val="single" w:sz="8" w:space="0" w:color="000000"/>
              <w:left w:val="nil"/>
              <w:bottom w:val="nil"/>
              <w:right w:val="nil"/>
            </w:tcBorders>
          </w:tcPr>
          <w:p w14:paraId="340D539F" w14:textId="77777777" w:rsidR="006D0435" w:rsidRDefault="00000000">
            <w:pPr>
              <w:spacing w:line="360" w:lineRule="auto"/>
              <w:rPr>
                <w:rFonts w:ascii="Times New Roman" w:eastAsia="Times New Roman" w:hAnsi="Times New Roman" w:cs="Times New Roman"/>
                <w:color w:val="000000"/>
                <w:sz w:val="24"/>
                <w:szCs w:val="24"/>
              </w:rPr>
            </w:pPr>
            <w:r>
              <w:rPr>
                <w:rFonts w:ascii="Cardo" w:eastAsia="Cardo" w:hAnsi="Cardo" w:cs="Cardo"/>
                <w:color w:val="000000"/>
                <w:sz w:val="24"/>
                <w:szCs w:val="24"/>
              </w:rPr>
              <w:t>Grid → EV only</w:t>
            </w:r>
          </w:p>
        </w:tc>
        <w:tc>
          <w:tcPr>
            <w:tcW w:w="3269" w:type="dxa"/>
            <w:tcBorders>
              <w:top w:val="single" w:sz="8" w:space="0" w:color="000000"/>
              <w:left w:val="nil"/>
              <w:bottom w:val="nil"/>
              <w:right w:val="nil"/>
            </w:tcBorders>
          </w:tcPr>
          <w:p w14:paraId="7E4DCDC7" w14:textId="77777777" w:rsidR="006D0435" w:rsidRDefault="00000000">
            <w:pPr>
              <w:spacing w:line="360" w:lineRule="auto"/>
              <w:rPr>
                <w:rFonts w:ascii="Times New Roman" w:eastAsia="Times New Roman" w:hAnsi="Times New Roman" w:cs="Times New Roman"/>
                <w:color w:val="000000"/>
                <w:sz w:val="24"/>
                <w:szCs w:val="24"/>
              </w:rPr>
            </w:pPr>
            <w:r>
              <w:rPr>
                <w:rFonts w:ascii="Cardo" w:eastAsia="Cardo" w:hAnsi="Cardo" w:cs="Cardo"/>
                <w:color w:val="000000"/>
                <w:sz w:val="24"/>
                <w:szCs w:val="24"/>
              </w:rPr>
              <w:t>Grid ↔ EV both ways</w:t>
            </w:r>
          </w:p>
        </w:tc>
      </w:tr>
      <w:tr w:rsidR="006D0435" w14:paraId="5529674A" w14:textId="77777777">
        <w:tc>
          <w:tcPr>
            <w:tcW w:w="3268" w:type="dxa"/>
            <w:tcBorders>
              <w:top w:val="nil"/>
              <w:left w:val="nil"/>
              <w:bottom w:val="nil"/>
              <w:right w:val="nil"/>
            </w:tcBorders>
          </w:tcPr>
          <w:p w14:paraId="64C487D0"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Benefit</w:t>
            </w:r>
          </w:p>
        </w:tc>
        <w:tc>
          <w:tcPr>
            <w:tcW w:w="3269" w:type="dxa"/>
            <w:tcBorders>
              <w:top w:val="nil"/>
              <w:left w:val="nil"/>
              <w:bottom w:val="nil"/>
              <w:right w:val="nil"/>
            </w:tcBorders>
          </w:tcPr>
          <w:p w14:paraId="629B1006"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simple charging</w:t>
            </w:r>
          </w:p>
        </w:tc>
        <w:tc>
          <w:tcPr>
            <w:tcW w:w="3269" w:type="dxa"/>
            <w:tcBorders>
              <w:top w:val="nil"/>
              <w:left w:val="nil"/>
              <w:bottom w:val="nil"/>
              <w:right w:val="nil"/>
            </w:tcBorders>
          </w:tcPr>
          <w:p w14:paraId="71C2B1BC"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grid support</w:t>
            </w:r>
          </w:p>
        </w:tc>
      </w:tr>
      <w:tr w:rsidR="006D0435" w14:paraId="7C669187" w14:textId="77777777">
        <w:tc>
          <w:tcPr>
            <w:tcW w:w="3268" w:type="dxa"/>
            <w:tcBorders>
              <w:top w:val="nil"/>
              <w:left w:val="nil"/>
              <w:bottom w:val="nil"/>
              <w:right w:val="nil"/>
            </w:tcBorders>
          </w:tcPr>
          <w:p w14:paraId="306C7499"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Cost</w:t>
            </w:r>
          </w:p>
        </w:tc>
        <w:tc>
          <w:tcPr>
            <w:tcW w:w="3269" w:type="dxa"/>
            <w:tcBorders>
              <w:top w:val="nil"/>
              <w:left w:val="nil"/>
              <w:bottom w:val="nil"/>
              <w:right w:val="nil"/>
            </w:tcBorders>
          </w:tcPr>
          <w:p w14:paraId="4BC1EEF1"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w:t>
            </w:r>
          </w:p>
        </w:tc>
        <w:tc>
          <w:tcPr>
            <w:tcW w:w="3269" w:type="dxa"/>
            <w:tcBorders>
              <w:top w:val="nil"/>
              <w:left w:val="nil"/>
              <w:bottom w:val="nil"/>
              <w:right w:val="nil"/>
            </w:tcBorders>
          </w:tcPr>
          <w:p w14:paraId="69F879D3"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higher</w:t>
            </w:r>
          </w:p>
        </w:tc>
      </w:tr>
      <w:tr w:rsidR="006D0435" w14:paraId="073C7719" w14:textId="77777777">
        <w:tc>
          <w:tcPr>
            <w:tcW w:w="3268" w:type="dxa"/>
            <w:tcBorders>
              <w:top w:val="nil"/>
              <w:left w:val="nil"/>
              <w:bottom w:val="nil"/>
              <w:right w:val="nil"/>
            </w:tcBorders>
          </w:tcPr>
          <w:p w14:paraId="05E9EE3E"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Charger type</w:t>
            </w:r>
          </w:p>
        </w:tc>
        <w:tc>
          <w:tcPr>
            <w:tcW w:w="3269" w:type="dxa"/>
            <w:tcBorders>
              <w:top w:val="nil"/>
              <w:left w:val="nil"/>
              <w:bottom w:val="nil"/>
              <w:right w:val="nil"/>
            </w:tcBorders>
          </w:tcPr>
          <w:p w14:paraId="7A658049"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unidirectional</w:t>
            </w:r>
          </w:p>
        </w:tc>
        <w:tc>
          <w:tcPr>
            <w:tcW w:w="3269" w:type="dxa"/>
            <w:tcBorders>
              <w:top w:val="nil"/>
              <w:left w:val="nil"/>
              <w:bottom w:val="nil"/>
              <w:right w:val="nil"/>
            </w:tcBorders>
          </w:tcPr>
          <w:p w14:paraId="22F76077"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bidirectional</w:t>
            </w:r>
          </w:p>
        </w:tc>
      </w:tr>
      <w:tr w:rsidR="006D0435" w14:paraId="38882451" w14:textId="77777777">
        <w:tc>
          <w:tcPr>
            <w:tcW w:w="3268" w:type="dxa"/>
            <w:tcBorders>
              <w:top w:val="nil"/>
              <w:left w:val="nil"/>
              <w:bottom w:val="single" w:sz="8" w:space="0" w:color="000000"/>
              <w:right w:val="nil"/>
            </w:tcBorders>
          </w:tcPr>
          <w:p w14:paraId="35B1A099"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Battery impact</w:t>
            </w:r>
          </w:p>
        </w:tc>
        <w:tc>
          <w:tcPr>
            <w:tcW w:w="3269" w:type="dxa"/>
            <w:tcBorders>
              <w:top w:val="nil"/>
              <w:left w:val="nil"/>
              <w:bottom w:val="single" w:sz="8" w:space="0" w:color="000000"/>
              <w:right w:val="nil"/>
            </w:tcBorders>
          </w:tcPr>
          <w:p w14:paraId="7A6ACEFE"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normal aging</w:t>
            </w:r>
          </w:p>
        </w:tc>
        <w:tc>
          <w:tcPr>
            <w:tcW w:w="3269" w:type="dxa"/>
            <w:tcBorders>
              <w:top w:val="nil"/>
              <w:left w:val="nil"/>
              <w:bottom w:val="single" w:sz="8" w:space="0" w:color="000000"/>
              <w:right w:val="nil"/>
            </w:tcBorders>
          </w:tcPr>
          <w:p w14:paraId="6E93D610"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extra degradation risk</w:t>
            </w:r>
          </w:p>
        </w:tc>
      </w:tr>
    </w:tbl>
    <w:p w14:paraId="59E5FEAE" w14:textId="77777777" w:rsidR="006D0435" w:rsidRDefault="006D0435">
      <w:pPr>
        <w:spacing w:line="360" w:lineRule="auto"/>
        <w:rPr>
          <w:rFonts w:ascii="Times New Roman" w:eastAsia="Times New Roman" w:hAnsi="Times New Roman" w:cs="Times New Roman"/>
          <w:color w:val="000000"/>
          <w:sz w:val="24"/>
          <w:szCs w:val="24"/>
        </w:rPr>
      </w:pPr>
    </w:p>
    <w:p w14:paraId="67684F72" w14:textId="77777777" w:rsidR="006D0435"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E6CABF7" wp14:editId="4A0DE2F2">
            <wp:extent cx="5943600" cy="161925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9"/>
                    <a:srcRect t="4494"/>
                    <a:stretch>
                      <a:fillRect/>
                    </a:stretch>
                  </pic:blipFill>
                  <pic:spPr>
                    <a:xfrm>
                      <a:off x="0" y="0"/>
                      <a:ext cx="5943600" cy="1619250"/>
                    </a:xfrm>
                    <a:prstGeom prst="rect">
                      <a:avLst/>
                    </a:prstGeom>
                    <a:ln/>
                  </pic:spPr>
                </pic:pic>
              </a:graphicData>
            </a:graphic>
          </wp:inline>
        </w:drawing>
      </w:r>
    </w:p>
    <w:p w14:paraId="27BCBA62" w14:textId="77777777" w:rsidR="006D0435"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Fig. General</w:t>
      </w:r>
      <w:r>
        <w:rPr>
          <w:rFonts w:ascii="Times New Roman" w:eastAsia="Times New Roman" w:hAnsi="Times New Roman" w:cs="Times New Roman"/>
          <w:color w:val="000000"/>
          <w:sz w:val="24"/>
          <w:szCs w:val="24"/>
        </w:rPr>
        <w:t xml:space="preserve"> topology of unidirectional and bidirectional EV chargers for V2G </w:t>
      </w:r>
      <w:r>
        <w:rPr>
          <w:rFonts w:ascii="Times New Roman" w:eastAsia="Times New Roman" w:hAnsi="Times New Roman" w:cs="Times New Roman"/>
          <w:sz w:val="24"/>
          <w:szCs w:val="24"/>
        </w:rPr>
        <w:t>operation (adopted</w:t>
      </w:r>
      <w:r>
        <w:rPr>
          <w:rFonts w:ascii="Times New Roman" w:eastAsia="Times New Roman" w:hAnsi="Times New Roman" w:cs="Times New Roman"/>
          <w:color w:val="000000"/>
          <w:sz w:val="24"/>
          <w:szCs w:val="24"/>
        </w:rPr>
        <w:t xml:space="preserve"> from </w:t>
      </w:r>
      <w:hyperlink r:id="rId240">
        <w:r>
          <w:rPr>
            <w:rFonts w:ascii="Times New Roman" w:eastAsia="Times New Roman" w:hAnsi="Times New Roman" w:cs="Times New Roman"/>
            <w:color w:val="000000"/>
            <w:sz w:val="24"/>
            <w:szCs w:val="24"/>
          </w:rPr>
          <w:t>https://doi.org/10.1016/j.rser.2019.109618</w:t>
        </w:r>
      </w:hyperlink>
      <w:r>
        <w:rPr>
          <w:rFonts w:ascii="Times New Roman" w:eastAsia="Times New Roman" w:hAnsi="Times New Roman" w:cs="Times New Roman"/>
          <w:color w:val="000000"/>
          <w:sz w:val="24"/>
          <w:szCs w:val="24"/>
        </w:rPr>
        <w:t>)</w:t>
      </w:r>
    </w:p>
    <w:p w14:paraId="0E46FFA5"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6.9 Commercial Fleet Charging and Depot Infrastructure</w:t>
      </w:r>
    </w:p>
    <w:p w14:paraId="54CA1FB4"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Commercial electric vehicles, such trucks, buses, and delivery fleets, need a lot of charging stations and a lot of power to charge. Fleet storage facilities charging is a frequent way to charge many vehicles in one place. Fleet charging can cause very high peak demand, though, because many different vehicles can charge at the same time. So, depot charging needs careful planning, load management, and control mechanisms that work through communication. [1</w:t>
      </w:r>
      <w:r>
        <w:rPr>
          <w:rFonts w:ascii="Times New Roman" w:eastAsia="Times New Roman" w:hAnsi="Times New Roman" w:cs="Times New Roman"/>
          <w:sz w:val="24"/>
          <w:szCs w:val="24"/>
        </w:rPr>
        <w:t>28</w:t>
      </w:r>
      <w:r>
        <w:rPr>
          <w:rFonts w:ascii="Times New Roman" w:eastAsia="Times New Roman" w:hAnsi="Times New Roman" w:cs="Times New Roman"/>
          <w:color w:val="000000"/>
          <w:sz w:val="24"/>
          <w:szCs w:val="24"/>
        </w:rPr>
        <w:t>], [1</w:t>
      </w:r>
      <w:r>
        <w:rPr>
          <w:rFonts w:ascii="Times New Roman" w:eastAsia="Times New Roman" w:hAnsi="Times New Roman" w:cs="Times New Roman"/>
          <w:sz w:val="24"/>
          <w:szCs w:val="24"/>
        </w:rPr>
        <w:t>29</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t>Most fleet depot charging systems have local distribution networks, monitoring systems, and central control centers. Such infrastructure makes it possible to charge at the same time, lowers peak load, and makes operations more efficient. Charging electric vehicles for business is one of the most difficult things to do because it costs a lot to build the infrastructure and the grid is very important. [</w:t>
      </w:r>
      <w:r>
        <w:rPr>
          <w:rFonts w:ascii="Times New Roman" w:eastAsia="Times New Roman" w:hAnsi="Times New Roman" w:cs="Times New Roman"/>
          <w:sz w:val="24"/>
          <w:szCs w:val="24"/>
        </w:rPr>
        <w:t>129</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130</w:t>
      </w:r>
      <w:r>
        <w:rPr>
          <w:rFonts w:ascii="Times New Roman" w:eastAsia="Times New Roman" w:hAnsi="Times New Roman" w:cs="Times New Roman"/>
          <w:color w:val="000000"/>
          <w:sz w:val="24"/>
          <w:szCs w:val="24"/>
        </w:rPr>
        <w:t>]</w:t>
      </w:r>
    </w:p>
    <w:p w14:paraId="692F1029"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6.10 Renewable Energy Integration with EV Charging</w:t>
      </w:r>
      <w:r>
        <w:rPr>
          <w:rFonts w:ascii="Times New Roman" w:eastAsia="Times New Roman" w:hAnsi="Times New Roman" w:cs="Times New Roman"/>
          <w:color w:val="000000"/>
          <w:sz w:val="24"/>
          <w:szCs w:val="24"/>
        </w:rPr>
        <w:br/>
        <w:t>Combining electric vehicle charging infrastructure with renewable energy sources like solar and wind can help cut greenhouse gas emissions and reliance on fossil fuels. Renewable integrated charging stations commonly use battery energy storage systems (BESS) to store energy when there isn't much demand and give it back when there is a lot of demand. This makes the main grid less stressed and helps charging stations run in a way that is good for the environment. [</w:t>
      </w:r>
      <w:r>
        <w:rPr>
          <w:rFonts w:ascii="Times New Roman" w:eastAsia="Times New Roman" w:hAnsi="Times New Roman" w:cs="Times New Roman"/>
          <w:sz w:val="24"/>
          <w:szCs w:val="24"/>
        </w:rPr>
        <w:t>117</w:t>
      </w:r>
      <w:r>
        <w:rPr>
          <w:rFonts w:ascii="Times New Roman" w:eastAsia="Times New Roman" w:hAnsi="Times New Roman" w:cs="Times New Roman"/>
          <w:color w:val="000000"/>
          <w:sz w:val="24"/>
          <w:szCs w:val="24"/>
        </w:rPr>
        <w:t>], [1</w:t>
      </w:r>
      <w:r>
        <w:rPr>
          <w:rFonts w:ascii="Times New Roman" w:eastAsia="Times New Roman" w:hAnsi="Times New Roman" w:cs="Times New Roman"/>
          <w:sz w:val="24"/>
          <w:szCs w:val="24"/>
        </w:rPr>
        <w:t>31</w:t>
      </w:r>
      <w:r>
        <w:rPr>
          <w:rFonts w:ascii="Times New Roman" w:eastAsia="Times New Roman" w:hAnsi="Times New Roman" w:cs="Times New Roman"/>
          <w:color w:val="000000"/>
          <w:sz w:val="24"/>
          <w:szCs w:val="24"/>
        </w:rPr>
        <w:t>], [1</w:t>
      </w:r>
      <w:r>
        <w:rPr>
          <w:rFonts w:ascii="Times New Roman" w:eastAsia="Times New Roman" w:hAnsi="Times New Roman" w:cs="Times New Roman"/>
          <w:sz w:val="24"/>
          <w:szCs w:val="24"/>
        </w:rPr>
        <w:t>32</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t xml:space="preserve">But renewable production is not always available, thus energy management measures are needed to make sure </w:t>
      </w:r>
      <w:r>
        <w:rPr>
          <w:rFonts w:ascii="Times New Roman" w:eastAsia="Times New Roman" w:hAnsi="Times New Roman" w:cs="Times New Roman"/>
          <w:color w:val="000000"/>
          <w:sz w:val="24"/>
          <w:szCs w:val="24"/>
        </w:rPr>
        <w:lastRenderedPageBreak/>
        <w:t>that charging service is always available. Future EV charging stations should use hybrid charging systems that combine renewable power, storage, and grid backup. [1</w:t>
      </w:r>
      <w:r>
        <w:rPr>
          <w:rFonts w:ascii="Times New Roman" w:eastAsia="Times New Roman" w:hAnsi="Times New Roman" w:cs="Times New Roman"/>
          <w:sz w:val="24"/>
          <w:szCs w:val="24"/>
        </w:rPr>
        <w:t>31</w:t>
      </w:r>
      <w:r>
        <w:rPr>
          <w:rFonts w:ascii="Times New Roman" w:eastAsia="Times New Roman" w:hAnsi="Times New Roman" w:cs="Times New Roman"/>
          <w:color w:val="000000"/>
          <w:sz w:val="24"/>
          <w:szCs w:val="24"/>
        </w:rPr>
        <w:t>], [1</w:t>
      </w:r>
      <w:r>
        <w:rPr>
          <w:rFonts w:ascii="Times New Roman" w:eastAsia="Times New Roman" w:hAnsi="Times New Roman" w:cs="Times New Roman"/>
          <w:sz w:val="24"/>
          <w:szCs w:val="24"/>
        </w:rPr>
        <w:t>32</w:t>
      </w:r>
      <w:r>
        <w:rPr>
          <w:rFonts w:ascii="Times New Roman" w:eastAsia="Times New Roman" w:hAnsi="Times New Roman" w:cs="Times New Roman"/>
          <w:color w:val="000000"/>
          <w:sz w:val="24"/>
          <w:szCs w:val="24"/>
        </w:rPr>
        <w:t>]</w:t>
      </w:r>
    </w:p>
    <w:p w14:paraId="4D8BD195" w14:textId="77777777" w:rsidR="006D0435" w:rsidRDefault="00000000">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1C83895" wp14:editId="492F575D">
            <wp:extent cx="5810250" cy="1895475"/>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1"/>
                    <a:srcRect t="4858" b="14575"/>
                    <a:stretch>
                      <a:fillRect/>
                    </a:stretch>
                  </pic:blipFill>
                  <pic:spPr>
                    <a:xfrm>
                      <a:off x="0" y="0"/>
                      <a:ext cx="5810250" cy="1895475"/>
                    </a:xfrm>
                    <a:prstGeom prst="rect">
                      <a:avLst/>
                    </a:prstGeom>
                    <a:ln/>
                  </pic:spPr>
                </pic:pic>
              </a:graphicData>
            </a:graphic>
          </wp:inline>
        </w:drawing>
      </w:r>
    </w:p>
    <w:p w14:paraId="07F40F0F" w14:textId="77777777" w:rsidR="006D0435"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Renewable Energy Integration with EV Charging</w:t>
      </w:r>
    </w:p>
    <w:p w14:paraId="38F26254"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Charging infrastructure is a big part in getting people to use electric vehicles. It includes home charging, office charging, public charging stations, and rapid charging networks on highways. SAE J1772 and other charging standards set different charging levels based on voltage and power ratings. But charging electric vehicles puts a lot of stress on the distribution grid, such as peak demand rise, transformer overloading, voltage deviation, harmonic distortion, and the expensive expense of reinforcing the grid. To keep the grid stable and move charging demand away from peak hours, smart charging solutions are needed. V2G technology also opens up new possibilities for two-way power flow and grid support in the future. Finally, charging stations that use renewable energy and charging networks that use microgrids are promising ways to implement EV charging in a way that is good for the environment. [</w:t>
      </w:r>
      <w:r>
        <w:rPr>
          <w:rFonts w:ascii="Times New Roman" w:eastAsia="Times New Roman" w:hAnsi="Times New Roman" w:cs="Times New Roman"/>
          <w:sz w:val="24"/>
          <w:szCs w:val="24"/>
        </w:rPr>
        <w:t>117</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123</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124</w:t>
      </w:r>
      <w:r>
        <w:rPr>
          <w:rFonts w:ascii="Times New Roman" w:eastAsia="Times New Roman" w:hAnsi="Times New Roman" w:cs="Times New Roman"/>
          <w:color w:val="000000"/>
          <w:sz w:val="24"/>
          <w:szCs w:val="24"/>
        </w:rPr>
        <w:t>], [1</w:t>
      </w:r>
      <w:r>
        <w:rPr>
          <w:rFonts w:ascii="Times New Roman" w:eastAsia="Times New Roman" w:hAnsi="Times New Roman" w:cs="Times New Roman"/>
          <w:sz w:val="24"/>
          <w:szCs w:val="24"/>
        </w:rPr>
        <w:t>31</w:t>
      </w:r>
      <w:r>
        <w:rPr>
          <w:rFonts w:ascii="Times New Roman" w:eastAsia="Times New Roman" w:hAnsi="Times New Roman" w:cs="Times New Roman"/>
          <w:color w:val="000000"/>
          <w:sz w:val="24"/>
          <w:szCs w:val="24"/>
        </w:rPr>
        <w:t>]</w:t>
      </w:r>
    </w:p>
    <w:p w14:paraId="45B30CFA"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7.Energy Efficiency &amp; Environmental Impact</w:t>
      </w:r>
    </w:p>
    <w:p w14:paraId="0105B235"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Energy Efficiency and Environmental Impact</w:t>
      </w:r>
    </w:p>
    <w:p w14:paraId="5292577F"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transition from stored to usable kinetic energy involves several phases all with their respective entropy content that steadily reduces the effectiveness of the system. In mechanical systems friction/mechanical drag and heat dissipation are the main source of decrement in the obtained output.</w:t>
      </w:r>
    </w:p>
    <w:p w14:paraId="53337E7A"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transportation sector around the globe faces challenges in energy consumption and greenhouse gas (GHG) emissions, which works as a motivation for the transition from internal combustion engine vehicles (ICEVs) to more efficient alternatives like Battery Electric Vehicles (BEVs), Hybrid Electric Vehicles (HEVs), and Plug-in Hybrid Electric Vehicles (PHEVs</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133], [</w:t>
      </w:r>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135</w:t>
      </w:r>
      <w:r>
        <w:rPr>
          <w:rFonts w:ascii="Times New Roman" w:eastAsia="Times New Roman" w:hAnsi="Times New Roman" w:cs="Times New Roman"/>
          <w:color w:val="000000"/>
          <w:sz w:val="24"/>
          <w:szCs w:val="24"/>
        </w:rPr>
        <w:t xml:space="preserve">]. This ongoing shift is basically motivated by a drive to be more environmentally conscious and different technological advancements by scientists to minimize the overall energy or </w:t>
      </w:r>
      <w:proofErr w:type="gramStart"/>
      <w:r>
        <w:rPr>
          <w:rFonts w:ascii="Times New Roman" w:eastAsia="Times New Roman" w:hAnsi="Times New Roman" w:cs="Times New Roman"/>
          <w:color w:val="000000"/>
          <w:sz w:val="24"/>
          <w:szCs w:val="24"/>
        </w:rPr>
        <w:t>carbon  footprint</w:t>
      </w:r>
      <w:proofErr w:type="gramEnd"/>
      <w:r>
        <w:rPr>
          <w:rFonts w:ascii="Times New Roman" w:eastAsia="Times New Roman" w:hAnsi="Times New Roman" w:cs="Times New Roman"/>
          <w:color w:val="000000"/>
          <w:sz w:val="24"/>
          <w:szCs w:val="24"/>
        </w:rPr>
        <w:t xml:space="preserve"> and reduce the adverse impacts on environment and </w:t>
      </w:r>
      <w:proofErr w:type="gramStart"/>
      <w:r>
        <w:rPr>
          <w:rFonts w:ascii="Times New Roman" w:eastAsia="Times New Roman" w:hAnsi="Times New Roman" w:cs="Times New Roman"/>
          <w:color w:val="000000"/>
          <w:sz w:val="24"/>
          <w:szCs w:val="24"/>
        </w:rPr>
        <w:t>biodiversity[</w:t>
      </w:r>
      <w:proofErr w:type="gramEnd"/>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 xml:space="preserve">]. A complete and deep understanding of this transition needs us to evaluate both the energy conversion efficiency and its </w:t>
      </w:r>
      <w:proofErr w:type="gramStart"/>
      <w:r>
        <w:rPr>
          <w:rFonts w:ascii="Times New Roman" w:eastAsia="Times New Roman" w:hAnsi="Times New Roman" w:cs="Times New Roman"/>
          <w:color w:val="000000"/>
          <w:sz w:val="24"/>
          <w:szCs w:val="24"/>
        </w:rPr>
        <w:t xml:space="preserve">long </w:t>
      </w:r>
      <w:r>
        <w:rPr>
          <w:rFonts w:ascii="Times New Roman" w:eastAsia="Times New Roman" w:hAnsi="Times New Roman" w:cs="Times New Roman"/>
          <w:color w:val="000000"/>
          <w:sz w:val="24"/>
          <w:szCs w:val="24"/>
        </w:rPr>
        <w:lastRenderedPageBreak/>
        <w:t>term</w:t>
      </w:r>
      <w:proofErr w:type="gramEnd"/>
      <w:r>
        <w:rPr>
          <w:rFonts w:ascii="Times New Roman" w:eastAsia="Times New Roman" w:hAnsi="Times New Roman" w:cs="Times New Roman"/>
          <w:color w:val="000000"/>
          <w:sz w:val="24"/>
          <w:szCs w:val="24"/>
        </w:rPr>
        <w:t xml:space="preserve"> environmental impacts across the total vehicular life cycle, using methodologies like Well-to-Wheel (WTW) analysis and Life Cycle Assessment (LCA</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137</w:t>
      </w:r>
      <w:r>
        <w:rPr>
          <w:rFonts w:ascii="Times New Roman" w:eastAsia="Times New Roman" w:hAnsi="Times New Roman" w:cs="Times New Roman"/>
          <w:color w:val="000000"/>
          <w:sz w:val="24"/>
          <w:szCs w:val="24"/>
        </w:rPr>
        <w:t>].</w:t>
      </w:r>
    </w:p>
    <w:p w14:paraId="7987DD5E"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7.1 Energy Conversion Efficiency in Electrified Vehicles​​</w:t>
      </w:r>
    </w:p>
    <w:p w14:paraId="6C445130"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process by which stored energy is converted into kinetic motion is made of many stages, each of which has inherent losses of energy and entropy value. Understanding these losses is essential for assessing the overall effectiveness and efficiency of a </w:t>
      </w:r>
      <w:proofErr w:type="gramStart"/>
      <w:r>
        <w:rPr>
          <w:rFonts w:ascii="Times New Roman" w:eastAsia="Times New Roman" w:hAnsi="Times New Roman" w:cs="Times New Roman"/>
          <w:color w:val="000000"/>
          <w:sz w:val="24"/>
          <w:szCs w:val="24"/>
        </w:rPr>
        <w:t>vehicle[</w:t>
      </w:r>
      <w:proofErr w:type="gramEnd"/>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137</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138</w:t>
      </w:r>
      <w:proofErr w:type="gramStart"/>
      <w:r>
        <w:rPr>
          <w:rFonts w:ascii="Times New Roman" w:eastAsia="Times New Roman" w:hAnsi="Times New Roman" w:cs="Times New Roman"/>
          <w:color w:val="000000"/>
          <w:sz w:val="24"/>
          <w:szCs w:val="24"/>
        </w:rPr>
        <w:t>] .</w:t>
      </w:r>
      <w:proofErr w:type="gramEnd"/>
    </w:p>
    <w:p w14:paraId="13EB89F6"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Internal combustion engines run on power generated by burning fuel, releasing the stored chemical energy to drive the motion of pistons. However, a significant part of this energy is lost as heat [</w:t>
      </w:r>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138</w:t>
      </w:r>
      <w:r>
        <w:rPr>
          <w:rFonts w:ascii="Times New Roman" w:eastAsia="Times New Roman" w:hAnsi="Times New Roman" w:cs="Times New Roman"/>
          <w:color w:val="000000"/>
          <w:sz w:val="24"/>
          <w:szCs w:val="24"/>
        </w:rPr>
        <w:t xml:space="preserve">]. On the other </w:t>
      </w:r>
      <w:proofErr w:type="gramStart"/>
      <w:r>
        <w:rPr>
          <w:rFonts w:ascii="Times New Roman" w:eastAsia="Times New Roman" w:hAnsi="Times New Roman" w:cs="Times New Roman"/>
          <w:color w:val="000000"/>
          <w:sz w:val="24"/>
          <w:szCs w:val="24"/>
        </w:rPr>
        <w:t>hand</w:t>
      </w:r>
      <w:proofErr w:type="gramEnd"/>
      <w:r>
        <w:rPr>
          <w:rFonts w:ascii="Times New Roman" w:eastAsia="Times New Roman" w:hAnsi="Times New Roman" w:cs="Times New Roman"/>
          <w:color w:val="000000"/>
          <w:sz w:val="24"/>
          <w:szCs w:val="24"/>
        </w:rPr>
        <w:t xml:space="preserve"> Electric vehicles convert electrochemical energy from sources like batteries into electromagnetic force to maneuver the vehicle [</w:t>
      </w:r>
      <w:r>
        <w:rPr>
          <w:rFonts w:ascii="Times New Roman" w:eastAsia="Times New Roman" w:hAnsi="Times New Roman" w:cs="Times New Roman"/>
          <w:sz w:val="24"/>
          <w:szCs w:val="24"/>
        </w:rPr>
        <w:t>137</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138</w:t>
      </w:r>
      <w:r>
        <w:rPr>
          <w:rFonts w:ascii="Times New Roman" w:eastAsia="Times New Roman" w:hAnsi="Times New Roman" w:cs="Times New Roman"/>
          <w:color w:val="000000"/>
          <w:sz w:val="24"/>
          <w:szCs w:val="24"/>
        </w:rPr>
        <w:t>].</w:t>
      </w:r>
    </w:p>
    <w:p w14:paraId="4E186F05" w14:textId="77777777" w:rsidR="006D0435" w:rsidRDefault="00000000">
      <w:pPr>
        <w:spacing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Mechanical Losses​​: Parasitic friction in the drivetrain, including due to the meshing of gears, the resistances of mechanical bearing and tire’s resistance during rolling, reduces the net power that is ultimately delivered to the wheels [</w:t>
      </w:r>
      <w:r>
        <w:rPr>
          <w:rFonts w:ascii="Times New Roman" w:eastAsia="Times New Roman" w:hAnsi="Times New Roman" w:cs="Times New Roman"/>
          <w:sz w:val="24"/>
          <w:szCs w:val="24"/>
        </w:rPr>
        <w:t>139</w:t>
      </w:r>
      <w:r>
        <w:rPr>
          <w:rFonts w:ascii="Times New Roman" w:eastAsia="Times New Roman" w:hAnsi="Times New Roman" w:cs="Times New Roman"/>
          <w:color w:val="000000"/>
          <w:sz w:val="24"/>
          <w:szCs w:val="24"/>
        </w:rPr>
        <w:t xml:space="preserve">]. In ICEVs, additional mechanical drag from pistons, crankshafts, valvetrains and other mechanical </w:t>
      </w:r>
      <w:proofErr w:type="gramStart"/>
      <w:r>
        <w:rPr>
          <w:rFonts w:ascii="Times New Roman" w:eastAsia="Times New Roman" w:hAnsi="Times New Roman" w:cs="Times New Roman"/>
          <w:color w:val="000000"/>
          <w:sz w:val="24"/>
          <w:szCs w:val="24"/>
        </w:rPr>
        <w:t>components  contributes</w:t>
      </w:r>
      <w:proofErr w:type="gramEnd"/>
      <w:r>
        <w:rPr>
          <w:rFonts w:ascii="Times New Roman" w:eastAsia="Times New Roman" w:hAnsi="Times New Roman" w:cs="Times New Roman"/>
          <w:color w:val="000000"/>
          <w:sz w:val="24"/>
          <w:szCs w:val="24"/>
        </w:rPr>
        <w:t xml:space="preserve"> to these </w:t>
      </w:r>
      <w:proofErr w:type="gramStart"/>
      <w:r>
        <w:rPr>
          <w:rFonts w:ascii="Times New Roman" w:eastAsia="Times New Roman" w:hAnsi="Times New Roman" w:cs="Times New Roman"/>
          <w:color w:val="000000"/>
          <w:sz w:val="24"/>
          <w:szCs w:val="24"/>
        </w:rPr>
        <w:t>losses[</w:t>
      </w:r>
      <w:proofErr w:type="gramEnd"/>
      <w:r>
        <w:rPr>
          <w:rFonts w:ascii="Times New Roman" w:eastAsia="Times New Roman" w:hAnsi="Times New Roman" w:cs="Times New Roman"/>
          <w:sz w:val="24"/>
          <w:szCs w:val="24"/>
        </w:rPr>
        <w:t>139</w:t>
      </w:r>
      <w:r>
        <w:rPr>
          <w:rFonts w:ascii="Times New Roman" w:eastAsia="Times New Roman" w:hAnsi="Times New Roman" w:cs="Times New Roman"/>
          <w:color w:val="000000"/>
          <w:sz w:val="24"/>
          <w:szCs w:val="24"/>
        </w:rPr>
        <w:t>].</w:t>
      </w:r>
    </w:p>
    <w:p w14:paraId="1A67E5B1" w14:textId="77777777" w:rsidR="006D0435" w:rsidRDefault="00000000">
      <w:pPr>
        <w:spacing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Thermal Losses in ICEs​​: A major cause of inefficiency in ICEs is the heat dissipation, generally approximately 60% to 70% of fuel energy is expected to be lost as waste heat through the exhaust system, cooling systems and radiator [</w:t>
      </w:r>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139</w:t>
      </w:r>
      <w:r>
        <w:rPr>
          <w:rFonts w:ascii="Times New Roman" w:eastAsia="Times New Roman" w:hAnsi="Times New Roman" w:cs="Times New Roman"/>
          <w:color w:val="000000"/>
          <w:sz w:val="24"/>
          <w:szCs w:val="24"/>
        </w:rPr>
        <w:t>]. This is a limitation of laws of thermodynamics which is illustrated by the Carnot cycle and means that even advanced ICEs struggle to achieve thermal efficiencies above 40% [</w:t>
      </w:r>
      <w:r>
        <w:rPr>
          <w:rFonts w:ascii="Times New Roman" w:eastAsia="Times New Roman" w:hAnsi="Times New Roman" w:cs="Times New Roman"/>
          <w:sz w:val="24"/>
          <w:szCs w:val="24"/>
        </w:rPr>
        <w:t>139</w:t>
      </w:r>
      <w:r>
        <w:rPr>
          <w:rFonts w:ascii="Times New Roman" w:eastAsia="Times New Roman" w:hAnsi="Times New Roman" w:cs="Times New Roman"/>
          <w:color w:val="000000"/>
          <w:sz w:val="24"/>
          <w:szCs w:val="24"/>
        </w:rPr>
        <w:t>].</w:t>
      </w:r>
    </w:p>
    <w:p w14:paraId="1EE366BC" w14:textId="77777777" w:rsidR="006D0435" w:rsidRDefault="00000000">
      <w:pPr>
        <w:spacing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Electric Motor Efficiency​​: Electric motors have a significantly higher efficiency which </w:t>
      </w:r>
      <w:proofErr w:type="gramStart"/>
      <w:r>
        <w:rPr>
          <w:rFonts w:ascii="Times New Roman" w:eastAsia="Times New Roman" w:hAnsi="Times New Roman" w:cs="Times New Roman"/>
          <w:color w:val="000000"/>
          <w:sz w:val="24"/>
          <w:szCs w:val="24"/>
        </w:rPr>
        <w:t>is  typically</w:t>
      </w:r>
      <w:proofErr w:type="gramEnd"/>
      <w:r>
        <w:rPr>
          <w:rFonts w:ascii="Times New Roman" w:eastAsia="Times New Roman" w:hAnsi="Times New Roman" w:cs="Times New Roman"/>
          <w:color w:val="000000"/>
          <w:sz w:val="24"/>
          <w:szCs w:val="24"/>
        </w:rPr>
        <w:t xml:space="preserve"> in the range of 85% to 95% [</w:t>
      </w:r>
      <w:r>
        <w:rPr>
          <w:rFonts w:ascii="Times New Roman" w:eastAsia="Times New Roman" w:hAnsi="Times New Roman" w:cs="Times New Roman"/>
          <w:sz w:val="24"/>
          <w:szCs w:val="24"/>
        </w:rPr>
        <w:t>138</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139</w:t>
      </w:r>
      <w:r>
        <w:rPr>
          <w:rFonts w:ascii="Times New Roman" w:eastAsia="Times New Roman" w:hAnsi="Times New Roman" w:cs="Times New Roman"/>
          <w:color w:val="000000"/>
          <w:sz w:val="24"/>
          <w:szCs w:val="24"/>
        </w:rPr>
        <w:t>]. They maintain this high efficiency value across a range of rotational speeds (RPMs). The major Energy losses are due to copper losses (resistive heating), iron losses (magnetic hysteresis) and windage [</w:t>
      </w:r>
      <w:r>
        <w:rPr>
          <w:rFonts w:ascii="Times New Roman" w:eastAsia="Times New Roman" w:hAnsi="Times New Roman" w:cs="Times New Roman"/>
          <w:sz w:val="24"/>
          <w:szCs w:val="24"/>
        </w:rPr>
        <w:t>139</w:t>
      </w:r>
      <w:r>
        <w:rPr>
          <w:rFonts w:ascii="Times New Roman" w:eastAsia="Times New Roman" w:hAnsi="Times New Roman" w:cs="Times New Roman"/>
          <w:color w:val="000000"/>
          <w:sz w:val="24"/>
          <w:szCs w:val="24"/>
        </w:rPr>
        <w:t>].</w:t>
      </w:r>
    </w:p>
    <w:p w14:paraId="14E8ECF4" w14:textId="77777777" w:rsidR="006D0435" w:rsidRDefault="00000000">
      <w:pPr>
        <w:spacing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Battery and Inverter Losses​​: Though highly efficient, electric powertrains have energy losses that are not seen in ICs and are entirely unique to them.</w:t>
      </w:r>
    </w:p>
    <w:p w14:paraId="46D6F806" w14:textId="77777777" w:rsidR="006D0435" w:rsidRDefault="00000000">
      <w:pPr>
        <w:spacing w:line="360" w:lineRule="auto"/>
        <w:ind w:left="14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Charge-Discharge Losses​​: sometimes referred to as the "round-trip efficiency" energy is lost as heat during the chemical reactions inside battery cells due to internal resistance [</w:t>
      </w:r>
      <w:r>
        <w:rPr>
          <w:rFonts w:ascii="Times New Roman" w:eastAsia="Times New Roman" w:hAnsi="Times New Roman" w:cs="Times New Roman"/>
          <w:sz w:val="24"/>
          <w:szCs w:val="24"/>
        </w:rPr>
        <w:t>140</w:t>
      </w:r>
      <w:r>
        <w:rPr>
          <w:rFonts w:ascii="Times New Roman" w:eastAsia="Times New Roman" w:hAnsi="Times New Roman" w:cs="Times New Roman"/>
          <w:color w:val="000000"/>
          <w:sz w:val="24"/>
          <w:szCs w:val="24"/>
        </w:rPr>
        <w:t>].</w:t>
      </w:r>
    </w:p>
    <w:p w14:paraId="3FF5DE8A" w14:textId="77777777" w:rsidR="006D0435" w:rsidRDefault="00000000">
      <w:pPr>
        <w:spacing w:line="360" w:lineRule="auto"/>
        <w:ind w:left="14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Inverter Losses​​: During the conversion from direct current (DC) of the battery to alternating current (AC) used by the motor, high-frequency switching takes place in the inverter which generates a certain amount of heat and results in a 2% to 5% drop in the obtained energy [</w:t>
      </w:r>
      <w:r>
        <w:rPr>
          <w:rFonts w:ascii="Times New Roman" w:eastAsia="Times New Roman" w:hAnsi="Times New Roman" w:cs="Times New Roman"/>
          <w:sz w:val="24"/>
          <w:szCs w:val="24"/>
        </w:rPr>
        <w:t>141</w:t>
      </w:r>
      <w:r>
        <w:rPr>
          <w:rFonts w:ascii="Times New Roman" w:eastAsia="Times New Roman" w:hAnsi="Times New Roman" w:cs="Times New Roman"/>
          <w:color w:val="000000"/>
          <w:sz w:val="24"/>
          <w:szCs w:val="24"/>
        </w:rPr>
        <w:t>].</w:t>
      </w:r>
    </w:p>
    <w:p w14:paraId="56671E3C"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The superiority electric drivetrains in terms of efficiency </w:t>
      </w:r>
      <w:proofErr w:type="gramStart"/>
      <w:r>
        <w:rPr>
          <w:rFonts w:ascii="Times New Roman" w:eastAsia="Times New Roman" w:hAnsi="Times New Roman" w:cs="Times New Roman"/>
          <w:color w:val="000000"/>
          <w:sz w:val="24"/>
          <w:szCs w:val="24"/>
        </w:rPr>
        <w:t>is</w:t>
      </w:r>
      <w:proofErr w:type="gramEnd"/>
      <w:r>
        <w:rPr>
          <w:rFonts w:ascii="Times New Roman" w:eastAsia="Times New Roman" w:hAnsi="Times New Roman" w:cs="Times New Roman"/>
          <w:color w:val="000000"/>
          <w:sz w:val="24"/>
          <w:szCs w:val="24"/>
        </w:rPr>
        <w:t xml:space="preserve"> evident when the tank-to-wheel (TTW) efficiencies are compared: ICEVs typically achieve 20-25%, HEVs 30-40%, PHEVs 35-45%, and BEVs 75-90% [</w:t>
      </w:r>
      <w:r>
        <w:rPr>
          <w:rFonts w:ascii="Times New Roman" w:eastAsia="Times New Roman" w:hAnsi="Times New Roman" w:cs="Times New Roman"/>
          <w:sz w:val="24"/>
          <w:szCs w:val="24"/>
        </w:rPr>
        <w:t>138</w:t>
      </w: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This massive differences</w:t>
      </w:r>
      <w:proofErr w:type="gramEnd"/>
      <w:r>
        <w:rPr>
          <w:rFonts w:ascii="Times New Roman" w:eastAsia="Times New Roman" w:hAnsi="Times New Roman" w:cs="Times New Roman"/>
          <w:color w:val="000000"/>
          <w:sz w:val="24"/>
          <w:szCs w:val="24"/>
        </w:rPr>
        <w:t xml:space="preserve"> means that EVs cause much lesser amount of CO and CO2 emissions during operation compared to ICEVs and while not as much as ICEVs, the HEVs and PHEVs also demonstrate a statistically significant </w:t>
      </w:r>
      <w:proofErr w:type="gramStart"/>
      <w:r>
        <w:rPr>
          <w:rFonts w:ascii="Times New Roman" w:eastAsia="Times New Roman" w:hAnsi="Times New Roman" w:cs="Times New Roman"/>
          <w:color w:val="000000"/>
          <w:sz w:val="24"/>
          <w:szCs w:val="24"/>
        </w:rPr>
        <w:t>amount</w:t>
      </w:r>
      <w:proofErr w:type="gramEnd"/>
      <w:r>
        <w:rPr>
          <w:rFonts w:ascii="Times New Roman" w:eastAsia="Times New Roman" w:hAnsi="Times New Roman" w:cs="Times New Roman"/>
          <w:color w:val="000000"/>
          <w:sz w:val="24"/>
          <w:szCs w:val="24"/>
        </w:rPr>
        <w:t xml:space="preserve"> of reductions [</w:t>
      </w:r>
      <w:r>
        <w:rPr>
          <w:rFonts w:ascii="Times New Roman" w:eastAsia="Times New Roman" w:hAnsi="Times New Roman" w:cs="Times New Roman"/>
          <w:sz w:val="24"/>
          <w:szCs w:val="24"/>
        </w:rPr>
        <w:t>138</w:t>
      </w:r>
      <w:r>
        <w:rPr>
          <w:rFonts w:ascii="Times New Roman" w:eastAsia="Times New Roman" w:hAnsi="Times New Roman" w:cs="Times New Roman"/>
          <w:color w:val="000000"/>
          <w:sz w:val="24"/>
          <w:szCs w:val="24"/>
        </w:rPr>
        <w:t>].</w:t>
      </w:r>
    </w:p>
    <w:p w14:paraId="4CFFD649"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7.2 Regenerative Braking​​</w:t>
      </w:r>
    </w:p>
    <w:p w14:paraId="0DCC9D58"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One of the main technological </w:t>
      </w:r>
      <w:proofErr w:type="gramStart"/>
      <w:r>
        <w:rPr>
          <w:rFonts w:ascii="Times New Roman" w:eastAsia="Times New Roman" w:hAnsi="Times New Roman" w:cs="Times New Roman"/>
          <w:color w:val="000000"/>
          <w:sz w:val="24"/>
          <w:szCs w:val="24"/>
        </w:rPr>
        <w:t>advantage</w:t>
      </w:r>
      <w:proofErr w:type="gramEnd"/>
      <w:r>
        <w:rPr>
          <w:rFonts w:ascii="Times New Roman" w:eastAsia="Times New Roman" w:hAnsi="Times New Roman" w:cs="Times New Roman"/>
          <w:color w:val="000000"/>
          <w:sz w:val="24"/>
          <w:szCs w:val="24"/>
        </w:rPr>
        <w:t xml:space="preserve"> of electrified vehicles (HEVs, PHEVs, and EVs) is its regenerative braking system [</w:t>
      </w:r>
      <w:r>
        <w:rPr>
          <w:rFonts w:ascii="Times New Roman" w:eastAsia="Times New Roman" w:hAnsi="Times New Roman" w:cs="Times New Roman"/>
          <w:sz w:val="24"/>
          <w:szCs w:val="24"/>
        </w:rPr>
        <w:t>142</w:t>
      </w:r>
      <w:r>
        <w:rPr>
          <w:rFonts w:ascii="Times New Roman" w:eastAsia="Times New Roman" w:hAnsi="Times New Roman" w:cs="Times New Roman"/>
          <w:color w:val="000000"/>
          <w:sz w:val="24"/>
          <w:szCs w:val="24"/>
        </w:rPr>
        <w:t>], [1</w:t>
      </w:r>
      <w:r>
        <w:rPr>
          <w:rFonts w:ascii="Times New Roman" w:eastAsia="Times New Roman" w:hAnsi="Times New Roman" w:cs="Times New Roman"/>
          <w:sz w:val="24"/>
          <w:szCs w:val="24"/>
        </w:rPr>
        <w:t>43</w:t>
      </w:r>
      <w:r>
        <w:rPr>
          <w:rFonts w:ascii="Times New Roman" w:eastAsia="Times New Roman" w:hAnsi="Times New Roman" w:cs="Times New Roman"/>
          <w:color w:val="000000"/>
          <w:sz w:val="24"/>
          <w:szCs w:val="24"/>
        </w:rPr>
        <w:t xml:space="preserve">]. In the ICEVs kinetic energy during braking is entirely dissipated as wasted heat through friction brakes whereas in the electrified vehicles it is converted back into electrical energy and stored it in the battery for later </w:t>
      </w:r>
      <w:proofErr w:type="gramStart"/>
      <w:r>
        <w:rPr>
          <w:rFonts w:ascii="Times New Roman" w:eastAsia="Times New Roman" w:hAnsi="Times New Roman" w:cs="Times New Roman"/>
          <w:color w:val="000000"/>
          <w:sz w:val="24"/>
          <w:szCs w:val="24"/>
        </w:rPr>
        <w:t>use[</w:t>
      </w:r>
      <w:proofErr w:type="gramEnd"/>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43</w:t>
      </w:r>
      <w:r>
        <w:rPr>
          <w:rFonts w:ascii="Times New Roman" w:eastAsia="Times New Roman" w:hAnsi="Times New Roman" w:cs="Times New Roman"/>
          <w:color w:val="000000"/>
          <w:sz w:val="24"/>
          <w:szCs w:val="24"/>
        </w:rPr>
        <w:t>], [1</w:t>
      </w:r>
      <w:r>
        <w:rPr>
          <w:rFonts w:ascii="Times New Roman" w:eastAsia="Times New Roman" w:hAnsi="Times New Roman" w:cs="Times New Roman"/>
          <w:sz w:val="24"/>
          <w:szCs w:val="24"/>
        </w:rPr>
        <w:t>44</w:t>
      </w:r>
      <w:r>
        <w:rPr>
          <w:rFonts w:ascii="Times New Roman" w:eastAsia="Times New Roman" w:hAnsi="Times New Roman" w:cs="Times New Roman"/>
          <w:color w:val="000000"/>
          <w:sz w:val="24"/>
          <w:szCs w:val="24"/>
        </w:rPr>
        <w:t>].</w:t>
      </w:r>
    </w:p>
    <w:p w14:paraId="7DBCDEE1"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Regenerative braking systems is now a days able to recover 60-70% of the kinetic energy during decelerating motion and thus it significantly improves the overall energy efficiency by 10-25% [</w:t>
      </w:r>
      <w:r>
        <w:rPr>
          <w:rFonts w:ascii="Times New Roman" w:eastAsia="Times New Roman" w:hAnsi="Times New Roman" w:cs="Times New Roman"/>
          <w:sz w:val="24"/>
          <w:szCs w:val="24"/>
        </w:rPr>
        <w:t>140</w:t>
      </w:r>
      <w:r>
        <w:rPr>
          <w:rFonts w:ascii="Times New Roman" w:eastAsia="Times New Roman" w:hAnsi="Times New Roman" w:cs="Times New Roman"/>
          <w:color w:val="000000"/>
          <w:sz w:val="24"/>
          <w:szCs w:val="24"/>
        </w:rPr>
        <w:t>], [1</w:t>
      </w:r>
      <w:r>
        <w:rPr>
          <w:rFonts w:ascii="Times New Roman" w:eastAsia="Times New Roman" w:hAnsi="Times New Roman" w:cs="Times New Roman"/>
          <w:sz w:val="24"/>
          <w:szCs w:val="24"/>
        </w:rPr>
        <w:t>42</w:t>
      </w:r>
      <w:r>
        <w:rPr>
          <w:rFonts w:ascii="Times New Roman" w:eastAsia="Times New Roman" w:hAnsi="Times New Roman" w:cs="Times New Roman"/>
          <w:color w:val="000000"/>
          <w:sz w:val="24"/>
          <w:szCs w:val="24"/>
        </w:rPr>
        <w:t>]. This feature is very effective in urban driving practices where frequent stops and starts are expected phenomena [1</w:t>
      </w:r>
      <w:r>
        <w:rPr>
          <w:rFonts w:ascii="Times New Roman" w:eastAsia="Times New Roman" w:hAnsi="Times New Roman" w:cs="Times New Roman"/>
          <w:sz w:val="24"/>
          <w:szCs w:val="24"/>
        </w:rPr>
        <w:t>45</w:t>
      </w:r>
      <w:r>
        <w:rPr>
          <w:rFonts w:ascii="Times New Roman" w:eastAsia="Times New Roman" w:hAnsi="Times New Roman" w:cs="Times New Roman"/>
          <w:color w:val="000000"/>
          <w:sz w:val="24"/>
          <w:szCs w:val="24"/>
        </w:rPr>
        <w:t xml:space="preserve">]. Beyond the energy recovery this process also reduces wear and tear on mechanical brake components of the vehicle causing extension in their total </w:t>
      </w:r>
      <w:proofErr w:type="gramStart"/>
      <w:r>
        <w:rPr>
          <w:rFonts w:ascii="Times New Roman" w:eastAsia="Times New Roman" w:hAnsi="Times New Roman" w:cs="Times New Roman"/>
          <w:color w:val="000000"/>
          <w:sz w:val="24"/>
          <w:szCs w:val="24"/>
        </w:rPr>
        <w:t>lifespan .</w:t>
      </w:r>
      <w:proofErr w:type="gramEnd"/>
    </w:p>
    <w:p w14:paraId="51BF5A7E"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flow of energy during braking in conventional ICEVs includes the conversion of kinetic energy to heat which gets dissipated to the surroundings. But in electrified vehicles, the electric motor also acts as a generator and converts kinetic energy into electrical energy that recharges the battery [1</w:t>
      </w:r>
      <w:r>
        <w:rPr>
          <w:rFonts w:ascii="Times New Roman" w:eastAsia="Times New Roman" w:hAnsi="Times New Roman" w:cs="Times New Roman"/>
          <w:sz w:val="24"/>
          <w:szCs w:val="24"/>
        </w:rPr>
        <w:t>44</w:t>
      </w:r>
      <w:r>
        <w:rPr>
          <w:rFonts w:ascii="Times New Roman" w:eastAsia="Times New Roman" w:hAnsi="Times New Roman" w:cs="Times New Roman"/>
          <w:color w:val="000000"/>
          <w:sz w:val="24"/>
          <w:szCs w:val="24"/>
        </w:rPr>
        <w:t>]. This is a fundamental difference between the two types of vehicles that is a major contributor to the higher energy efficiency of EVs in urban environments.</w:t>
      </w:r>
    </w:p>
    <w:p w14:paraId="34FF7E3F"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Table: Energy Recovery Benefits across Vehicle Types.</w:t>
      </w:r>
    </w:p>
    <w:tbl>
      <w:tblPr>
        <w:tblStyle w:val="a8"/>
        <w:tblW w:w="8865" w:type="dxa"/>
        <w:tblInd w:w="45" w:type="dxa"/>
        <w:tblLayout w:type="fixed"/>
        <w:tblLook w:val="0400" w:firstRow="0" w:lastRow="0" w:firstColumn="0" w:lastColumn="0" w:noHBand="0" w:noVBand="1"/>
      </w:tblPr>
      <w:tblGrid>
        <w:gridCol w:w="3150"/>
        <w:gridCol w:w="1155"/>
        <w:gridCol w:w="1245"/>
        <w:gridCol w:w="1575"/>
        <w:gridCol w:w="1740"/>
      </w:tblGrid>
      <w:tr w:rsidR="006D0435" w14:paraId="2E217AD3" w14:textId="77777777">
        <w:trPr>
          <w:tblHeader/>
        </w:trPr>
        <w:tc>
          <w:tcPr>
            <w:tcW w:w="3150" w:type="dxa"/>
            <w:tcBorders>
              <w:top w:val="single" w:sz="8" w:space="0" w:color="000000"/>
              <w:bottom w:val="single" w:sz="8" w:space="0" w:color="000000"/>
              <w:right w:val="nil"/>
            </w:tcBorders>
            <w:shd w:val="clear" w:color="auto" w:fill="FFFFFF"/>
            <w:tcMar>
              <w:top w:w="120" w:type="dxa"/>
              <w:left w:w="120" w:type="dxa"/>
              <w:bottom w:w="120" w:type="dxa"/>
              <w:right w:w="120" w:type="dxa"/>
            </w:tcMar>
            <w:vAlign w:val="center"/>
          </w:tcPr>
          <w:p w14:paraId="489B14FF"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Feature</w:t>
            </w:r>
          </w:p>
        </w:tc>
        <w:tc>
          <w:tcPr>
            <w:tcW w:w="1155" w:type="dxa"/>
            <w:tcBorders>
              <w:top w:val="single" w:sz="8" w:space="0" w:color="000000"/>
              <w:left w:val="nil"/>
              <w:bottom w:val="single" w:sz="8" w:space="0" w:color="000000"/>
              <w:right w:val="nil"/>
            </w:tcBorders>
            <w:shd w:val="clear" w:color="auto" w:fill="FFFFFF"/>
            <w:tcMar>
              <w:top w:w="120" w:type="dxa"/>
              <w:left w:w="120" w:type="dxa"/>
              <w:bottom w:w="120" w:type="dxa"/>
              <w:right w:w="120" w:type="dxa"/>
            </w:tcMar>
            <w:vAlign w:val="center"/>
          </w:tcPr>
          <w:p w14:paraId="008159E0"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ICE</w:t>
            </w:r>
          </w:p>
        </w:tc>
        <w:tc>
          <w:tcPr>
            <w:tcW w:w="1245" w:type="dxa"/>
            <w:tcBorders>
              <w:top w:val="single" w:sz="8" w:space="0" w:color="000000"/>
              <w:left w:val="nil"/>
              <w:bottom w:val="single" w:sz="8" w:space="0" w:color="000000"/>
              <w:right w:val="nil"/>
            </w:tcBorders>
            <w:shd w:val="clear" w:color="auto" w:fill="FFFFFF"/>
            <w:tcMar>
              <w:top w:w="120" w:type="dxa"/>
              <w:left w:w="120" w:type="dxa"/>
              <w:bottom w:w="120" w:type="dxa"/>
              <w:right w:w="120" w:type="dxa"/>
            </w:tcMar>
            <w:vAlign w:val="center"/>
          </w:tcPr>
          <w:p w14:paraId="7D6194AD"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HEV</w:t>
            </w:r>
          </w:p>
        </w:tc>
        <w:tc>
          <w:tcPr>
            <w:tcW w:w="1575" w:type="dxa"/>
            <w:tcBorders>
              <w:top w:val="single" w:sz="8" w:space="0" w:color="000000"/>
              <w:left w:val="nil"/>
              <w:bottom w:val="single" w:sz="8" w:space="0" w:color="000000"/>
              <w:right w:val="nil"/>
            </w:tcBorders>
            <w:shd w:val="clear" w:color="auto" w:fill="FFFFFF"/>
            <w:tcMar>
              <w:top w:w="120" w:type="dxa"/>
              <w:left w:w="120" w:type="dxa"/>
              <w:bottom w:w="120" w:type="dxa"/>
              <w:right w:w="120" w:type="dxa"/>
            </w:tcMar>
            <w:vAlign w:val="center"/>
          </w:tcPr>
          <w:p w14:paraId="2391BACB"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PHEV</w:t>
            </w:r>
          </w:p>
        </w:tc>
        <w:tc>
          <w:tcPr>
            <w:tcW w:w="1740" w:type="dxa"/>
            <w:tcBorders>
              <w:top w:val="single" w:sz="8" w:space="0" w:color="000000"/>
              <w:left w:val="nil"/>
              <w:bottom w:val="single" w:sz="8" w:space="0" w:color="000000"/>
            </w:tcBorders>
            <w:shd w:val="clear" w:color="auto" w:fill="FFFFFF"/>
            <w:tcMar>
              <w:top w:w="120" w:type="dxa"/>
              <w:left w:w="120" w:type="dxa"/>
              <w:bottom w:w="120" w:type="dxa"/>
              <w:right w:w="120" w:type="dxa"/>
            </w:tcMar>
            <w:vAlign w:val="center"/>
          </w:tcPr>
          <w:p w14:paraId="28B7CC33"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w:t>
            </w:r>
          </w:p>
        </w:tc>
      </w:tr>
      <w:tr w:rsidR="006D0435" w14:paraId="2C3D7A66" w14:textId="77777777">
        <w:trPr>
          <w:trHeight w:val="135"/>
        </w:trPr>
        <w:tc>
          <w:tcPr>
            <w:tcW w:w="3150" w:type="dxa"/>
            <w:tcBorders>
              <w:top w:val="single" w:sz="8" w:space="0" w:color="000000"/>
              <w:bottom w:val="nil"/>
              <w:right w:val="nil"/>
            </w:tcBorders>
            <w:tcMar>
              <w:top w:w="120" w:type="dxa"/>
              <w:left w:w="120" w:type="dxa"/>
              <w:bottom w:w="120" w:type="dxa"/>
              <w:right w:w="120" w:type="dxa"/>
            </w:tcMar>
          </w:tcPr>
          <w:p w14:paraId="5571B044"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Regenerative braking</w:t>
            </w:r>
          </w:p>
        </w:tc>
        <w:tc>
          <w:tcPr>
            <w:tcW w:w="1155" w:type="dxa"/>
            <w:tcBorders>
              <w:top w:val="single" w:sz="8" w:space="0" w:color="000000"/>
              <w:left w:val="nil"/>
              <w:bottom w:val="nil"/>
              <w:right w:val="nil"/>
            </w:tcBorders>
            <w:tcMar>
              <w:top w:w="120" w:type="dxa"/>
              <w:left w:w="120" w:type="dxa"/>
              <w:bottom w:w="120" w:type="dxa"/>
              <w:right w:w="120" w:type="dxa"/>
            </w:tcMar>
          </w:tcPr>
          <w:p w14:paraId="058402B7"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t>
            </w:r>
          </w:p>
        </w:tc>
        <w:tc>
          <w:tcPr>
            <w:tcW w:w="1245" w:type="dxa"/>
            <w:tcBorders>
              <w:top w:val="single" w:sz="8" w:space="0" w:color="000000"/>
              <w:left w:val="nil"/>
              <w:bottom w:val="nil"/>
              <w:right w:val="nil"/>
            </w:tcBorders>
            <w:tcMar>
              <w:top w:w="120" w:type="dxa"/>
              <w:left w:w="120" w:type="dxa"/>
              <w:bottom w:w="120" w:type="dxa"/>
              <w:right w:w="120" w:type="dxa"/>
            </w:tcMar>
          </w:tcPr>
          <w:p w14:paraId="3468CA13"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575" w:type="dxa"/>
            <w:tcBorders>
              <w:top w:val="single" w:sz="8" w:space="0" w:color="000000"/>
              <w:left w:val="nil"/>
              <w:bottom w:val="nil"/>
              <w:right w:val="nil"/>
            </w:tcBorders>
            <w:tcMar>
              <w:top w:w="120" w:type="dxa"/>
              <w:left w:w="120" w:type="dxa"/>
              <w:bottom w:w="120" w:type="dxa"/>
              <w:right w:w="120" w:type="dxa"/>
            </w:tcMar>
          </w:tcPr>
          <w:p w14:paraId="331CF918"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740" w:type="dxa"/>
            <w:tcBorders>
              <w:top w:val="single" w:sz="8" w:space="0" w:color="000000"/>
              <w:left w:val="nil"/>
              <w:bottom w:val="nil"/>
            </w:tcBorders>
            <w:tcMar>
              <w:top w:w="120" w:type="dxa"/>
              <w:left w:w="120" w:type="dxa"/>
              <w:bottom w:w="120" w:type="dxa"/>
              <w:right w:w="120" w:type="dxa"/>
            </w:tcMar>
          </w:tcPr>
          <w:p w14:paraId="798CDE6A"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r>
      <w:tr w:rsidR="006D0435" w14:paraId="36FBE485" w14:textId="77777777">
        <w:tc>
          <w:tcPr>
            <w:tcW w:w="3150" w:type="dxa"/>
            <w:tcBorders>
              <w:top w:val="nil"/>
              <w:bottom w:val="nil"/>
              <w:right w:val="nil"/>
            </w:tcBorders>
            <w:tcMar>
              <w:top w:w="120" w:type="dxa"/>
              <w:left w:w="120" w:type="dxa"/>
              <w:bottom w:w="120" w:type="dxa"/>
              <w:right w:w="120" w:type="dxa"/>
            </w:tcMar>
          </w:tcPr>
          <w:p w14:paraId="4D8D787D"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Energy recovery potential</w:t>
            </w:r>
          </w:p>
        </w:tc>
        <w:tc>
          <w:tcPr>
            <w:tcW w:w="1155" w:type="dxa"/>
            <w:tcBorders>
              <w:top w:val="nil"/>
              <w:left w:val="nil"/>
              <w:bottom w:val="nil"/>
              <w:right w:val="nil"/>
            </w:tcBorders>
            <w:tcMar>
              <w:top w:w="120" w:type="dxa"/>
              <w:left w:w="120" w:type="dxa"/>
              <w:bottom w:w="120" w:type="dxa"/>
              <w:right w:w="120" w:type="dxa"/>
            </w:tcMar>
          </w:tcPr>
          <w:p w14:paraId="475440A8"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1245" w:type="dxa"/>
            <w:tcBorders>
              <w:top w:val="nil"/>
              <w:left w:val="nil"/>
              <w:bottom w:val="nil"/>
              <w:right w:val="nil"/>
            </w:tcBorders>
            <w:tcMar>
              <w:top w:w="120" w:type="dxa"/>
              <w:left w:w="120" w:type="dxa"/>
              <w:bottom w:w="120" w:type="dxa"/>
              <w:right w:w="120" w:type="dxa"/>
            </w:tcMar>
          </w:tcPr>
          <w:p w14:paraId="0641406E"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Moderate</w:t>
            </w:r>
          </w:p>
        </w:tc>
        <w:tc>
          <w:tcPr>
            <w:tcW w:w="1575" w:type="dxa"/>
            <w:tcBorders>
              <w:top w:val="nil"/>
              <w:left w:val="nil"/>
              <w:bottom w:val="nil"/>
              <w:right w:val="nil"/>
            </w:tcBorders>
            <w:tcMar>
              <w:top w:w="120" w:type="dxa"/>
              <w:left w:w="120" w:type="dxa"/>
              <w:bottom w:w="120" w:type="dxa"/>
              <w:right w:w="120" w:type="dxa"/>
            </w:tcMar>
          </w:tcPr>
          <w:p w14:paraId="105175CF"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740" w:type="dxa"/>
            <w:tcBorders>
              <w:top w:val="nil"/>
              <w:left w:val="nil"/>
              <w:bottom w:val="nil"/>
            </w:tcBorders>
            <w:tcMar>
              <w:top w:w="120" w:type="dxa"/>
              <w:left w:w="120" w:type="dxa"/>
              <w:bottom w:w="120" w:type="dxa"/>
              <w:right w:w="120" w:type="dxa"/>
            </w:tcMar>
          </w:tcPr>
          <w:p w14:paraId="2021425E"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r>
      <w:tr w:rsidR="006D0435" w14:paraId="4C16667E" w14:textId="77777777">
        <w:trPr>
          <w:trHeight w:val="672"/>
        </w:trPr>
        <w:tc>
          <w:tcPr>
            <w:tcW w:w="3150" w:type="dxa"/>
            <w:tcBorders>
              <w:top w:val="nil"/>
              <w:bottom w:val="single" w:sz="8" w:space="0" w:color="000000"/>
              <w:right w:val="nil"/>
            </w:tcBorders>
            <w:tcMar>
              <w:top w:w="120" w:type="dxa"/>
              <w:left w:w="120" w:type="dxa"/>
              <w:bottom w:w="120" w:type="dxa"/>
              <w:right w:w="120" w:type="dxa"/>
            </w:tcMar>
          </w:tcPr>
          <w:p w14:paraId="787A8A05" w14:textId="77777777" w:rsidR="006D0435" w:rsidRDefault="00000000">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Urban efficiency improvement</w:t>
            </w:r>
          </w:p>
        </w:tc>
        <w:tc>
          <w:tcPr>
            <w:tcW w:w="1155" w:type="dxa"/>
            <w:tcBorders>
              <w:top w:val="nil"/>
              <w:left w:val="nil"/>
              <w:bottom w:val="single" w:sz="8" w:space="0" w:color="000000"/>
              <w:right w:val="nil"/>
            </w:tcBorders>
            <w:tcMar>
              <w:top w:w="120" w:type="dxa"/>
              <w:left w:w="120" w:type="dxa"/>
              <w:bottom w:w="120" w:type="dxa"/>
              <w:right w:w="120" w:type="dxa"/>
            </w:tcMar>
          </w:tcPr>
          <w:p w14:paraId="100DDB81"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w:t>
            </w:r>
          </w:p>
        </w:tc>
        <w:tc>
          <w:tcPr>
            <w:tcW w:w="1245" w:type="dxa"/>
            <w:tcBorders>
              <w:top w:val="nil"/>
              <w:left w:val="nil"/>
              <w:bottom w:val="single" w:sz="8" w:space="0" w:color="000000"/>
              <w:right w:val="nil"/>
            </w:tcBorders>
            <w:tcMar>
              <w:top w:w="120" w:type="dxa"/>
              <w:left w:w="120" w:type="dxa"/>
              <w:bottom w:w="120" w:type="dxa"/>
              <w:right w:w="120" w:type="dxa"/>
            </w:tcMar>
          </w:tcPr>
          <w:p w14:paraId="7EAA96BC"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Medium</w:t>
            </w:r>
          </w:p>
        </w:tc>
        <w:tc>
          <w:tcPr>
            <w:tcW w:w="1575" w:type="dxa"/>
            <w:tcBorders>
              <w:top w:val="nil"/>
              <w:left w:val="nil"/>
              <w:bottom w:val="single" w:sz="8" w:space="0" w:color="000000"/>
              <w:right w:val="nil"/>
            </w:tcBorders>
            <w:tcMar>
              <w:top w:w="120" w:type="dxa"/>
              <w:left w:w="120" w:type="dxa"/>
              <w:bottom w:w="120" w:type="dxa"/>
              <w:right w:w="120" w:type="dxa"/>
            </w:tcMar>
          </w:tcPr>
          <w:p w14:paraId="7165B74F"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740" w:type="dxa"/>
            <w:tcBorders>
              <w:top w:val="nil"/>
              <w:left w:val="nil"/>
              <w:bottom w:val="single" w:sz="8" w:space="0" w:color="000000"/>
            </w:tcBorders>
            <w:tcMar>
              <w:top w:w="120" w:type="dxa"/>
              <w:left w:w="120" w:type="dxa"/>
              <w:bottom w:w="120" w:type="dxa"/>
              <w:right w:w="120" w:type="dxa"/>
            </w:tcMar>
          </w:tcPr>
          <w:p w14:paraId="66364C34"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Very High</w:t>
            </w:r>
          </w:p>
        </w:tc>
      </w:tr>
    </w:tbl>
    <w:p w14:paraId="1266D66E"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7.3 Well-to-Wheel (WTW) Energy Analysis​​</w:t>
      </w:r>
    </w:p>
    <w:p w14:paraId="0E3CE798"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To properly analyze the energy consumption and environmental impact of vehicles, a complete WTW analysis is needed [</w:t>
      </w:r>
      <w:r>
        <w:rPr>
          <w:rFonts w:ascii="Times New Roman" w:eastAsia="Times New Roman" w:hAnsi="Times New Roman" w:cs="Times New Roman"/>
          <w:sz w:val="24"/>
          <w:szCs w:val="24"/>
        </w:rPr>
        <w:t>133</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138</w:t>
      </w:r>
      <w:r>
        <w:rPr>
          <w:rFonts w:ascii="Times New Roman" w:eastAsia="Times New Roman" w:hAnsi="Times New Roman" w:cs="Times New Roman"/>
          <w:color w:val="000000"/>
          <w:sz w:val="24"/>
          <w:szCs w:val="24"/>
        </w:rPr>
        <w:t>], [146]. This approach considers all the components of energy chain from the primary energy source ("well") to the vehicle's wheels by dividing them into two main phases: Well-to-Tank (WTT) and Tank-to-Wheel (TTW</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 [1</w:t>
      </w:r>
      <w:r>
        <w:rPr>
          <w:rFonts w:ascii="Times New Roman" w:eastAsia="Times New Roman" w:hAnsi="Times New Roman" w:cs="Times New Roman"/>
          <w:sz w:val="24"/>
          <w:szCs w:val="24"/>
        </w:rPr>
        <w:t>47</w:t>
      </w:r>
      <w:proofErr w:type="gramStart"/>
      <w:r>
        <w:rPr>
          <w:rFonts w:ascii="Times New Roman" w:eastAsia="Times New Roman" w:hAnsi="Times New Roman" w:cs="Times New Roman"/>
          <w:color w:val="000000"/>
          <w:sz w:val="24"/>
          <w:szCs w:val="24"/>
        </w:rPr>
        <w:t>] .</w:t>
      </w:r>
      <w:proofErr w:type="gramEnd"/>
    </w:p>
    <w:p w14:paraId="518D7D72" w14:textId="77777777" w:rsidR="006D0435" w:rsidRDefault="00000000">
      <w:pPr>
        <w:spacing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Well-to-Tank (WTT) Efficiency​​: This phase deals with the energy expended to produce and deliver the fuel or electricity to the vehicle’s </w:t>
      </w:r>
      <w:proofErr w:type="gramStart"/>
      <w:r>
        <w:rPr>
          <w:rFonts w:ascii="Times New Roman" w:eastAsia="Times New Roman" w:hAnsi="Times New Roman" w:cs="Times New Roman"/>
          <w:color w:val="000000"/>
          <w:sz w:val="24"/>
          <w:szCs w:val="24"/>
        </w:rPr>
        <w:t>engine[</w:t>
      </w:r>
      <w:proofErr w:type="gramEnd"/>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147</w:t>
      </w:r>
      <w:r>
        <w:rPr>
          <w:rFonts w:ascii="Times New Roman" w:eastAsia="Times New Roman" w:hAnsi="Times New Roman" w:cs="Times New Roman"/>
          <w:color w:val="000000"/>
          <w:sz w:val="24"/>
          <w:szCs w:val="24"/>
        </w:rPr>
        <w:t>]. For liquid fuels, WTT includes crude oil extraction, refining, and distribution [1</w:t>
      </w:r>
      <w:r>
        <w:rPr>
          <w:rFonts w:ascii="Times New Roman" w:eastAsia="Times New Roman" w:hAnsi="Times New Roman" w:cs="Times New Roman"/>
          <w:sz w:val="24"/>
          <w:szCs w:val="24"/>
        </w:rPr>
        <w:t>48</w:t>
      </w:r>
      <w:r>
        <w:rPr>
          <w:rFonts w:ascii="Times New Roman" w:eastAsia="Times New Roman" w:hAnsi="Times New Roman" w:cs="Times New Roman"/>
          <w:color w:val="000000"/>
          <w:sz w:val="24"/>
          <w:szCs w:val="24"/>
        </w:rPr>
        <w:t xml:space="preserve">]. For electric vehicles, WTT considers the energy consumption and losses associated with electricity generation at power plants (thermal efficiency) and subsequent transmission losses across the electrical </w:t>
      </w:r>
      <w:proofErr w:type="gramStart"/>
      <w:r>
        <w:rPr>
          <w:rFonts w:ascii="Times New Roman" w:eastAsia="Times New Roman" w:hAnsi="Times New Roman" w:cs="Times New Roman"/>
          <w:color w:val="000000"/>
          <w:sz w:val="24"/>
          <w:szCs w:val="24"/>
        </w:rPr>
        <w:t>grid[</w:t>
      </w:r>
      <w:proofErr w:type="gramEnd"/>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 [1</w:t>
      </w:r>
      <w:r>
        <w:rPr>
          <w:rFonts w:ascii="Times New Roman" w:eastAsia="Times New Roman" w:hAnsi="Times New Roman" w:cs="Times New Roman"/>
          <w:sz w:val="24"/>
          <w:szCs w:val="24"/>
        </w:rPr>
        <w:t>47</w:t>
      </w:r>
      <w:r>
        <w:rPr>
          <w:rFonts w:ascii="Times New Roman" w:eastAsia="Times New Roman" w:hAnsi="Times New Roman" w:cs="Times New Roman"/>
          <w:color w:val="000000"/>
          <w:sz w:val="24"/>
          <w:szCs w:val="24"/>
        </w:rPr>
        <w:t>], [1</w:t>
      </w:r>
      <w:r>
        <w:rPr>
          <w:rFonts w:ascii="Times New Roman" w:eastAsia="Times New Roman" w:hAnsi="Times New Roman" w:cs="Times New Roman"/>
          <w:sz w:val="24"/>
          <w:szCs w:val="24"/>
        </w:rPr>
        <w:t>49</w:t>
      </w:r>
      <w:proofErr w:type="gramStart"/>
      <w:r>
        <w:rPr>
          <w:rFonts w:ascii="Times New Roman" w:eastAsia="Times New Roman" w:hAnsi="Times New Roman" w:cs="Times New Roman"/>
          <w:color w:val="000000"/>
          <w:sz w:val="24"/>
          <w:szCs w:val="24"/>
        </w:rPr>
        <w:t>] .</w:t>
      </w:r>
      <w:proofErr w:type="gramEnd"/>
      <w:r>
        <w:rPr>
          <w:rFonts w:ascii="Times New Roman" w:eastAsia="Times New Roman" w:hAnsi="Times New Roman" w:cs="Times New Roman"/>
          <w:color w:val="000000"/>
          <w:sz w:val="24"/>
          <w:szCs w:val="24"/>
        </w:rPr>
        <w:t xml:space="preserve"> This stage highlights the "upstream" energy debt incurred before the vehicle even begins </w:t>
      </w:r>
      <w:proofErr w:type="gramStart"/>
      <w:r>
        <w:rPr>
          <w:rFonts w:ascii="Times New Roman" w:eastAsia="Times New Roman" w:hAnsi="Times New Roman" w:cs="Times New Roman"/>
          <w:color w:val="000000"/>
          <w:sz w:val="24"/>
          <w:szCs w:val="24"/>
        </w:rPr>
        <w:t>operation[</w:t>
      </w:r>
      <w:proofErr w:type="gramEnd"/>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47</w:t>
      </w:r>
      <w:proofErr w:type="gramStart"/>
      <w:r>
        <w:rPr>
          <w:rFonts w:ascii="Times New Roman" w:eastAsia="Times New Roman" w:hAnsi="Times New Roman" w:cs="Times New Roman"/>
          <w:color w:val="000000"/>
          <w:sz w:val="24"/>
          <w:szCs w:val="24"/>
        </w:rPr>
        <w:t>] .</w:t>
      </w:r>
      <w:proofErr w:type="gramEnd"/>
    </w:p>
    <w:p w14:paraId="3C126657" w14:textId="77777777" w:rsidR="006D0435" w:rsidRDefault="00000000">
      <w:pPr>
        <w:spacing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Tank-to-Wheel (TTW) Efficiency​​: This metric quantifies how efficiently the energy stored onboard (fuel tank or battery pack) is converted into mechanical work at the drive wheels [</w:t>
      </w:r>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138</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149</w:t>
      </w:r>
      <w:r>
        <w:rPr>
          <w:rFonts w:ascii="Times New Roman" w:eastAsia="Times New Roman" w:hAnsi="Times New Roman" w:cs="Times New Roman"/>
          <w:color w:val="000000"/>
          <w:sz w:val="24"/>
          <w:szCs w:val="24"/>
        </w:rPr>
        <w:t xml:space="preserve">]. As previously discussed, electric drivetrains exhibit superior TTW performance due to the high efficiency of electric motors and the absence of idling losses, significantly outperforming conventional engines during this operational </w:t>
      </w:r>
      <w:proofErr w:type="gramStart"/>
      <w:r>
        <w:rPr>
          <w:rFonts w:ascii="Times New Roman" w:eastAsia="Times New Roman" w:hAnsi="Times New Roman" w:cs="Times New Roman"/>
          <w:color w:val="000000"/>
          <w:sz w:val="24"/>
          <w:szCs w:val="24"/>
        </w:rPr>
        <w:t>phase[</w:t>
      </w:r>
      <w:proofErr w:type="gramEnd"/>
      <w:r>
        <w:rPr>
          <w:rFonts w:ascii="Times New Roman" w:eastAsia="Times New Roman" w:hAnsi="Times New Roman" w:cs="Times New Roman"/>
          <w:sz w:val="24"/>
          <w:szCs w:val="24"/>
        </w:rPr>
        <w:t>138</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150</w:t>
      </w:r>
      <w:proofErr w:type="gramStart"/>
      <w:r>
        <w:rPr>
          <w:rFonts w:ascii="Times New Roman" w:eastAsia="Times New Roman" w:hAnsi="Times New Roman" w:cs="Times New Roman"/>
          <w:color w:val="000000"/>
          <w:sz w:val="24"/>
          <w:szCs w:val="24"/>
        </w:rPr>
        <w:t>] .</w:t>
      </w:r>
      <w:proofErr w:type="gramEnd"/>
    </w:p>
    <w:p w14:paraId="28ECEEF9"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overall environmental and energetic benefit of electric propulsion is intrinsically linked to the primary energy source of the grid supplying </w:t>
      </w:r>
      <w:proofErr w:type="gramStart"/>
      <w:r>
        <w:rPr>
          <w:rFonts w:ascii="Times New Roman" w:eastAsia="Times New Roman" w:hAnsi="Times New Roman" w:cs="Times New Roman"/>
          <w:color w:val="000000"/>
          <w:sz w:val="24"/>
          <w:szCs w:val="24"/>
        </w:rPr>
        <w:t>electricity[</w:t>
      </w:r>
      <w:proofErr w:type="gramEnd"/>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 [146], [1</w:t>
      </w:r>
      <w:r>
        <w:rPr>
          <w:rFonts w:ascii="Times New Roman" w:eastAsia="Times New Roman" w:hAnsi="Times New Roman" w:cs="Times New Roman"/>
          <w:sz w:val="24"/>
          <w:szCs w:val="24"/>
        </w:rPr>
        <w:t>47</w:t>
      </w:r>
      <w:r>
        <w:rPr>
          <w:rFonts w:ascii="Times New Roman" w:eastAsia="Times New Roman" w:hAnsi="Times New Roman" w:cs="Times New Roman"/>
          <w:color w:val="000000"/>
          <w:sz w:val="24"/>
          <w:szCs w:val="24"/>
        </w:rPr>
        <w:t>], [1</w:t>
      </w:r>
      <w:r>
        <w:rPr>
          <w:rFonts w:ascii="Times New Roman" w:eastAsia="Times New Roman" w:hAnsi="Times New Roman" w:cs="Times New Roman"/>
          <w:sz w:val="24"/>
          <w:szCs w:val="24"/>
        </w:rPr>
        <w:t>51</w:t>
      </w:r>
      <w:proofErr w:type="gramStart"/>
      <w:r>
        <w:rPr>
          <w:rFonts w:ascii="Times New Roman" w:eastAsia="Times New Roman" w:hAnsi="Times New Roman" w:cs="Times New Roman"/>
          <w:color w:val="000000"/>
          <w:sz w:val="24"/>
          <w:szCs w:val="24"/>
        </w:rPr>
        <w:t>] .</w:t>
      </w:r>
      <w:proofErr w:type="gramEnd"/>
    </w:p>
    <w:p w14:paraId="2498985B"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7.4 Greenhouse Gas Emissions Comparison</w:t>
      </w:r>
    </w:p>
    <w:p w14:paraId="0D19A2FE"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Coal-Based Grid: Using coal for electricity generation in main power plant results in the highest amount of carbon emissions and also results in the lowest system efficiency. Coal driven power plants generally have thermal efficiencies that is belo35% which causes heavy WTT losses that can to some extent negate the TTW advantages of electric motors. Despite this </w:t>
      </w:r>
      <w:proofErr w:type="gramStart"/>
      <w:r>
        <w:rPr>
          <w:rFonts w:ascii="Times New Roman" w:eastAsia="Times New Roman" w:hAnsi="Times New Roman" w:cs="Times New Roman"/>
          <w:color w:val="000000"/>
          <w:sz w:val="24"/>
          <w:szCs w:val="24"/>
        </w:rPr>
        <w:t>flaw,  EVs</w:t>
      </w:r>
      <w:proofErr w:type="gramEnd"/>
      <w:r>
        <w:rPr>
          <w:rFonts w:ascii="Times New Roman" w:eastAsia="Times New Roman" w:hAnsi="Times New Roman" w:cs="Times New Roman"/>
          <w:color w:val="000000"/>
          <w:sz w:val="24"/>
          <w:szCs w:val="24"/>
        </w:rPr>
        <w:t xml:space="preserve"> still maintain a slight advantage in overall CO2 output compared to traditional petrol </w:t>
      </w:r>
      <w:proofErr w:type="gramStart"/>
      <w:r>
        <w:rPr>
          <w:rFonts w:ascii="Times New Roman" w:eastAsia="Times New Roman" w:hAnsi="Times New Roman" w:cs="Times New Roman"/>
          <w:color w:val="000000"/>
          <w:sz w:val="24"/>
          <w:szCs w:val="24"/>
        </w:rPr>
        <w:t>engines .</w:t>
      </w:r>
      <w:proofErr w:type="gramEnd"/>
    </w:p>
    <w:p w14:paraId="2B8EAC23"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Natural Gas Grid: Natural gas is a more efficient alternative fuel source. Combined-cycle gas turbines (CCGT) can deliver thermal efficiencies that exceeds 60</w:t>
      </w:r>
      <w:proofErr w:type="gramStart"/>
      <w:r>
        <w:rPr>
          <w:rFonts w:ascii="Times New Roman" w:eastAsia="Times New Roman" w:hAnsi="Times New Roman" w:cs="Times New Roman"/>
          <w:color w:val="000000"/>
          <w:sz w:val="24"/>
          <w:szCs w:val="24"/>
        </w:rPr>
        <w:t>% .</w:t>
      </w:r>
      <w:proofErr w:type="gramEnd"/>
      <w:r>
        <w:rPr>
          <w:rFonts w:ascii="Times New Roman" w:eastAsia="Times New Roman" w:hAnsi="Times New Roman" w:cs="Times New Roman"/>
          <w:color w:val="000000"/>
          <w:sz w:val="24"/>
          <w:szCs w:val="24"/>
        </w:rPr>
        <w:t xml:space="preserve"> This hugely reduces WTT energy waste and makes the gas-powered electric charging system a superior option to both coal and direct petroleum combustion in terms of both efficiency and emissions.</w:t>
      </w:r>
    </w:p>
    <w:p w14:paraId="1B6E8798"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Renewable Grid: A grid which is powered entirely and solely by renewable energy sources such as wind, solar or hydropower is the most optimal pathway of energy. By avoiding the thermal combustion entirely, WTT losses are minimized to basic transmission and distribution losses which are much less significant in amount. In this scenario, the "well-to-wheel" lifecycle achieves maximum efficiency and reduces the total greenhouse gas emissions by over 70% compared to the fossil fuel alternative system’s </w:t>
      </w:r>
      <w:proofErr w:type="gramStart"/>
      <w:r>
        <w:rPr>
          <w:rFonts w:ascii="Times New Roman" w:eastAsia="Times New Roman" w:hAnsi="Times New Roman" w:cs="Times New Roman"/>
          <w:color w:val="000000"/>
          <w:sz w:val="24"/>
          <w:szCs w:val="24"/>
        </w:rPr>
        <w:t>baselines .</w:t>
      </w:r>
      <w:proofErr w:type="gramEnd"/>
    </w:p>
    <w:p w14:paraId="7A5493A1"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Life Cycle Assessment (LCA): The comprehensive life cycle assessment (LCA) is essential for determining the full impact of the different vehicular technologies on the environment, starting from the from raw material extraction to the recycling at the end of its life. This holistic approach covering all the aspects reveals that while EVs offer significant advantages during their operational phase, their overall environmental footprint is most significantly influenced by their manufacturing process and disposal </w:t>
      </w:r>
      <w:proofErr w:type="gramStart"/>
      <w:r>
        <w:rPr>
          <w:rFonts w:ascii="Times New Roman" w:eastAsia="Times New Roman" w:hAnsi="Times New Roman" w:cs="Times New Roman"/>
          <w:color w:val="000000"/>
          <w:sz w:val="24"/>
          <w:szCs w:val="24"/>
        </w:rPr>
        <w:t>potential .The</w:t>
      </w:r>
      <w:proofErr w:type="gramEnd"/>
      <w:r>
        <w:rPr>
          <w:rFonts w:ascii="Times New Roman" w:eastAsia="Times New Roman" w:hAnsi="Times New Roman" w:cs="Times New Roman"/>
          <w:color w:val="000000"/>
          <w:sz w:val="24"/>
          <w:szCs w:val="24"/>
        </w:rPr>
        <w:t xml:space="preserve"> lifecycle of a typical battery system involves four critical stages:</w:t>
      </w:r>
    </w:p>
    <w:p w14:paraId="19B07749"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Raw Material Extraction: This is the initial phase that focuses on acquiring key minerals for vehicle production such as lithium, cobalt, and </w:t>
      </w:r>
      <w:proofErr w:type="gramStart"/>
      <w:r>
        <w:rPr>
          <w:rFonts w:ascii="Times New Roman" w:eastAsia="Times New Roman" w:hAnsi="Times New Roman" w:cs="Times New Roman"/>
          <w:color w:val="000000"/>
          <w:sz w:val="24"/>
          <w:szCs w:val="24"/>
        </w:rPr>
        <w:t>nickel .</w:t>
      </w:r>
      <w:proofErr w:type="gramEnd"/>
      <w:r>
        <w:rPr>
          <w:rFonts w:ascii="Times New Roman" w:eastAsia="Times New Roman" w:hAnsi="Times New Roman" w:cs="Times New Roman"/>
          <w:color w:val="000000"/>
          <w:sz w:val="24"/>
          <w:szCs w:val="24"/>
        </w:rPr>
        <w:t xml:space="preserve"> These processes often involve processes such as brine evaporation or hard-rock mining for lithium and ore processing for cobalt and nickel which are widely criticized for high amount of water usage and causing harm to local </w:t>
      </w:r>
      <w:proofErr w:type="gramStart"/>
      <w:r>
        <w:rPr>
          <w:rFonts w:ascii="Times New Roman" w:eastAsia="Times New Roman" w:hAnsi="Times New Roman" w:cs="Times New Roman"/>
          <w:color w:val="000000"/>
          <w:sz w:val="24"/>
          <w:szCs w:val="24"/>
        </w:rPr>
        <w:t>ecology .</w:t>
      </w:r>
      <w:proofErr w:type="gramEnd"/>
      <w:r>
        <w:rPr>
          <w:rFonts w:ascii="Times New Roman" w:eastAsia="Times New Roman" w:hAnsi="Times New Roman" w:cs="Times New Roman"/>
          <w:color w:val="000000"/>
          <w:sz w:val="24"/>
          <w:szCs w:val="24"/>
        </w:rPr>
        <w:t xml:space="preserve"> This is what is called the "upstream" environmental </w:t>
      </w:r>
      <w:proofErr w:type="gramStart"/>
      <w:r>
        <w:rPr>
          <w:rFonts w:ascii="Times New Roman" w:eastAsia="Times New Roman" w:hAnsi="Times New Roman" w:cs="Times New Roman"/>
          <w:color w:val="000000"/>
          <w:sz w:val="24"/>
          <w:szCs w:val="24"/>
        </w:rPr>
        <w:t>debt .</w:t>
      </w:r>
      <w:proofErr w:type="gramEnd"/>
    </w:p>
    <w:p w14:paraId="21DCDF4C"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Manufacturing and Assembly: Battery production is an energy-intensive process, accounting for nearly half of the total greenhouse gas emissions in an EV's pre-operational </w:t>
      </w:r>
      <w:proofErr w:type="gramStart"/>
      <w:r>
        <w:rPr>
          <w:rFonts w:ascii="Times New Roman" w:eastAsia="Times New Roman" w:hAnsi="Times New Roman" w:cs="Times New Roman"/>
          <w:color w:val="000000"/>
          <w:sz w:val="24"/>
          <w:szCs w:val="24"/>
        </w:rPr>
        <w:t>life .</w:t>
      </w:r>
      <w:proofErr w:type="gramEnd"/>
      <w:r>
        <w:rPr>
          <w:rFonts w:ascii="Times New Roman" w:eastAsia="Times New Roman" w:hAnsi="Times New Roman" w:cs="Times New Roman"/>
          <w:color w:val="000000"/>
          <w:sz w:val="24"/>
          <w:szCs w:val="24"/>
        </w:rPr>
        <w:t xml:space="preserve"> Significant energy is consumed during electrode coating, maintaining ultra-low humidity in dry rooms, and the initial charging cycles (formation and aging</w:t>
      </w:r>
      <w:proofErr w:type="gramStart"/>
      <w:r>
        <w:rPr>
          <w:rFonts w:ascii="Times New Roman" w:eastAsia="Times New Roman" w:hAnsi="Times New Roman" w:cs="Times New Roman"/>
          <w:color w:val="000000"/>
          <w:sz w:val="24"/>
          <w:szCs w:val="24"/>
        </w:rPr>
        <w:t>) .</w:t>
      </w:r>
      <w:proofErr w:type="gramEnd"/>
    </w:p>
    <w:p w14:paraId="316F2DCB"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Operation Phase: This is the longest phase, where the vehicle's utility is </w:t>
      </w:r>
      <w:proofErr w:type="gramStart"/>
      <w:r>
        <w:rPr>
          <w:rFonts w:ascii="Times New Roman" w:eastAsia="Times New Roman" w:hAnsi="Times New Roman" w:cs="Times New Roman"/>
          <w:color w:val="000000"/>
          <w:sz w:val="24"/>
          <w:szCs w:val="24"/>
        </w:rPr>
        <w:t>realized .</w:t>
      </w:r>
      <w:proofErr w:type="gramEnd"/>
      <w:r>
        <w:rPr>
          <w:rFonts w:ascii="Times New Roman" w:eastAsia="Times New Roman" w:hAnsi="Times New Roman" w:cs="Times New Roman"/>
          <w:color w:val="000000"/>
          <w:sz w:val="24"/>
          <w:szCs w:val="24"/>
        </w:rPr>
        <w:t xml:space="preserve"> Electric drivetrains convert over 85% of stored energy into movement, far outperforming combustion </w:t>
      </w:r>
      <w:proofErr w:type="gramStart"/>
      <w:r>
        <w:rPr>
          <w:rFonts w:ascii="Times New Roman" w:eastAsia="Times New Roman" w:hAnsi="Times New Roman" w:cs="Times New Roman"/>
          <w:color w:val="000000"/>
          <w:sz w:val="24"/>
          <w:szCs w:val="24"/>
        </w:rPr>
        <w:t>alternatives .</w:t>
      </w:r>
      <w:proofErr w:type="gramEnd"/>
      <w:r>
        <w:rPr>
          <w:rFonts w:ascii="Times New Roman" w:eastAsia="Times New Roman" w:hAnsi="Times New Roman" w:cs="Times New Roman"/>
          <w:color w:val="000000"/>
          <w:sz w:val="24"/>
          <w:szCs w:val="24"/>
        </w:rPr>
        <w:t xml:space="preserve"> The environmental impact of this phase is directly dependent on the carbon footprint of the local electrical grid system.</w:t>
      </w:r>
    </w:p>
    <w:p w14:paraId="113C8DA8"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End-of-Life (</w:t>
      </w:r>
      <w:proofErr w:type="spellStart"/>
      <w:r>
        <w:rPr>
          <w:rFonts w:ascii="Times New Roman" w:eastAsia="Times New Roman" w:hAnsi="Times New Roman" w:cs="Times New Roman"/>
          <w:color w:val="000000"/>
          <w:sz w:val="24"/>
          <w:szCs w:val="24"/>
        </w:rPr>
        <w:t>EoL</w:t>
      </w:r>
      <w:proofErr w:type="spellEnd"/>
      <w:r>
        <w:rPr>
          <w:rFonts w:ascii="Times New Roman" w:eastAsia="Times New Roman" w:hAnsi="Times New Roman" w:cs="Times New Roman"/>
          <w:color w:val="000000"/>
          <w:sz w:val="24"/>
          <w:szCs w:val="24"/>
        </w:rPr>
        <w:t xml:space="preserve">) and Recycling: As batteries reach the end of their usability at typically 70-80% of original capacity and then they are repurposed for second-life applications like stationary grid storage or have to be recycled by the appropriate </w:t>
      </w:r>
      <w:proofErr w:type="gramStart"/>
      <w:r>
        <w:rPr>
          <w:rFonts w:ascii="Times New Roman" w:eastAsia="Times New Roman" w:hAnsi="Times New Roman" w:cs="Times New Roman"/>
          <w:color w:val="000000"/>
          <w:sz w:val="24"/>
          <w:szCs w:val="24"/>
        </w:rPr>
        <w:t>methods .</w:t>
      </w:r>
      <w:proofErr w:type="gramEnd"/>
      <w:r>
        <w:rPr>
          <w:rFonts w:ascii="Times New Roman" w:eastAsia="Times New Roman" w:hAnsi="Times New Roman" w:cs="Times New Roman"/>
          <w:color w:val="000000"/>
          <w:sz w:val="24"/>
          <w:szCs w:val="24"/>
        </w:rPr>
        <w:t xml:space="preserve"> Recycling using proper methods such as pyrometallurgical or hydrometallurgical processes are a must in order to recover high-value metals which can be recirculated to foster a circular economy and also reduce the need for new material </w:t>
      </w:r>
      <w:proofErr w:type="gramStart"/>
      <w:r>
        <w:rPr>
          <w:rFonts w:ascii="Times New Roman" w:eastAsia="Times New Roman" w:hAnsi="Times New Roman" w:cs="Times New Roman"/>
          <w:color w:val="000000"/>
          <w:sz w:val="24"/>
          <w:szCs w:val="24"/>
        </w:rPr>
        <w:t>extraction .</w:t>
      </w:r>
      <w:proofErr w:type="gramEnd"/>
    </w:p>
    <w:p w14:paraId="5B130F64"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Initial Manufacturing Emissions: LCA studies regularly show that EVs have a higher value of initial environmental footprint than </w:t>
      </w:r>
      <w:proofErr w:type="gramStart"/>
      <w:r>
        <w:rPr>
          <w:rFonts w:ascii="Times New Roman" w:eastAsia="Times New Roman" w:hAnsi="Times New Roman" w:cs="Times New Roman"/>
          <w:color w:val="000000"/>
          <w:sz w:val="24"/>
          <w:szCs w:val="24"/>
        </w:rPr>
        <w:t>ICEVs  mainly</w:t>
      </w:r>
      <w:proofErr w:type="gramEnd"/>
      <w:r>
        <w:rPr>
          <w:rFonts w:ascii="Times New Roman" w:eastAsia="Times New Roman" w:hAnsi="Times New Roman" w:cs="Times New Roman"/>
          <w:color w:val="000000"/>
          <w:sz w:val="24"/>
          <w:szCs w:val="24"/>
        </w:rPr>
        <w:t xml:space="preserve"> due to the production of its lithium-ion batteries with high capacity [</w:t>
      </w:r>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 The manufacturing process of an EV typically causes 30% to 40% more CO2 emissions than a similar petrol or diesel vehicle mainly due to its heat-intensive processes of electrode drying and the extraction of many different critical minerals [</w:t>
      </w:r>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w:t>
      </w:r>
    </w:p>
    <w:p w14:paraId="0542535C"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Lifetime Operational Offset: even with the high initial manufacturing emissions, the superior efficiency levels of electric vehicles allow them to achieve carbon parity relatively earlier in their life </w:t>
      </w:r>
      <w:proofErr w:type="gramStart"/>
      <w:r>
        <w:rPr>
          <w:rFonts w:ascii="Times New Roman" w:eastAsia="Times New Roman" w:hAnsi="Times New Roman" w:cs="Times New Roman"/>
          <w:color w:val="000000"/>
          <w:sz w:val="24"/>
          <w:szCs w:val="24"/>
        </w:rPr>
        <w:t>service[</w:t>
      </w:r>
      <w:proofErr w:type="gramEnd"/>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 On an average estimation, an EV offsets its higher production emissions within 15,000 to 30,000 miles (around 1 to 2 years of typical driving on the road) [</w:t>
      </w:r>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 xml:space="preserve">]. Over the lifespan of on average 15 </w:t>
      </w:r>
      <w:proofErr w:type="gramStart"/>
      <w:r>
        <w:rPr>
          <w:rFonts w:ascii="Times New Roman" w:eastAsia="Times New Roman" w:hAnsi="Times New Roman" w:cs="Times New Roman"/>
          <w:color w:val="000000"/>
          <w:sz w:val="24"/>
          <w:szCs w:val="24"/>
        </w:rPr>
        <w:t>years ,</w:t>
      </w:r>
      <w:proofErr w:type="gramEnd"/>
      <w:r>
        <w:rPr>
          <w:rFonts w:ascii="Times New Roman" w:eastAsia="Times New Roman" w:hAnsi="Times New Roman" w:cs="Times New Roman"/>
          <w:color w:val="000000"/>
          <w:sz w:val="24"/>
          <w:szCs w:val="24"/>
        </w:rPr>
        <w:t xml:space="preserve"> total GHG emissions from </w:t>
      </w:r>
      <w:r>
        <w:rPr>
          <w:rFonts w:ascii="Times New Roman" w:eastAsia="Times New Roman" w:hAnsi="Times New Roman" w:cs="Times New Roman"/>
          <w:color w:val="000000"/>
          <w:sz w:val="24"/>
          <w:szCs w:val="24"/>
        </w:rPr>
        <w:lastRenderedPageBreak/>
        <w:t>an EV comes out to be 50% to 70% lower than its ICE counterpart which is a gap that widens as the national grid includes more renewable and cleaner sources of energy [</w:t>
      </w:r>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w:t>
      </w:r>
    </w:p>
    <w:p w14:paraId="5C84B6B4"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Mitigation via Circular Economy: The implementation of advanced recycling technologies is fundamental for the reduction of the total lifecycle impact of an EV [</w:t>
      </w:r>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 xml:space="preserve">]. By using the hydrometallurgical recycling processes manufacturers can end up reclaiming up to 95% of its </w:t>
      </w:r>
      <w:proofErr w:type="gramStart"/>
      <w:r>
        <w:rPr>
          <w:rFonts w:ascii="Times New Roman" w:eastAsia="Times New Roman" w:hAnsi="Times New Roman" w:cs="Times New Roman"/>
          <w:color w:val="000000"/>
          <w:sz w:val="24"/>
          <w:szCs w:val="24"/>
        </w:rPr>
        <w:t>key  materials</w:t>
      </w:r>
      <w:proofErr w:type="gramEnd"/>
      <w:r>
        <w:rPr>
          <w:rFonts w:ascii="Times New Roman" w:eastAsia="Times New Roman" w:hAnsi="Times New Roman" w:cs="Times New Roman"/>
          <w:color w:val="000000"/>
          <w:sz w:val="24"/>
          <w:szCs w:val="24"/>
        </w:rPr>
        <w:t xml:space="preserve"> for battery </w:t>
      </w:r>
      <w:proofErr w:type="gramStart"/>
      <w:r>
        <w:rPr>
          <w:rFonts w:ascii="Times New Roman" w:eastAsia="Times New Roman" w:hAnsi="Times New Roman" w:cs="Times New Roman"/>
          <w:color w:val="000000"/>
          <w:sz w:val="24"/>
          <w:szCs w:val="24"/>
        </w:rPr>
        <w:t>production[</w:t>
      </w:r>
      <w:proofErr w:type="gramEnd"/>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 This is an effective closed loop recycling that can ultimately decrease the total lifecycle emissions of a battery system by 20% to 40% and also significantly reduce the need for further mining [</w:t>
      </w:r>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w:t>
      </w:r>
    </w:p>
    <w:tbl>
      <w:tblPr>
        <w:tblStyle w:val="a9"/>
        <w:tblW w:w="10784" w:type="dxa"/>
        <w:tblInd w:w="0" w:type="dxa"/>
        <w:tblLayout w:type="fixed"/>
        <w:tblLook w:val="0400" w:firstRow="0" w:lastRow="0" w:firstColumn="0" w:lastColumn="0" w:noHBand="0" w:noVBand="1"/>
      </w:tblPr>
      <w:tblGrid>
        <w:gridCol w:w="1635"/>
        <w:gridCol w:w="3212"/>
        <w:gridCol w:w="2504"/>
        <w:gridCol w:w="3433"/>
      </w:tblGrid>
      <w:tr w:rsidR="006D0435" w14:paraId="351C3274" w14:textId="77777777">
        <w:trPr>
          <w:trHeight w:val="563"/>
          <w:tblHeader/>
        </w:trPr>
        <w:tc>
          <w:tcPr>
            <w:tcW w:w="1635" w:type="dxa"/>
            <w:tcBorders>
              <w:top w:val="single" w:sz="8" w:space="0" w:color="000000"/>
              <w:bottom w:val="single" w:sz="8" w:space="0" w:color="000000"/>
            </w:tcBorders>
            <w:tcMar>
              <w:top w:w="120" w:type="dxa"/>
              <w:left w:w="180" w:type="dxa"/>
              <w:bottom w:w="120" w:type="dxa"/>
              <w:right w:w="180" w:type="dxa"/>
            </w:tcMar>
            <w:vAlign w:val="center"/>
          </w:tcPr>
          <w:p w14:paraId="6A61FFC3"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Phase</w:t>
            </w:r>
          </w:p>
        </w:tc>
        <w:tc>
          <w:tcPr>
            <w:tcW w:w="3212" w:type="dxa"/>
            <w:tcBorders>
              <w:top w:val="single" w:sz="8" w:space="0" w:color="000000"/>
              <w:bottom w:val="single" w:sz="8" w:space="0" w:color="000000"/>
            </w:tcBorders>
            <w:tcMar>
              <w:top w:w="120" w:type="dxa"/>
              <w:left w:w="180" w:type="dxa"/>
              <w:bottom w:w="120" w:type="dxa"/>
              <w:right w:w="180" w:type="dxa"/>
            </w:tcMar>
            <w:vAlign w:val="center"/>
          </w:tcPr>
          <w:p w14:paraId="4C9DDD04"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EV Impact</w:t>
            </w:r>
          </w:p>
        </w:tc>
        <w:tc>
          <w:tcPr>
            <w:tcW w:w="2504" w:type="dxa"/>
            <w:tcBorders>
              <w:top w:val="single" w:sz="8" w:space="0" w:color="000000"/>
              <w:bottom w:val="single" w:sz="8" w:space="0" w:color="000000"/>
            </w:tcBorders>
            <w:tcMar>
              <w:top w:w="120" w:type="dxa"/>
              <w:left w:w="180" w:type="dxa"/>
              <w:bottom w:w="120" w:type="dxa"/>
              <w:right w:w="180" w:type="dxa"/>
            </w:tcMar>
            <w:vAlign w:val="center"/>
          </w:tcPr>
          <w:p w14:paraId="5F34C1FC" w14:textId="77777777" w:rsidR="006D0435" w:rsidRDefault="00000000">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ICE Impact</w:t>
            </w:r>
          </w:p>
        </w:tc>
        <w:tc>
          <w:tcPr>
            <w:tcW w:w="3433" w:type="dxa"/>
            <w:tcBorders>
              <w:top w:val="single" w:sz="8" w:space="0" w:color="000000"/>
              <w:bottom w:val="single" w:sz="8" w:space="0" w:color="000000"/>
            </w:tcBorders>
            <w:tcMar>
              <w:top w:w="120" w:type="dxa"/>
              <w:left w:w="180" w:type="dxa"/>
              <w:bottom w:w="120" w:type="dxa"/>
              <w:right w:w="180" w:type="dxa"/>
            </w:tcMar>
            <w:vAlign w:val="center"/>
          </w:tcPr>
          <w:p w14:paraId="0602D118"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Net Result</w:t>
            </w:r>
          </w:p>
        </w:tc>
      </w:tr>
      <w:tr w:rsidR="006D0435" w14:paraId="60861AB6" w14:textId="77777777">
        <w:tc>
          <w:tcPr>
            <w:tcW w:w="1635" w:type="dxa"/>
            <w:tcBorders>
              <w:top w:val="single" w:sz="8" w:space="0" w:color="000000"/>
            </w:tcBorders>
            <w:tcMar>
              <w:top w:w="120" w:type="dxa"/>
              <w:left w:w="180" w:type="dxa"/>
              <w:bottom w:w="120" w:type="dxa"/>
              <w:right w:w="180" w:type="dxa"/>
            </w:tcMar>
            <w:vAlign w:val="center"/>
          </w:tcPr>
          <w:p w14:paraId="15C8507A"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Production</w:t>
            </w:r>
          </w:p>
        </w:tc>
        <w:tc>
          <w:tcPr>
            <w:tcW w:w="3212" w:type="dxa"/>
            <w:tcBorders>
              <w:top w:val="single" w:sz="8" w:space="0" w:color="000000"/>
            </w:tcBorders>
            <w:tcMar>
              <w:top w:w="120" w:type="dxa"/>
              <w:left w:w="180" w:type="dxa"/>
              <w:bottom w:w="120" w:type="dxa"/>
              <w:right w:w="180" w:type="dxa"/>
            </w:tcMar>
            <w:vAlign w:val="center"/>
          </w:tcPr>
          <w:p w14:paraId="40C424F9"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High</w:t>
            </w:r>
            <w:r>
              <w:rPr>
                <w:rFonts w:ascii="Times New Roman" w:eastAsia="Times New Roman" w:hAnsi="Times New Roman" w:cs="Times New Roman"/>
                <w:color w:val="000000"/>
                <w:sz w:val="24"/>
                <w:szCs w:val="24"/>
              </w:rPr>
              <w:t xml:space="preserve"> (Battery debt)</w:t>
            </w:r>
          </w:p>
        </w:tc>
        <w:tc>
          <w:tcPr>
            <w:tcW w:w="2504" w:type="dxa"/>
            <w:tcBorders>
              <w:top w:val="single" w:sz="8" w:space="0" w:color="000000"/>
            </w:tcBorders>
            <w:tcMar>
              <w:top w:w="120" w:type="dxa"/>
              <w:left w:w="180" w:type="dxa"/>
              <w:bottom w:w="120" w:type="dxa"/>
              <w:right w:w="180" w:type="dxa"/>
            </w:tcMar>
            <w:vAlign w:val="center"/>
          </w:tcPr>
          <w:p w14:paraId="3FCB3754"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Moderate</w:t>
            </w:r>
          </w:p>
        </w:tc>
        <w:tc>
          <w:tcPr>
            <w:tcW w:w="3433" w:type="dxa"/>
            <w:tcBorders>
              <w:top w:val="single" w:sz="8" w:space="0" w:color="000000"/>
            </w:tcBorders>
            <w:tcMar>
              <w:top w:w="120" w:type="dxa"/>
              <w:left w:w="180" w:type="dxa"/>
              <w:bottom w:w="120" w:type="dxa"/>
              <w:right w:w="180" w:type="dxa"/>
            </w:tcMar>
            <w:vAlign w:val="center"/>
          </w:tcPr>
          <w:p w14:paraId="7216674E"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 starts at a carbon deficit</w:t>
            </w:r>
          </w:p>
        </w:tc>
      </w:tr>
      <w:tr w:rsidR="006D0435" w14:paraId="5B23EBCA" w14:textId="77777777">
        <w:trPr>
          <w:trHeight w:val="210"/>
        </w:trPr>
        <w:tc>
          <w:tcPr>
            <w:tcW w:w="1635" w:type="dxa"/>
            <w:tcMar>
              <w:top w:w="120" w:type="dxa"/>
              <w:left w:w="180" w:type="dxa"/>
              <w:bottom w:w="120" w:type="dxa"/>
              <w:right w:w="180" w:type="dxa"/>
            </w:tcMar>
            <w:vAlign w:val="center"/>
          </w:tcPr>
          <w:p w14:paraId="13BBB03B"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Operation</w:t>
            </w:r>
          </w:p>
        </w:tc>
        <w:tc>
          <w:tcPr>
            <w:tcW w:w="3212" w:type="dxa"/>
            <w:tcMar>
              <w:top w:w="120" w:type="dxa"/>
              <w:left w:w="180" w:type="dxa"/>
              <w:bottom w:w="120" w:type="dxa"/>
              <w:right w:w="180" w:type="dxa"/>
            </w:tcMar>
            <w:vAlign w:val="center"/>
          </w:tcPr>
          <w:p w14:paraId="2264816E"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Near-zero</w:t>
            </w:r>
            <w:r>
              <w:rPr>
                <w:rFonts w:ascii="Times New Roman" w:eastAsia="Times New Roman" w:hAnsi="Times New Roman" w:cs="Times New Roman"/>
                <w:color w:val="000000"/>
                <w:sz w:val="24"/>
                <w:szCs w:val="24"/>
              </w:rPr>
              <w:t xml:space="preserve"> (Grid dep.)</w:t>
            </w:r>
          </w:p>
        </w:tc>
        <w:tc>
          <w:tcPr>
            <w:tcW w:w="2504" w:type="dxa"/>
            <w:tcMar>
              <w:top w:w="120" w:type="dxa"/>
              <w:left w:w="180" w:type="dxa"/>
              <w:bottom w:w="120" w:type="dxa"/>
              <w:right w:w="180" w:type="dxa"/>
            </w:tcMar>
            <w:vAlign w:val="center"/>
          </w:tcPr>
          <w:p w14:paraId="04C62312"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Very High</w:t>
            </w:r>
            <w:r>
              <w:rPr>
                <w:rFonts w:ascii="Times New Roman" w:eastAsia="Times New Roman" w:hAnsi="Times New Roman" w:cs="Times New Roman"/>
                <w:color w:val="000000"/>
                <w:sz w:val="24"/>
                <w:szCs w:val="24"/>
              </w:rPr>
              <w:t xml:space="preserve"> (Tailpipe)</w:t>
            </w:r>
          </w:p>
        </w:tc>
        <w:tc>
          <w:tcPr>
            <w:tcW w:w="3433" w:type="dxa"/>
            <w:tcMar>
              <w:top w:w="120" w:type="dxa"/>
              <w:left w:w="180" w:type="dxa"/>
              <w:bottom w:w="120" w:type="dxa"/>
              <w:right w:w="180" w:type="dxa"/>
            </w:tcMar>
            <w:vAlign w:val="center"/>
          </w:tcPr>
          <w:p w14:paraId="403C0F4E"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 achieves parity in &lt; 2 years</w:t>
            </w:r>
          </w:p>
        </w:tc>
      </w:tr>
      <w:tr w:rsidR="006D0435" w14:paraId="1083C160" w14:textId="77777777">
        <w:trPr>
          <w:trHeight w:val="528"/>
        </w:trPr>
        <w:tc>
          <w:tcPr>
            <w:tcW w:w="1635" w:type="dxa"/>
            <w:tcBorders>
              <w:bottom w:val="single" w:sz="8" w:space="0" w:color="000000"/>
            </w:tcBorders>
            <w:tcMar>
              <w:top w:w="120" w:type="dxa"/>
              <w:left w:w="180" w:type="dxa"/>
              <w:bottom w:w="120" w:type="dxa"/>
              <w:right w:w="180" w:type="dxa"/>
            </w:tcMar>
            <w:vAlign w:val="center"/>
          </w:tcPr>
          <w:p w14:paraId="0C199707"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End-of-Life</w:t>
            </w:r>
          </w:p>
        </w:tc>
        <w:tc>
          <w:tcPr>
            <w:tcW w:w="3212" w:type="dxa"/>
            <w:tcBorders>
              <w:bottom w:val="single" w:sz="8" w:space="0" w:color="000000"/>
            </w:tcBorders>
            <w:tcMar>
              <w:top w:w="120" w:type="dxa"/>
              <w:left w:w="180" w:type="dxa"/>
              <w:bottom w:w="120" w:type="dxa"/>
              <w:right w:w="180" w:type="dxa"/>
            </w:tcMar>
            <w:vAlign w:val="center"/>
          </w:tcPr>
          <w:p w14:paraId="4CC39792"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High Recovery</w:t>
            </w:r>
            <w:r>
              <w:rPr>
                <w:rFonts w:ascii="Times New Roman" w:eastAsia="Times New Roman" w:hAnsi="Times New Roman" w:cs="Times New Roman"/>
                <w:color w:val="000000"/>
                <w:sz w:val="24"/>
                <w:szCs w:val="24"/>
              </w:rPr>
              <w:t xml:space="preserve"> (30%+ save)</w:t>
            </w:r>
          </w:p>
        </w:tc>
        <w:tc>
          <w:tcPr>
            <w:tcW w:w="2504" w:type="dxa"/>
            <w:tcBorders>
              <w:bottom w:val="single" w:sz="8" w:space="0" w:color="000000"/>
            </w:tcBorders>
            <w:tcMar>
              <w:top w:w="120" w:type="dxa"/>
              <w:left w:w="180" w:type="dxa"/>
              <w:bottom w:w="120" w:type="dxa"/>
              <w:right w:w="180" w:type="dxa"/>
            </w:tcMar>
            <w:vAlign w:val="center"/>
          </w:tcPr>
          <w:p w14:paraId="069AA671"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Low Recovery</w:t>
            </w:r>
          </w:p>
        </w:tc>
        <w:tc>
          <w:tcPr>
            <w:tcW w:w="3433" w:type="dxa"/>
            <w:tcBorders>
              <w:bottom w:val="single" w:sz="8" w:space="0" w:color="000000"/>
            </w:tcBorders>
            <w:tcMar>
              <w:top w:w="120" w:type="dxa"/>
              <w:left w:w="180" w:type="dxa"/>
              <w:bottom w:w="120" w:type="dxa"/>
              <w:right w:w="180" w:type="dxa"/>
            </w:tcMar>
            <w:vAlign w:val="center"/>
          </w:tcPr>
          <w:p w14:paraId="75EFEDD3"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Circularity favors EV</w:t>
            </w:r>
          </w:p>
        </w:tc>
      </w:tr>
    </w:tbl>
    <w:p w14:paraId="299E2DF5" w14:textId="77777777" w:rsidR="006D0435" w:rsidRDefault="006D0435">
      <w:pPr>
        <w:spacing w:line="360" w:lineRule="auto"/>
        <w:rPr>
          <w:rFonts w:ascii="Times New Roman" w:eastAsia="Times New Roman" w:hAnsi="Times New Roman" w:cs="Times New Roman"/>
          <w:color w:val="000000"/>
          <w:sz w:val="16"/>
          <w:szCs w:val="16"/>
        </w:rPr>
      </w:pPr>
    </w:p>
    <w:p w14:paraId="3455DEAE"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Greenhouse Gas Emissions Comparison: A complete comparison of lifecycle emissions across various vehicular platforms shows a </w:t>
      </w:r>
      <w:proofErr w:type="gramStart"/>
      <w:r>
        <w:rPr>
          <w:rFonts w:ascii="Times New Roman" w:eastAsia="Times New Roman" w:hAnsi="Times New Roman" w:cs="Times New Roman"/>
          <w:color w:val="000000"/>
          <w:sz w:val="24"/>
          <w:szCs w:val="24"/>
        </w:rPr>
        <w:t>significant differences</w:t>
      </w:r>
      <w:proofErr w:type="gramEnd"/>
      <w:r>
        <w:rPr>
          <w:rFonts w:ascii="Times New Roman" w:eastAsia="Times New Roman" w:hAnsi="Times New Roman" w:cs="Times New Roman"/>
          <w:color w:val="000000"/>
          <w:sz w:val="24"/>
          <w:szCs w:val="24"/>
        </w:rPr>
        <w:t xml:space="preserve"> in their "cradle-to-grave" carbon footprint after accounting for all parts </w:t>
      </w:r>
      <w:proofErr w:type="spellStart"/>
      <w:r>
        <w:rPr>
          <w:rFonts w:ascii="Times New Roman" w:eastAsia="Times New Roman" w:hAnsi="Times New Roman" w:cs="Times New Roman"/>
          <w:color w:val="000000"/>
          <w:sz w:val="24"/>
          <w:szCs w:val="24"/>
        </w:rPr>
        <w:t>ot</w:t>
      </w:r>
      <w:proofErr w:type="spellEnd"/>
      <w:r>
        <w:rPr>
          <w:rFonts w:ascii="Times New Roman" w:eastAsia="Times New Roman" w:hAnsi="Times New Roman" w:cs="Times New Roman"/>
          <w:color w:val="000000"/>
          <w:sz w:val="24"/>
          <w:szCs w:val="24"/>
        </w:rPr>
        <w:t xml:space="preserve"> its life cycle such as manufacturing, fuel/electricity production and also operation.</w:t>
      </w:r>
    </w:p>
    <w:tbl>
      <w:tblPr>
        <w:tblStyle w:val="aa"/>
        <w:tblW w:w="10784" w:type="dxa"/>
        <w:tblInd w:w="0" w:type="dxa"/>
        <w:tblLayout w:type="fixed"/>
        <w:tblLook w:val="0400" w:firstRow="0" w:lastRow="0" w:firstColumn="0" w:lastColumn="0" w:noHBand="0" w:noVBand="1"/>
      </w:tblPr>
      <w:tblGrid>
        <w:gridCol w:w="2650"/>
        <w:gridCol w:w="3365"/>
        <w:gridCol w:w="4769"/>
      </w:tblGrid>
      <w:tr w:rsidR="006D0435" w14:paraId="76F0C60F" w14:textId="77777777">
        <w:trPr>
          <w:tblHeader/>
        </w:trPr>
        <w:tc>
          <w:tcPr>
            <w:tcW w:w="2650" w:type="dxa"/>
            <w:tcBorders>
              <w:top w:val="single" w:sz="8" w:space="0" w:color="000000"/>
              <w:bottom w:val="single" w:sz="8" w:space="0" w:color="000000"/>
            </w:tcBorders>
            <w:tcMar>
              <w:top w:w="120" w:type="dxa"/>
              <w:left w:w="180" w:type="dxa"/>
              <w:bottom w:w="120" w:type="dxa"/>
              <w:right w:w="180" w:type="dxa"/>
            </w:tcMar>
            <w:vAlign w:val="center"/>
          </w:tcPr>
          <w:p w14:paraId="5D4C8869"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Vehicle Type</w:t>
            </w:r>
          </w:p>
        </w:tc>
        <w:tc>
          <w:tcPr>
            <w:tcW w:w="3365" w:type="dxa"/>
            <w:tcBorders>
              <w:top w:val="single" w:sz="8" w:space="0" w:color="000000"/>
              <w:bottom w:val="single" w:sz="8" w:space="0" w:color="000000"/>
            </w:tcBorders>
            <w:tcMar>
              <w:top w:w="120" w:type="dxa"/>
              <w:left w:w="180" w:type="dxa"/>
              <w:bottom w:w="120" w:type="dxa"/>
              <w:right w:w="180" w:type="dxa"/>
            </w:tcMar>
            <w:vAlign w:val="center"/>
          </w:tcPr>
          <w:p w14:paraId="5C19FDC2"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Lifecycle Emissions (gCO</w:t>
            </w:r>
            <w:r>
              <w:rPr>
                <w:rFonts w:ascii="Times New Roman" w:eastAsia="Times New Roman" w:hAnsi="Times New Roman" w:cs="Times New Roman"/>
                <w:b/>
                <w:bCs/>
                <w:color w:val="000000"/>
                <w:sz w:val="24"/>
                <w:szCs w:val="24"/>
                <w:vertAlign w:val="subscript"/>
              </w:rPr>
              <w:t>2</w:t>
            </w:r>
            <w:r>
              <w:rPr>
                <w:rFonts w:ascii="Times New Roman" w:eastAsia="Times New Roman" w:hAnsi="Times New Roman" w:cs="Times New Roman"/>
                <w:b/>
                <w:bCs/>
                <w:color w:val="000000"/>
                <w:sz w:val="24"/>
                <w:szCs w:val="24"/>
              </w:rPr>
              <w:t>​/km)</w:t>
            </w:r>
          </w:p>
        </w:tc>
        <w:tc>
          <w:tcPr>
            <w:tcW w:w="4769" w:type="dxa"/>
            <w:tcBorders>
              <w:top w:val="single" w:sz="8" w:space="0" w:color="000000"/>
              <w:bottom w:val="single" w:sz="8" w:space="0" w:color="000000"/>
            </w:tcBorders>
            <w:tcMar>
              <w:top w:w="120" w:type="dxa"/>
              <w:left w:w="180" w:type="dxa"/>
              <w:bottom w:w="120" w:type="dxa"/>
              <w:right w:w="180" w:type="dxa"/>
            </w:tcMar>
            <w:vAlign w:val="center"/>
          </w:tcPr>
          <w:p w14:paraId="6C28DE9B"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Key Efficiency Bottleneck</w:t>
            </w:r>
          </w:p>
        </w:tc>
      </w:tr>
      <w:tr w:rsidR="006D0435" w14:paraId="10465FB1" w14:textId="77777777">
        <w:tc>
          <w:tcPr>
            <w:tcW w:w="2650" w:type="dxa"/>
            <w:tcBorders>
              <w:top w:val="single" w:sz="8" w:space="0" w:color="000000"/>
            </w:tcBorders>
            <w:tcMar>
              <w:top w:w="120" w:type="dxa"/>
              <w:left w:w="180" w:type="dxa"/>
              <w:bottom w:w="120" w:type="dxa"/>
              <w:right w:w="180" w:type="dxa"/>
            </w:tcMar>
            <w:vAlign w:val="center"/>
          </w:tcPr>
          <w:p w14:paraId="0DEB2111"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ICE</w:t>
            </w:r>
            <w:r>
              <w:rPr>
                <w:rFonts w:ascii="Times New Roman" w:eastAsia="Times New Roman" w:hAnsi="Times New Roman" w:cs="Times New Roman"/>
                <w:color w:val="000000"/>
                <w:sz w:val="24"/>
                <w:szCs w:val="24"/>
              </w:rPr>
              <w:t xml:space="preserve"> (Petrol/Diesel)</w:t>
            </w:r>
          </w:p>
        </w:tc>
        <w:tc>
          <w:tcPr>
            <w:tcW w:w="3365" w:type="dxa"/>
            <w:tcBorders>
              <w:top w:val="single" w:sz="8" w:space="0" w:color="000000"/>
            </w:tcBorders>
            <w:tcMar>
              <w:top w:w="120" w:type="dxa"/>
              <w:left w:w="180" w:type="dxa"/>
              <w:bottom w:w="120" w:type="dxa"/>
              <w:right w:w="180" w:type="dxa"/>
            </w:tcMar>
            <w:vAlign w:val="center"/>
          </w:tcPr>
          <w:p w14:paraId="10604725"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180–250</w:t>
            </w:r>
          </w:p>
        </w:tc>
        <w:tc>
          <w:tcPr>
            <w:tcW w:w="4769" w:type="dxa"/>
            <w:tcBorders>
              <w:top w:val="single" w:sz="8" w:space="0" w:color="000000"/>
            </w:tcBorders>
            <w:tcMar>
              <w:top w:w="120" w:type="dxa"/>
              <w:left w:w="180" w:type="dxa"/>
              <w:bottom w:w="120" w:type="dxa"/>
              <w:right w:w="180" w:type="dxa"/>
            </w:tcMar>
            <w:vAlign w:val="center"/>
          </w:tcPr>
          <w:p w14:paraId="5896123C"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Thermodynamic exhaust losses (&gt;60%)</w:t>
            </w:r>
          </w:p>
        </w:tc>
      </w:tr>
      <w:tr w:rsidR="006D0435" w14:paraId="5C9F9A0C" w14:textId="77777777">
        <w:tc>
          <w:tcPr>
            <w:tcW w:w="2650" w:type="dxa"/>
            <w:tcMar>
              <w:top w:w="120" w:type="dxa"/>
              <w:left w:w="180" w:type="dxa"/>
              <w:bottom w:w="120" w:type="dxa"/>
              <w:right w:w="180" w:type="dxa"/>
            </w:tcMar>
            <w:vAlign w:val="center"/>
          </w:tcPr>
          <w:p w14:paraId="76D1BF3F"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HEV</w:t>
            </w:r>
            <w:r>
              <w:rPr>
                <w:rFonts w:ascii="Times New Roman" w:eastAsia="Times New Roman" w:hAnsi="Times New Roman" w:cs="Times New Roman"/>
                <w:color w:val="000000"/>
                <w:sz w:val="24"/>
                <w:szCs w:val="24"/>
              </w:rPr>
              <w:t xml:space="preserve"> (Hybrid)</w:t>
            </w:r>
          </w:p>
        </w:tc>
        <w:tc>
          <w:tcPr>
            <w:tcW w:w="3365" w:type="dxa"/>
            <w:tcMar>
              <w:top w:w="120" w:type="dxa"/>
              <w:left w:w="180" w:type="dxa"/>
              <w:bottom w:w="120" w:type="dxa"/>
              <w:right w:w="180" w:type="dxa"/>
            </w:tcMar>
            <w:vAlign w:val="center"/>
          </w:tcPr>
          <w:p w14:paraId="67A2CBB2"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120–180</w:t>
            </w:r>
          </w:p>
        </w:tc>
        <w:tc>
          <w:tcPr>
            <w:tcW w:w="4769" w:type="dxa"/>
            <w:tcMar>
              <w:top w:w="120" w:type="dxa"/>
              <w:left w:w="180" w:type="dxa"/>
              <w:bottom w:w="120" w:type="dxa"/>
              <w:right w:w="180" w:type="dxa"/>
            </w:tcMar>
            <w:vAlign w:val="center"/>
          </w:tcPr>
          <w:p w14:paraId="6B6D5696"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Continued reliance on fossil fuel combustion</w:t>
            </w:r>
          </w:p>
        </w:tc>
      </w:tr>
      <w:tr w:rsidR="006D0435" w14:paraId="10F00040" w14:textId="77777777">
        <w:tc>
          <w:tcPr>
            <w:tcW w:w="2650" w:type="dxa"/>
            <w:tcMar>
              <w:top w:w="120" w:type="dxa"/>
              <w:left w:w="180" w:type="dxa"/>
              <w:bottom w:w="120" w:type="dxa"/>
              <w:right w:w="180" w:type="dxa"/>
            </w:tcMar>
            <w:vAlign w:val="center"/>
          </w:tcPr>
          <w:p w14:paraId="71E5AB61"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PHEV</w:t>
            </w:r>
            <w:r>
              <w:rPr>
                <w:rFonts w:ascii="Times New Roman" w:eastAsia="Times New Roman" w:hAnsi="Times New Roman" w:cs="Times New Roman"/>
                <w:color w:val="000000"/>
                <w:sz w:val="24"/>
                <w:szCs w:val="24"/>
              </w:rPr>
              <w:t xml:space="preserve"> (Plug-in Hybrid)</w:t>
            </w:r>
          </w:p>
        </w:tc>
        <w:tc>
          <w:tcPr>
            <w:tcW w:w="3365" w:type="dxa"/>
            <w:tcMar>
              <w:top w:w="120" w:type="dxa"/>
              <w:left w:w="180" w:type="dxa"/>
              <w:bottom w:w="120" w:type="dxa"/>
              <w:right w:w="180" w:type="dxa"/>
            </w:tcMar>
            <w:vAlign w:val="center"/>
          </w:tcPr>
          <w:p w14:paraId="12EC8D18"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80–160</w:t>
            </w:r>
          </w:p>
        </w:tc>
        <w:tc>
          <w:tcPr>
            <w:tcW w:w="4769" w:type="dxa"/>
            <w:tcMar>
              <w:top w:w="120" w:type="dxa"/>
              <w:left w:w="180" w:type="dxa"/>
              <w:bottom w:w="120" w:type="dxa"/>
              <w:right w:w="180" w:type="dxa"/>
            </w:tcMar>
            <w:vAlign w:val="center"/>
          </w:tcPr>
          <w:p w14:paraId="17ED9814"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Efficiency highly dependent on charge frequency</w:t>
            </w:r>
          </w:p>
        </w:tc>
      </w:tr>
      <w:tr w:rsidR="006D0435" w14:paraId="70B6D8B7" w14:textId="77777777">
        <w:trPr>
          <w:trHeight w:val="1020"/>
        </w:trPr>
        <w:tc>
          <w:tcPr>
            <w:tcW w:w="2650" w:type="dxa"/>
            <w:tcMar>
              <w:top w:w="120" w:type="dxa"/>
              <w:left w:w="180" w:type="dxa"/>
              <w:bottom w:w="120" w:type="dxa"/>
              <w:right w:w="180" w:type="dxa"/>
            </w:tcMar>
            <w:vAlign w:val="center"/>
          </w:tcPr>
          <w:p w14:paraId="62464794"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EV</w:t>
            </w:r>
            <w:r>
              <w:rPr>
                <w:rFonts w:ascii="Times New Roman" w:eastAsia="Times New Roman" w:hAnsi="Times New Roman" w:cs="Times New Roman"/>
                <w:color w:val="000000"/>
                <w:sz w:val="24"/>
                <w:szCs w:val="24"/>
              </w:rPr>
              <w:t xml:space="preserve"> (Coal-heavy Grid)</w:t>
            </w:r>
          </w:p>
        </w:tc>
        <w:tc>
          <w:tcPr>
            <w:tcW w:w="3365" w:type="dxa"/>
            <w:tcMar>
              <w:top w:w="120" w:type="dxa"/>
              <w:left w:w="180" w:type="dxa"/>
              <w:bottom w:w="120" w:type="dxa"/>
              <w:right w:w="180" w:type="dxa"/>
            </w:tcMar>
            <w:vAlign w:val="center"/>
          </w:tcPr>
          <w:p w14:paraId="3D34D8AD"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150–200</w:t>
            </w:r>
          </w:p>
        </w:tc>
        <w:tc>
          <w:tcPr>
            <w:tcW w:w="4769" w:type="dxa"/>
            <w:tcMar>
              <w:top w:w="120" w:type="dxa"/>
              <w:left w:w="180" w:type="dxa"/>
              <w:bottom w:w="120" w:type="dxa"/>
              <w:right w:w="180" w:type="dxa"/>
            </w:tcMar>
            <w:vAlign w:val="center"/>
          </w:tcPr>
          <w:p w14:paraId="2F692B82"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 Well-to-Tank (WTT) carbon debt</w:t>
            </w:r>
          </w:p>
        </w:tc>
      </w:tr>
      <w:tr w:rsidR="006D0435" w14:paraId="5F77BFC8" w14:textId="77777777">
        <w:tc>
          <w:tcPr>
            <w:tcW w:w="2650" w:type="dxa"/>
            <w:tcBorders>
              <w:bottom w:val="single" w:sz="8" w:space="0" w:color="000000"/>
            </w:tcBorders>
            <w:tcMar>
              <w:top w:w="120" w:type="dxa"/>
              <w:left w:w="180" w:type="dxa"/>
              <w:bottom w:w="120" w:type="dxa"/>
              <w:right w:w="180" w:type="dxa"/>
            </w:tcMar>
            <w:vAlign w:val="center"/>
          </w:tcPr>
          <w:p w14:paraId="31A4D10E"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EV</w:t>
            </w:r>
            <w:r>
              <w:rPr>
                <w:rFonts w:ascii="Times New Roman" w:eastAsia="Times New Roman" w:hAnsi="Times New Roman" w:cs="Times New Roman"/>
                <w:color w:val="000000"/>
                <w:sz w:val="24"/>
                <w:szCs w:val="24"/>
              </w:rPr>
              <w:t xml:space="preserve"> (Renewable Grid)</w:t>
            </w:r>
          </w:p>
        </w:tc>
        <w:tc>
          <w:tcPr>
            <w:tcW w:w="3365" w:type="dxa"/>
            <w:tcBorders>
              <w:bottom w:val="single" w:sz="8" w:space="0" w:color="000000"/>
            </w:tcBorders>
            <w:tcMar>
              <w:top w:w="120" w:type="dxa"/>
              <w:left w:w="180" w:type="dxa"/>
              <w:bottom w:w="120" w:type="dxa"/>
              <w:right w:w="180" w:type="dxa"/>
            </w:tcMar>
            <w:vAlign w:val="center"/>
          </w:tcPr>
          <w:p w14:paraId="1AF4C135"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20–60</w:t>
            </w:r>
          </w:p>
        </w:tc>
        <w:tc>
          <w:tcPr>
            <w:tcW w:w="4769" w:type="dxa"/>
            <w:tcBorders>
              <w:bottom w:val="single" w:sz="8" w:space="0" w:color="000000"/>
            </w:tcBorders>
            <w:tcMar>
              <w:top w:w="120" w:type="dxa"/>
              <w:left w:w="180" w:type="dxa"/>
              <w:bottom w:w="120" w:type="dxa"/>
              <w:right w:w="180" w:type="dxa"/>
            </w:tcMar>
            <w:vAlign w:val="center"/>
          </w:tcPr>
          <w:p w14:paraId="3AA4CDCB"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Manufacturing and battery extraction footprint</w:t>
            </w:r>
          </w:p>
        </w:tc>
      </w:tr>
    </w:tbl>
    <w:p w14:paraId="10055019" w14:textId="77777777" w:rsidR="006D0435" w:rsidRDefault="006D0435">
      <w:pPr>
        <w:spacing w:line="360" w:lineRule="auto"/>
        <w:rPr>
          <w:rFonts w:ascii="Times New Roman" w:eastAsia="Times New Roman" w:hAnsi="Times New Roman" w:cs="Times New Roman"/>
          <w:sz w:val="24"/>
          <w:szCs w:val="24"/>
        </w:rPr>
      </w:pPr>
    </w:p>
    <w:p w14:paraId="36DE8CE6" w14:textId="77777777" w:rsidR="006D0435" w:rsidRDefault="006D0435">
      <w:pPr>
        <w:spacing w:line="360" w:lineRule="auto"/>
        <w:rPr>
          <w:rFonts w:ascii="Times New Roman" w:eastAsia="Times New Roman" w:hAnsi="Times New Roman" w:cs="Times New Roman"/>
          <w:sz w:val="24"/>
          <w:szCs w:val="24"/>
        </w:rPr>
      </w:pPr>
    </w:p>
    <w:p w14:paraId="12D027C7" w14:textId="77777777" w:rsidR="006D0435" w:rsidRDefault="006D0435">
      <w:pPr>
        <w:spacing w:line="360" w:lineRule="auto"/>
        <w:rPr>
          <w:rFonts w:ascii="Times New Roman" w:eastAsia="Times New Roman" w:hAnsi="Times New Roman" w:cs="Times New Roman"/>
          <w:sz w:val="24"/>
          <w:szCs w:val="24"/>
        </w:rPr>
      </w:pPr>
    </w:p>
    <w:p w14:paraId="5692B710"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7.5 Grid Intensity and Pollutant Displacement</w:t>
      </w:r>
    </w:p>
    <w:p w14:paraId="5585BC60"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Grid Decarbonization and the Renewable Advantage: The environmental benefit of an EV is not static but heavily depends on the local electricity mix [</w:t>
      </w:r>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 Amount of green or renewable energy on grid is increasing and it is reducing the lifecycle emissions of EVs significantly [</w:t>
      </w:r>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 xml:space="preserve">]. On a renewable energy heavy </w:t>
      </w:r>
      <w:proofErr w:type="gramStart"/>
      <w:r>
        <w:rPr>
          <w:rFonts w:ascii="Times New Roman" w:eastAsia="Times New Roman" w:hAnsi="Times New Roman" w:cs="Times New Roman"/>
          <w:color w:val="000000"/>
          <w:sz w:val="24"/>
          <w:szCs w:val="24"/>
        </w:rPr>
        <w:t>grid</w:t>
      </w:r>
      <w:proofErr w:type="gramEnd"/>
      <w:r>
        <w:rPr>
          <w:rFonts w:ascii="Times New Roman" w:eastAsia="Times New Roman" w:hAnsi="Times New Roman" w:cs="Times New Roman"/>
          <w:color w:val="000000"/>
          <w:sz w:val="24"/>
          <w:szCs w:val="24"/>
        </w:rPr>
        <w:t xml:space="preserve"> it is estimated that EVs can reduce lifecycle greenhouse gas emission by around 50% to 70% compared to ICEVs [</w:t>
      </w:r>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w:t>
      </w:r>
    </w:p>
    <w:p w14:paraId="0698875F"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NOx and N₂O Paradox: Even though EVs eliminate the presence of tailpipe emissions, their total lifecycle carbon footprint for specific pollutants might end up higher if the power grid uses   fossil fuels as energy source [</w:t>
      </w:r>
      <w:r>
        <w:rPr>
          <w:rFonts w:ascii="Times New Roman" w:eastAsia="Times New Roman" w:hAnsi="Times New Roman" w:cs="Times New Roman"/>
          <w:sz w:val="24"/>
          <w:szCs w:val="24"/>
        </w:rPr>
        <w:t>133</w:t>
      </w:r>
      <w:r>
        <w:rPr>
          <w:rFonts w:ascii="Times New Roman" w:eastAsia="Times New Roman" w:hAnsi="Times New Roman" w:cs="Times New Roman"/>
          <w:color w:val="000000"/>
          <w:sz w:val="24"/>
          <w:szCs w:val="24"/>
        </w:rPr>
        <w:t xml:space="preserve">]. On the grids that are heavily reliant on coal, the centralized combustion at power plants can lead to very high lifetime NOx levels than modern ICE vehicles [133]. This means that without a </w:t>
      </w:r>
      <w:proofErr w:type="gramStart"/>
      <w:r>
        <w:rPr>
          <w:rFonts w:ascii="Times New Roman" w:eastAsia="Times New Roman" w:hAnsi="Times New Roman" w:cs="Times New Roman"/>
          <w:color w:val="000000"/>
          <w:sz w:val="24"/>
          <w:szCs w:val="24"/>
        </w:rPr>
        <w:t>rapid  and</w:t>
      </w:r>
      <w:proofErr w:type="gramEnd"/>
      <w:r>
        <w:rPr>
          <w:rFonts w:ascii="Times New Roman" w:eastAsia="Times New Roman" w:hAnsi="Times New Roman" w:cs="Times New Roman"/>
          <w:color w:val="000000"/>
          <w:sz w:val="24"/>
          <w:szCs w:val="24"/>
        </w:rPr>
        <w:t xml:space="preserve"> conscious transition to clean renewable energy, emissions are only displaced from urban areas to the </w:t>
      </w:r>
      <w:proofErr w:type="spellStart"/>
      <w:r>
        <w:rPr>
          <w:rFonts w:ascii="Times New Roman" w:eastAsia="Times New Roman" w:hAnsi="Times New Roman" w:cs="Times New Roman"/>
          <w:color w:val="000000"/>
          <w:sz w:val="24"/>
          <w:szCs w:val="24"/>
        </w:rPr>
        <w:t>typicalloy</w:t>
      </w:r>
      <w:proofErr w:type="spellEnd"/>
      <w:r>
        <w:rPr>
          <w:rFonts w:ascii="Times New Roman" w:eastAsia="Times New Roman" w:hAnsi="Times New Roman" w:cs="Times New Roman"/>
          <w:color w:val="000000"/>
          <w:sz w:val="24"/>
          <w:szCs w:val="24"/>
        </w:rPr>
        <w:t xml:space="preserve"> more remote power plant sites and not fully </w:t>
      </w:r>
      <w:proofErr w:type="gramStart"/>
      <w:r>
        <w:rPr>
          <w:rFonts w:ascii="Times New Roman" w:eastAsia="Times New Roman" w:hAnsi="Times New Roman" w:cs="Times New Roman"/>
          <w:color w:val="000000"/>
          <w:sz w:val="24"/>
          <w:szCs w:val="24"/>
        </w:rPr>
        <w:t>eliminated[</w:t>
      </w:r>
      <w:proofErr w:type="gramEnd"/>
      <w:r>
        <w:rPr>
          <w:rFonts w:ascii="Times New Roman" w:eastAsia="Times New Roman" w:hAnsi="Times New Roman" w:cs="Times New Roman"/>
          <w:color w:val="000000"/>
          <w:sz w:val="24"/>
          <w:szCs w:val="24"/>
        </w:rPr>
        <w:t>133]. EVs produce higher NOx and N2O emissions generally more than 70% which points toward a dependence on fossil fuels for the electricity generation [133].</w:t>
      </w:r>
    </w:p>
    <w:p w14:paraId="248DE87B"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Particulate Matter (PM10) and </w:t>
      </w:r>
      <w:proofErr w:type="spellStart"/>
      <w:r>
        <w:rPr>
          <w:rFonts w:ascii="Times New Roman" w:eastAsia="Times New Roman" w:hAnsi="Times New Roman" w:cs="Times New Roman"/>
          <w:color w:val="000000"/>
          <w:sz w:val="24"/>
          <w:szCs w:val="24"/>
        </w:rPr>
        <w:t>SOx</w:t>
      </w:r>
      <w:proofErr w:type="spellEnd"/>
      <w:r>
        <w:rPr>
          <w:rFonts w:ascii="Times New Roman" w:eastAsia="Times New Roman" w:hAnsi="Times New Roman" w:cs="Times New Roman"/>
          <w:color w:val="000000"/>
          <w:sz w:val="24"/>
          <w:szCs w:val="24"/>
        </w:rPr>
        <w:t xml:space="preserve"> Elevation: Data collected and analyzed by scientists suggests that air quality related emissions such as Sulfur Oxides (</w:t>
      </w:r>
      <w:proofErr w:type="spellStart"/>
      <w:r>
        <w:rPr>
          <w:rFonts w:ascii="Times New Roman" w:eastAsia="Times New Roman" w:hAnsi="Times New Roman" w:cs="Times New Roman"/>
          <w:color w:val="000000"/>
          <w:sz w:val="24"/>
          <w:szCs w:val="24"/>
        </w:rPr>
        <w:t>SOx</w:t>
      </w:r>
      <w:proofErr w:type="spellEnd"/>
      <w:r>
        <w:rPr>
          <w:rFonts w:ascii="Times New Roman" w:eastAsia="Times New Roman" w:hAnsi="Times New Roman" w:cs="Times New Roman"/>
          <w:color w:val="000000"/>
          <w:sz w:val="24"/>
          <w:szCs w:val="24"/>
        </w:rPr>
        <w:t xml:space="preserve">) and PM10 can be significantly higher for EVs in certain scenarios. The higher vehicle weight from battery packs causes rise in the non-exhaust emissions (tire and brake wear) [133]. </w:t>
      </w:r>
      <w:proofErr w:type="gramStart"/>
      <w:r>
        <w:rPr>
          <w:rFonts w:ascii="Times New Roman" w:eastAsia="Times New Roman" w:hAnsi="Times New Roman" w:cs="Times New Roman"/>
          <w:color w:val="000000"/>
          <w:sz w:val="24"/>
          <w:szCs w:val="24"/>
        </w:rPr>
        <w:t>Also</w:t>
      </w:r>
      <w:proofErr w:type="gramEnd"/>
      <w:r>
        <w:rPr>
          <w:rFonts w:ascii="Times New Roman" w:eastAsia="Times New Roman" w:hAnsi="Times New Roman" w:cs="Times New Roman"/>
          <w:color w:val="000000"/>
          <w:sz w:val="24"/>
          <w:szCs w:val="24"/>
        </w:rPr>
        <w:t xml:space="preserve"> the manufacturing and mining for </w:t>
      </w:r>
      <w:proofErr w:type="gramStart"/>
      <w:r>
        <w:rPr>
          <w:rFonts w:ascii="Times New Roman" w:eastAsia="Times New Roman" w:hAnsi="Times New Roman" w:cs="Times New Roman"/>
          <w:color w:val="000000"/>
          <w:sz w:val="24"/>
          <w:szCs w:val="24"/>
        </w:rPr>
        <w:t>the  battery</w:t>
      </w:r>
      <w:proofErr w:type="gramEnd"/>
      <w:r>
        <w:rPr>
          <w:rFonts w:ascii="Times New Roman" w:eastAsia="Times New Roman" w:hAnsi="Times New Roman" w:cs="Times New Roman"/>
          <w:color w:val="000000"/>
          <w:sz w:val="24"/>
          <w:szCs w:val="24"/>
        </w:rPr>
        <w:t xml:space="preserve"> materials also contribute to higher PM levels [133]. Different industrial processes for refining and extracting nickel and cobalt added with coal fired electricity for battery assembly can cause </w:t>
      </w:r>
      <w:proofErr w:type="spellStart"/>
      <w:r>
        <w:rPr>
          <w:rFonts w:ascii="Times New Roman" w:eastAsia="Times New Roman" w:hAnsi="Times New Roman" w:cs="Times New Roman"/>
          <w:color w:val="000000"/>
          <w:sz w:val="24"/>
          <w:szCs w:val="24"/>
        </w:rPr>
        <w:t>SOx</w:t>
      </w:r>
      <w:proofErr w:type="spellEnd"/>
      <w:r>
        <w:rPr>
          <w:rFonts w:ascii="Times New Roman" w:eastAsia="Times New Roman" w:hAnsi="Times New Roman" w:cs="Times New Roman"/>
          <w:color w:val="000000"/>
          <w:sz w:val="24"/>
          <w:szCs w:val="24"/>
        </w:rPr>
        <w:t xml:space="preserve"> levels nearly 85% to 90% higher than the standard ICE vehicles [1].</w:t>
      </w:r>
    </w:p>
    <w:p w14:paraId="731C8D86"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Urban Air Quality and Air Quality Index (AQI): The move to electric vehicles has a huge impact on urban air quality. ICEVs are significant sources of many hazardous pollutants which cannot be removed even with advanced converters. Tailpipe emissions typically contain nitrogen oxides (NOx), carbon monoxide (CO), </w:t>
      </w:r>
      <w:r>
        <w:rPr>
          <w:rFonts w:ascii="Times New Roman" w:eastAsia="Times New Roman" w:hAnsi="Times New Roman" w:cs="Times New Roman"/>
          <w:color w:val="000000"/>
          <w:sz w:val="24"/>
          <w:szCs w:val="24"/>
        </w:rPr>
        <w:lastRenderedPageBreak/>
        <w:t xml:space="preserve">particulate matter (PM2.5, PM10), burnt lubricant and carbon compound and also unburned hydrocarbons or fuels [133]. These pollutants contribute to ozone at the ground </w:t>
      </w:r>
      <w:proofErr w:type="spellStart"/>
      <w:proofErr w:type="gramStart"/>
      <w:r>
        <w:rPr>
          <w:rFonts w:ascii="Times New Roman" w:eastAsia="Times New Roman" w:hAnsi="Times New Roman" w:cs="Times New Roman"/>
          <w:color w:val="000000"/>
          <w:sz w:val="24"/>
          <w:szCs w:val="24"/>
        </w:rPr>
        <w:t>levels,cause</w:t>
      </w:r>
      <w:proofErr w:type="spellEnd"/>
      <w:proofErr w:type="gramEnd"/>
      <w:r>
        <w:rPr>
          <w:rFonts w:ascii="Times New Roman" w:eastAsia="Times New Roman" w:hAnsi="Times New Roman" w:cs="Times New Roman"/>
          <w:color w:val="000000"/>
          <w:sz w:val="24"/>
          <w:szCs w:val="24"/>
        </w:rPr>
        <w:t xml:space="preserve"> acid rain and </w:t>
      </w:r>
      <w:proofErr w:type="gramStart"/>
      <w:r>
        <w:rPr>
          <w:rFonts w:ascii="Times New Roman" w:eastAsia="Times New Roman" w:hAnsi="Times New Roman" w:cs="Times New Roman"/>
          <w:color w:val="000000"/>
          <w:sz w:val="24"/>
          <w:szCs w:val="24"/>
        </w:rPr>
        <w:t>long and short term</w:t>
      </w:r>
      <w:proofErr w:type="gramEnd"/>
      <w:r>
        <w:rPr>
          <w:rFonts w:ascii="Times New Roman" w:eastAsia="Times New Roman" w:hAnsi="Times New Roman" w:cs="Times New Roman"/>
          <w:color w:val="000000"/>
          <w:sz w:val="24"/>
          <w:szCs w:val="24"/>
        </w:rPr>
        <w:t xml:space="preserve"> respiratory issues [133].</w:t>
      </w:r>
    </w:p>
    <w:p w14:paraId="296E3B87"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Electric Vehicle (EV) Environmental Impact: Electric drivetrains </w:t>
      </w:r>
      <w:proofErr w:type="gramStart"/>
      <w:r>
        <w:rPr>
          <w:rFonts w:ascii="Times New Roman" w:eastAsia="Times New Roman" w:hAnsi="Times New Roman" w:cs="Times New Roman"/>
          <w:color w:val="000000"/>
          <w:sz w:val="24"/>
          <w:szCs w:val="24"/>
        </w:rPr>
        <w:t>offers</w:t>
      </w:r>
      <w:proofErr w:type="gramEnd"/>
      <w:r>
        <w:rPr>
          <w:rFonts w:ascii="Times New Roman" w:eastAsia="Times New Roman" w:hAnsi="Times New Roman" w:cs="Times New Roman"/>
          <w:color w:val="000000"/>
          <w:sz w:val="24"/>
          <w:szCs w:val="24"/>
        </w:rPr>
        <w:t xml:space="preserve"> a huge opportunity and </w:t>
      </w:r>
      <w:proofErr w:type="spellStart"/>
      <w:r>
        <w:rPr>
          <w:rFonts w:ascii="Times New Roman" w:eastAsia="Times New Roman" w:hAnsi="Times New Roman" w:cs="Times New Roman"/>
          <w:color w:val="000000"/>
          <w:sz w:val="24"/>
          <w:szCs w:val="24"/>
        </w:rPr>
        <w:t>trespite</w:t>
      </w:r>
      <w:proofErr w:type="spellEnd"/>
      <w:r>
        <w:rPr>
          <w:rFonts w:ascii="Times New Roman" w:eastAsia="Times New Roman" w:hAnsi="Times New Roman" w:cs="Times New Roman"/>
          <w:color w:val="000000"/>
          <w:sz w:val="24"/>
          <w:szCs w:val="24"/>
        </w:rPr>
        <w:t xml:space="preserve"> by eliminating local exhaust emissions.</w:t>
      </w:r>
    </w:p>
    <w:p w14:paraId="04EE689D"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Zero Tailpipe Emissions: They remove the primary source of roadside toxin materials by eliminating the combustion cycle completely [133].</w:t>
      </w:r>
    </w:p>
    <w:p w14:paraId="492FF5D9"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Localized Pollution Abatement: Due to the shift to electric fleets the concentration of NO2 and CO in high-traffic areas is reduced to a very low state [133].</w:t>
      </w:r>
    </w:p>
    <w:p w14:paraId="4FF7631E"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7.6 Urban Air Quality and Air Quality Index (AQI)</w:t>
      </w:r>
    </w:p>
    <w:p w14:paraId="60A25535"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Air Quality Index (AQI) is </w:t>
      </w:r>
      <w:proofErr w:type="gramStart"/>
      <w:r>
        <w:rPr>
          <w:rFonts w:ascii="Times New Roman" w:eastAsia="Times New Roman" w:hAnsi="Times New Roman" w:cs="Times New Roman"/>
          <w:color w:val="000000"/>
          <w:sz w:val="24"/>
          <w:szCs w:val="24"/>
        </w:rPr>
        <w:t>an</w:t>
      </w:r>
      <w:proofErr w:type="gramEnd"/>
      <w:r>
        <w:rPr>
          <w:rFonts w:ascii="Times New Roman" w:eastAsia="Times New Roman" w:hAnsi="Times New Roman" w:cs="Times New Roman"/>
          <w:color w:val="000000"/>
          <w:sz w:val="24"/>
          <w:szCs w:val="24"/>
        </w:rPr>
        <w:t xml:space="preserve"> standard value used by environmental agencies around the world to communicate the cleanliness and purity of the air and associated health impacts on the general public. In densely populated urban </w:t>
      </w:r>
      <w:proofErr w:type="gramStart"/>
      <w:r>
        <w:rPr>
          <w:rFonts w:ascii="Times New Roman" w:eastAsia="Times New Roman" w:hAnsi="Times New Roman" w:cs="Times New Roman"/>
          <w:color w:val="000000"/>
          <w:sz w:val="24"/>
          <w:szCs w:val="24"/>
        </w:rPr>
        <w:t>areas</w:t>
      </w:r>
      <w:proofErr w:type="gramEnd"/>
      <w:r>
        <w:rPr>
          <w:rFonts w:ascii="Times New Roman" w:eastAsia="Times New Roman" w:hAnsi="Times New Roman" w:cs="Times New Roman"/>
          <w:color w:val="000000"/>
          <w:sz w:val="24"/>
          <w:szCs w:val="24"/>
        </w:rPr>
        <w:t xml:space="preserve"> the EVs provide an immediate reduction in chemical precursors that would otherwise lead to respiratory distress and thus improves the local Air Quality Index (AQI) [133].</w:t>
      </w:r>
    </w:p>
    <w:p w14:paraId="4EABADE4"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Air Quality Index (AQI) Framework: The AQI is a standardized scale used to communicate air cleanliness and associated health risks to the public. It integrates the measurements of six primary pollutants: fine particulates (PM2.5 &amp; PM10), nitrogen dioxide (NO2), sulfur dioxide (SO2), carbon monoxide (CO), and ground-level ozone (O3) [</w:t>
      </w:r>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 xml:space="preserve">]. The relation between </w:t>
      </w:r>
      <w:proofErr w:type="gramStart"/>
      <w:r>
        <w:rPr>
          <w:rFonts w:ascii="Times New Roman" w:eastAsia="Times New Roman" w:hAnsi="Times New Roman" w:cs="Times New Roman"/>
          <w:color w:val="000000"/>
          <w:sz w:val="24"/>
          <w:szCs w:val="24"/>
        </w:rPr>
        <w:t>transportation  and</w:t>
      </w:r>
      <w:proofErr w:type="gramEnd"/>
      <w:r>
        <w:rPr>
          <w:rFonts w:ascii="Times New Roman" w:eastAsia="Times New Roman" w:hAnsi="Times New Roman" w:cs="Times New Roman"/>
          <w:color w:val="000000"/>
          <w:sz w:val="24"/>
          <w:szCs w:val="24"/>
        </w:rPr>
        <w:t xml:space="preserve"> AQI is direct and evident, when vehicle emissions decrease the concentration of these pollutants also drop in the environment which leads to a lower AQI values and also better air quality [133]. This improvement is most easily noticed in metropolitan areas where transport accounts for over 50% of ambient air pollution [133].</w:t>
      </w:r>
    </w:p>
    <w:p w14:paraId="2B3AE34A"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Urban Air Pollutant Comparison</w:t>
      </w:r>
    </w:p>
    <w:tbl>
      <w:tblPr>
        <w:tblStyle w:val="ab"/>
        <w:tblW w:w="10770" w:type="dxa"/>
        <w:tblInd w:w="15" w:type="dxa"/>
        <w:tblLayout w:type="fixed"/>
        <w:tblLook w:val="0400" w:firstRow="0" w:lastRow="0" w:firstColumn="0" w:lastColumn="0" w:noHBand="0" w:noVBand="1"/>
      </w:tblPr>
      <w:tblGrid>
        <w:gridCol w:w="1365"/>
        <w:gridCol w:w="3090"/>
        <w:gridCol w:w="1845"/>
        <w:gridCol w:w="2730"/>
        <w:gridCol w:w="1740"/>
      </w:tblGrid>
      <w:tr w:rsidR="006D0435" w14:paraId="3598E988" w14:textId="77777777">
        <w:trPr>
          <w:tblHeader/>
        </w:trPr>
        <w:tc>
          <w:tcPr>
            <w:tcW w:w="1365" w:type="dxa"/>
            <w:tcBorders>
              <w:top w:val="single" w:sz="8" w:space="0" w:color="000000"/>
              <w:bottom w:val="single" w:sz="8" w:space="0" w:color="000000"/>
            </w:tcBorders>
            <w:tcMar>
              <w:top w:w="120" w:type="dxa"/>
              <w:left w:w="180" w:type="dxa"/>
              <w:bottom w:w="120" w:type="dxa"/>
              <w:right w:w="180" w:type="dxa"/>
            </w:tcMar>
            <w:vAlign w:val="center"/>
          </w:tcPr>
          <w:p w14:paraId="0D2E5119"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Pollutant</w:t>
            </w:r>
          </w:p>
        </w:tc>
        <w:tc>
          <w:tcPr>
            <w:tcW w:w="3090" w:type="dxa"/>
            <w:tcBorders>
              <w:top w:val="single" w:sz="8" w:space="0" w:color="000000"/>
              <w:bottom w:val="single" w:sz="8" w:space="0" w:color="000000"/>
            </w:tcBorders>
            <w:tcMar>
              <w:top w:w="120" w:type="dxa"/>
              <w:left w:w="180" w:type="dxa"/>
              <w:bottom w:w="120" w:type="dxa"/>
              <w:right w:w="180" w:type="dxa"/>
            </w:tcMar>
            <w:vAlign w:val="center"/>
          </w:tcPr>
          <w:p w14:paraId="44E9DCEF"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Internal Combustion (ICE)</w:t>
            </w:r>
          </w:p>
        </w:tc>
        <w:tc>
          <w:tcPr>
            <w:tcW w:w="1845" w:type="dxa"/>
            <w:tcBorders>
              <w:top w:val="single" w:sz="8" w:space="0" w:color="000000"/>
              <w:bottom w:val="single" w:sz="8" w:space="0" w:color="000000"/>
            </w:tcBorders>
            <w:tcMar>
              <w:top w:w="120" w:type="dxa"/>
              <w:left w:w="180" w:type="dxa"/>
              <w:bottom w:w="120" w:type="dxa"/>
              <w:right w:w="180" w:type="dxa"/>
            </w:tcMar>
            <w:vAlign w:val="center"/>
          </w:tcPr>
          <w:p w14:paraId="5ACDA725"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Hybrid (HEV)</w:t>
            </w:r>
          </w:p>
        </w:tc>
        <w:tc>
          <w:tcPr>
            <w:tcW w:w="2730" w:type="dxa"/>
            <w:tcBorders>
              <w:top w:val="single" w:sz="8" w:space="0" w:color="000000"/>
              <w:bottom w:val="single" w:sz="8" w:space="0" w:color="000000"/>
            </w:tcBorders>
            <w:tcMar>
              <w:top w:w="120" w:type="dxa"/>
              <w:left w:w="180" w:type="dxa"/>
              <w:bottom w:w="120" w:type="dxa"/>
              <w:right w:w="180" w:type="dxa"/>
            </w:tcMar>
            <w:vAlign w:val="center"/>
          </w:tcPr>
          <w:p w14:paraId="1E922CFB"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Plug-in Hybrid (PHEV)</w:t>
            </w:r>
          </w:p>
        </w:tc>
        <w:tc>
          <w:tcPr>
            <w:tcW w:w="1740" w:type="dxa"/>
            <w:tcBorders>
              <w:top w:val="single" w:sz="8" w:space="0" w:color="000000"/>
              <w:bottom w:val="single" w:sz="8" w:space="0" w:color="000000"/>
            </w:tcBorders>
            <w:tcMar>
              <w:top w:w="120" w:type="dxa"/>
              <w:left w:w="180" w:type="dxa"/>
              <w:bottom w:w="120" w:type="dxa"/>
              <w:right w:w="180" w:type="dxa"/>
            </w:tcMar>
            <w:vAlign w:val="center"/>
          </w:tcPr>
          <w:p w14:paraId="68D45A4B"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Electric (EV)</w:t>
            </w:r>
          </w:p>
        </w:tc>
      </w:tr>
      <w:tr w:rsidR="006D0435" w14:paraId="39A78E46" w14:textId="77777777">
        <w:tc>
          <w:tcPr>
            <w:tcW w:w="1365" w:type="dxa"/>
            <w:tcBorders>
              <w:top w:val="single" w:sz="8" w:space="0" w:color="000000"/>
            </w:tcBorders>
            <w:tcMar>
              <w:top w:w="120" w:type="dxa"/>
              <w:left w:w="180" w:type="dxa"/>
              <w:bottom w:w="120" w:type="dxa"/>
              <w:right w:w="180" w:type="dxa"/>
            </w:tcMar>
            <w:vAlign w:val="center"/>
          </w:tcPr>
          <w:p w14:paraId="4643CAAA"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NOx</w:t>
            </w:r>
          </w:p>
        </w:tc>
        <w:tc>
          <w:tcPr>
            <w:tcW w:w="3090" w:type="dxa"/>
            <w:tcBorders>
              <w:top w:val="single" w:sz="8" w:space="0" w:color="000000"/>
            </w:tcBorders>
            <w:tcMar>
              <w:top w:w="120" w:type="dxa"/>
              <w:left w:w="180" w:type="dxa"/>
              <w:bottom w:w="120" w:type="dxa"/>
              <w:right w:w="180" w:type="dxa"/>
            </w:tcMar>
            <w:vAlign w:val="center"/>
          </w:tcPr>
          <w:p w14:paraId="31C2C7CE"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845" w:type="dxa"/>
            <w:tcBorders>
              <w:top w:val="single" w:sz="8" w:space="0" w:color="000000"/>
            </w:tcBorders>
            <w:tcMar>
              <w:top w:w="120" w:type="dxa"/>
              <w:left w:w="180" w:type="dxa"/>
              <w:bottom w:w="120" w:type="dxa"/>
              <w:right w:w="180" w:type="dxa"/>
            </w:tcMar>
            <w:vAlign w:val="center"/>
          </w:tcPr>
          <w:p w14:paraId="187800D5"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Medium</w:t>
            </w:r>
          </w:p>
        </w:tc>
        <w:tc>
          <w:tcPr>
            <w:tcW w:w="2730" w:type="dxa"/>
            <w:tcBorders>
              <w:top w:val="single" w:sz="8" w:space="0" w:color="000000"/>
            </w:tcBorders>
            <w:tcMar>
              <w:top w:w="120" w:type="dxa"/>
              <w:left w:w="180" w:type="dxa"/>
              <w:bottom w:w="120" w:type="dxa"/>
              <w:right w:w="180" w:type="dxa"/>
            </w:tcMar>
            <w:vAlign w:val="center"/>
          </w:tcPr>
          <w:p w14:paraId="4EC49A6F"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w:t>
            </w:r>
          </w:p>
        </w:tc>
        <w:tc>
          <w:tcPr>
            <w:tcW w:w="1740" w:type="dxa"/>
            <w:tcBorders>
              <w:top w:val="single" w:sz="8" w:space="0" w:color="000000"/>
            </w:tcBorders>
            <w:tcMar>
              <w:top w:w="120" w:type="dxa"/>
              <w:left w:w="180" w:type="dxa"/>
              <w:bottom w:w="120" w:type="dxa"/>
              <w:right w:w="180" w:type="dxa"/>
            </w:tcMar>
            <w:vAlign w:val="center"/>
          </w:tcPr>
          <w:p w14:paraId="676570DC"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Zero</w:t>
            </w:r>
          </w:p>
        </w:tc>
      </w:tr>
      <w:tr w:rsidR="006D0435" w14:paraId="7F757E14" w14:textId="77777777">
        <w:tc>
          <w:tcPr>
            <w:tcW w:w="1365" w:type="dxa"/>
            <w:tcMar>
              <w:top w:w="120" w:type="dxa"/>
              <w:left w:w="180" w:type="dxa"/>
              <w:bottom w:w="120" w:type="dxa"/>
              <w:right w:w="180" w:type="dxa"/>
            </w:tcMar>
            <w:vAlign w:val="center"/>
          </w:tcPr>
          <w:p w14:paraId="6C09F1E9"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PM2.5</w:t>
            </w:r>
          </w:p>
        </w:tc>
        <w:tc>
          <w:tcPr>
            <w:tcW w:w="3090" w:type="dxa"/>
            <w:tcMar>
              <w:top w:w="120" w:type="dxa"/>
              <w:left w:w="180" w:type="dxa"/>
              <w:bottom w:w="120" w:type="dxa"/>
              <w:right w:w="180" w:type="dxa"/>
            </w:tcMar>
            <w:vAlign w:val="center"/>
          </w:tcPr>
          <w:p w14:paraId="549279B8"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845" w:type="dxa"/>
            <w:tcMar>
              <w:top w:w="120" w:type="dxa"/>
              <w:left w:w="180" w:type="dxa"/>
              <w:bottom w:w="120" w:type="dxa"/>
              <w:right w:w="180" w:type="dxa"/>
            </w:tcMar>
            <w:vAlign w:val="center"/>
          </w:tcPr>
          <w:p w14:paraId="12546E46"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Medium</w:t>
            </w:r>
          </w:p>
        </w:tc>
        <w:tc>
          <w:tcPr>
            <w:tcW w:w="2730" w:type="dxa"/>
            <w:tcMar>
              <w:top w:w="120" w:type="dxa"/>
              <w:left w:w="180" w:type="dxa"/>
              <w:bottom w:w="120" w:type="dxa"/>
              <w:right w:w="180" w:type="dxa"/>
            </w:tcMar>
            <w:vAlign w:val="center"/>
          </w:tcPr>
          <w:p w14:paraId="4C173285"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w:t>
            </w:r>
          </w:p>
        </w:tc>
        <w:tc>
          <w:tcPr>
            <w:tcW w:w="1740" w:type="dxa"/>
            <w:tcMar>
              <w:top w:w="120" w:type="dxa"/>
              <w:left w:w="180" w:type="dxa"/>
              <w:bottom w:w="120" w:type="dxa"/>
              <w:right w:w="180" w:type="dxa"/>
            </w:tcMar>
            <w:vAlign w:val="center"/>
          </w:tcPr>
          <w:p w14:paraId="30F9EFE9"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Zero*</w:t>
            </w:r>
          </w:p>
        </w:tc>
      </w:tr>
      <w:tr w:rsidR="006D0435" w14:paraId="36F8D64F" w14:textId="77777777">
        <w:tc>
          <w:tcPr>
            <w:tcW w:w="1365" w:type="dxa"/>
            <w:tcBorders>
              <w:bottom w:val="single" w:sz="8" w:space="0" w:color="000000"/>
            </w:tcBorders>
            <w:tcMar>
              <w:top w:w="120" w:type="dxa"/>
              <w:left w:w="180" w:type="dxa"/>
              <w:bottom w:w="120" w:type="dxa"/>
              <w:right w:w="180" w:type="dxa"/>
            </w:tcMar>
            <w:vAlign w:val="center"/>
          </w:tcPr>
          <w:p w14:paraId="5972CD8F"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w:t>
            </w:r>
          </w:p>
        </w:tc>
        <w:tc>
          <w:tcPr>
            <w:tcW w:w="3090" w:type="dxa"/>
            <w:tcBorders>
              <w:bottom w:val="single" w:sz="8" w:space="0" w:color="000000"/>
            </w:tcBorders>
            <w:tcMar>
              <w:top w:w="120" w:type="dxa"/>
              <w:left w:w="180" w:type="dxa"/>
              <w:bottom w:w="120" w:type="dxa"/>
              <w:right w:w="180" w:type="dxa"/>
            </w:tcMar>
            <w:vAlign w:val="center"/>
          </w:tcPr>
          <w:p w14:paraId="2444D060"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c>
          <w:tcPr>
            <w:tcW w:w="1845" w:type="dxa"/>
            <w:tcBorders>
              <w:bottom w:val="single" w:sz="8" w:space="0" w:color="000000"/>
            </w:tcBorders>
            <w:tcMar>
              <w:top w:w="120" w:type="dxa"/>
              <w:left w:w="180" w:type="dxa"/>
              <w:bottom w:w="120" w:type="dxa"/>
              <w:right w:w="180" w:type="dxa"/>
            </w:tcMar>
            <w:vAlign w:val="center"/>
          </w:tcPr>
          <w:p w14:paraId="7EFABC27"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Medium</w:t>
            </w:r>
          </w:p>
        </w:tc>
        <w:tc>
          <w:tcPr>
            <w:tcW w:w="2730" w:type="dxa"/>
            <w:tcBorders>
              <w:bottom w:val="single" w:sz="8" w:space="0" w:color="000000"/>
            </w:tcBorders>
            <w:tcMar>
              <w:top w:w="120" w:type="dxa"/>
              <w:left w:w="180" w:type="dxa"/>
              <w:bottom w:w="120" w:type="dxa"/>
              <w:right w:w="180" w:type="dxa"/>
            </w:tcMar>
            <w:vAlign w:val="center"/>
          </w:tcPr>
          <w:p w14:paraId="741116BB"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w:t>
            </w:r>
          </w:p>
        </w:tc>
        <w:tc>
          <w:tcPr>
            <w:tcW w:w="1740" w:type="dxa"/>
            <w:tcBorders>
              <w:bottom w:val="single" w:sz="8" w:space="0" w:color="000000"/>
            </w:tcBorders>
            <w:tcMar>
              <w:top w:w="120" w:type="dxa"/>
              <w:left w:w="180" w:type="dxa"/>
              <w:bottom w:w="120" w:type="dxa"/>
              <w:right w:w="180" w:type="dxa"/>
            </w:tcMar>
            <w:vAlign w:val="center"/>
          </w:tcPr>
          <w:p w14:paraId="4EA1F9CC"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Zero</w:t>
            </w:r>
          </w:p>
        </w:tc>
      </w:tr>
    </w:tbl>
    <w:p w14:paraId="03426E51"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EV adoption significantly improves urban air quality by eliminating tailpipe emissions, even if the electricity grid is fossil-based, because power plants are typically located outside urban </w:t>
      </w:r>
      <w:proofErr w:type="gramStart"/>
      <w:r>
        <w:rPr>
          <w:rFonts w:ascii="Times New Roman" w:eastAsia="Times New Roman" w:hAnsi="Times New Roman" w:cs="Times New Roman"/>
          <w:color w:val="000000"/>
          <w:sz w:val="24"/>
          <w:szCs w:val="24"/>
        </w:rPr>
        <w:t>centers .</w:t>
      </w:r>
      <w:proofErr w:type="gramEnd"/>
      <w:r>
        <w:rPr>
          <w:rFonts w:ascii="Times New Roman" w:eastAsia="Times New Roman" w:hAnsi="Times New Roman" w:cs="Times New Roman"/>
          <w:color w:val="000000"/>
          <w:sz w:val="24"/>
          <w:szCs w:val="24"/>
        </w:rPr>
        <w:t xml:space="preserve"> This change in emissions location away from populated urban areas leads to direct improvements in the air quality experienced by urban residents.</w:t>
      </w:r>
    </w:p>
    <w:p w14:paraId="268ED632"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7.7 Noise Pollution Reduction</w:t>
      </w:r>
    </w:p>
    <w:p w14:paraId="50BBFB8E"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Noise pollution is often an overlooked environmental advantage of EV </w:t>
      </w:r>
      <w:proofErr w:type="spellStart"/>
      <w:r>
        <w:rPr>
          <w:rFonts w:ascii="Times New Roman" w:eastAsia="Times New Roman" w:hAnsi="Times New Roman" w:cs="Times New Roman"/>
          <w:color w:val="000000"/>
          <w:sz w:val="24"/>
          <w:szCs w:val="24"/>
        </w:rPr>
        <w:t>useage</w:t>
      </w:r>
      <w:proofErr w:type="spellEnd"/>
      <w:r>
        <w:rPr>
          <w:rFonts w:ascii="Times New Roman" w:eastAsia="Times New Roman" w:hAnsi="Times New Roman" w:cs="Times New Roman"/>
          <w:color w:val="000000"/>
          <w:sz w:val="24"/>
          <w:szCs w:val="24"/>
        </w:rPr>
        <w:t xml:space="preserve">. ICE engines produce significant combustion noise, contributing to overall urban noise levels EVs, in contrast, operate very quietly at low speeds due to the absence of an [internal combustion </w:t>
      </w:r>
      <w:proofErr w:type="gramStart"/>
      <w:r>
        <w:rPr>
          <w:rFonts w:ascii="Times New Roman" w:eastAsia="Times New Roman" w:hAnsi="Times New Roman" w:cs="Times New Roman"/>
          <w:color w:val="000000"/>
          <w:sz w:val="24"/>
          <w:szCs w:val="24"/>
        </w:rPr>
        <w:t>engine .</w:t>
      </w:r>
      <w:proofErr w:type="gramEnd"/>
      <w:r>
        <w:rPr>
          <w:rFonts w:ascii="Times New Roman" w:eastAsia="Times New Roman" w:hAnsi="Times New Roman" w:cs="Times New Roman"/>
          <w:color w:val="000000"/>
          <w:sz w:val="24"/>
          <w:szCs w:val="24"/>
        </w:rPr>
        <w:t xml:space="preserve"> This reduction in urban noise improves public health, reduces stress levels, and enhances sleep </w:t>
      </w:r>
      <w:proofErr w:type="gramStart"/>
      <w:r>
        <w:rPr>
          <w:rFonts w:ascii="Times New Roman" w:eastAsia="Times New Roman" w:hAnsi="Times New Roman" w:cs="Times New Roman"/>
          <w:color w:val="000000"/>
          <w:sz w:val="24"/>
          <w:szCs w:val="24"/>
        </w:rPr>
        <w:t>quality .The</w:t>
      </w:r>
      <w:proofErr w:type="gramEnd"/>
      <w:r>
        <w:rPr>
          <w:rFonts w:ascii="Times New Roman" w:eastAsia="Times New Roman" w:hAnsi="Times New Roman" w:cs="Times New Roman"/>
          <w:color w:val="000000"/>
          <w:sz w:val="24"/>
          <w:szCs w:val="24"/>
        </w:rPr>
        <w:t xml:space="preserve"> noise reduction is most noticeable at speeds below 50 km/</w:t>
      </w:r>
      <w:proofErr w:type="gramStart"/>
      <w:r>
        <w:rPr>
          <w:rFonts w:ascii="Times New Roman" w:eastAsia="Times New Roman" w:hAnsi="Times New Roman" w:cs="Times New Roman"/>
          <w:color w:val="000000"/>
          <w:sz w:val="24"/>
          <w:szCs w:val="24"/>
        </w:rPr>
        <w:t>h .</w:t>
      </w:r>
      <w:proofErr w:type="gramEnd"/>
      <w:r>
        <w:rPr>
          <w:rFonts w:ascii="Times New Roman" w:eastAsia="Times New Roman" w:hAnsi="Times New Roman" w:cs="Times New Roman"/>
          <w:color w:val="000000"/>
          <w:sz w:val="24"/>
          <w:szCs w:val="24"/>
        </w:rPr>
        <w:t xml:space="preserve"> Some advanced countries in the world </w:t>
      </w:r>
      <w:proofErr w:type="gramStart"/>
      <w:r>
        <w:rPr>
          <w:rFonts w:ascii="Times New Roman" w:eastAsia="Times New Roman" w:hAnsi="Times New Roman" w:cs="Times New Roman"/>
          <w:color w:val="000000"/>
          <w:sz w:val="24"/>
          <w:szCs w:val="24"/>
        </w:rPr>
        <w:t>have  implemented</w:t>
      </w:r>
      <w:proofErr w:type="gramEnd"/>
      <w:r>
        <w:rPr>
          <w:rFonts w:ascii="Times New Roman" w:eastAsia="Times New Roman" w:hAnsi="Times New Roman" w:cs="Times New Roman"/>
          <w:color w:val="000000"/>
          <w:sz w:val="24"/>
          <w:szCs w:val="24"/>
        </w:rPr>
        <w:t xml:space="preserve"> regulations requiring EVs to emit artificial sounds at low speeds to ensure safety of pedestrian. </w:t>
      </w:r>
    </w:p>
    <w:p w14:paraId="56AE5AB0"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shift to electric vehicles (EVs) offers a significant, yet often underestimated, environmental advantage: the reduction of noise </w:t>
      </w:r>
      <w:proofErr w:type="gramStart"/>
      <w:r>
        <w:rPr>
          <w:rFonts w:ascii="Times New Roman" w:eastAsia="Times New Roman" w:hAnsi="Times New Roman" w:cs="Times New Roman"/>
          <w:color w:val="000000"/>
          <w:sz w:val="24"/>
          <w:szCs w:val="24"/>
        </w:rPr>
        <w:t>pollution[</w:t>
      </w:r>
      <w:proofErr w:type="gramEnd"/>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43</w:t>
      </w:r>
      <w:r>
        <w:rPr>
          <w:rFonts w:ascii="Times New Roman" w:eastAsia="Times New Roman" w:hAnsi="Times New Roman" w:cs="Times New Roman"/>
          <w:color w:val="000000"/>
          <w:sz w:val="24"/>
          <w:szCs w:val="24"/>
        </w:rPr>
        <w:t xml:space="preserve">]. The acoustic profile of modern transportation, heavily dominated by [internal combustion engine (ICE) vehicles, is a significant contributor to urban environmental health concerns. The fundamental difference in propulsion systems between ICEVs and EVs leads to a transformative reduction in ambient </w:t>
      </w:r>
      <w:proofErr w:type="gramStart"/>
      <w:r>
        <w:rPr>
          <w:rFonts w:ascii="Times New Roman" w:eastAsia="Times New Roman" w:hAnsi="Times New Roman" w:cs="Times New Roman"/>
          <w:color w:val="000000"/>
          <w:sz w:val="24"/>
          <w:szCs w:val="24"/>
        </w:rPr>
        <w:t>noise[</w:t>
      </w:r>
      <w:proofErr w:type="gramEnd"/>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43</w:t>
      </w:r>
      <w:proofErr w:type="gramStart"/>
      <w:r>
        <w:rPr>
          <w:rFonts w:ascii="Times New Roman" w:eastAsia="Times New Roman" w:hAnsi="Times New Roman" w:cs="Times New Roman"/>
          <w:color w:val="000000"/>
          <w:sz w:val="24"/>
          <w:szCs w:val="24"/>
        </w:rPr>
        <w:t>] .</w:t>
      </w:r>
      <w:proofErr w:type="gramEnd"/>
    </w:p>
    <w:p w14:paraId="79DA058C"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Comparative Acoustic Profiles</w:t>
      </w:r>
    </w:p>
    <w:p w14:paraId="3C13D67A"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primary distinction in vehicular noise originates from the method of energy conversion [1</w:t>
      </w:r>
      <w:r>
        <w:rPr>
          <w:rFonts w:ascii="Times New Roman" w:eastAsia="Times New Roman" w:hAnsi="Times New Roman" w:cs="Times New Roman"/>
          <w:sz w:val="24"/>
          <w:szCs w:val="24"/>
        </w:rPr>
        <w:t>43</w:t>
      </w:r>
      <w:r>
        <w:rPr>
          <w:rFonts w:ascii="Times New Roman" w:eastAsia="Times New Roman" w:hAnsi="Times New Roman" w:cs="Times New Roman"/>
          <w:color w:val="000000"/>
          <w:sz w:val="24"/>
          <w:szCs w:val="24"/>
        </w:rPr>
        <w:t>].</w:t>
      </w:r>
    </w:p>
    <w:p w14:paraId="6017E1A8"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Internal Combustion Engines (ICE): Conventional vehicles produce consistent "combustion noise" from the controlled explosions within their cylinders, along with mechanical vibrations from the valvetrain and exhaust system [1</w:t>
      </w:r>
      <w:r>
        <w:rPr>
          <w:rFonts w:ascii="Times New Roman" w:eastAsia="Times New Roman" w:hAnsi="Times New Roman" w:cs="Times New Roman"/>
          <w:sz w:val="24"/>
          <w:szCs w:val="24"/>
        </w:rPr>
        <w:t>43</w:t>
      </w:r>
      <w:r>
        <w:rPr>
          <w:rFonts w:ascii="Times New Roman" w:eastAsia="Times New Roman" w:hAnsi="Times New Roman" w:cs="Times New Roman"/>
          <w:color w:val="000000"/>
          <w:sz w:val="24"/>
          <w:szCs w:val="24"/>
        </w:rPr>
        <w:t>]. This contributes significantly to overall urban noise levels [1</w:t>
      </w:r>
      <w:r>
        <w:rPr>
          <w:rFonts w:ascii="Times New Roman" w:eastAsia="Times New Roman" w:hAnsi="Times New Roman" w:cs="Times New Roman"/>
          <w:sz w:val="24"/>
          <w:szCs w:val="24"/>
        </w:rPr>
        <w:t>43</w:t>
      </w:r>
      <w:r>
        <w:rPr>
          <w:rFonts w:ascii="Times New Roman" w:eastAsia="Times New Roman" w:hAnsi="Times New Roman" w:cs="Times New Roman"/>
          <w:color w:val="000000"/>
          <w:sz w:val="24"/>
          <w:szCs w:val="24"/>
        </w:rPr>
        <w:t>].</w:t>
      </w:r>
    </w:p>
    <w:p w14:paraId="0F38D3FC"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Electric Vehicles (EVs): Electric drivetrains operate with near silence at low-to-moderate speeds because they do not have the reciprocating mass or exhaust discharge characteristic of its counterpart the petrol engines [1</w:t>
      </w:r>
      <w:r>
        <w:rPr>
          <w:rFonts w:ascii="Times New Roman" w:eastAsia="Times New Roman" w:hAnsi="Times New Roman" w:cs="Times New Roman"/>
          <w:sz w:val="24"/>
          <w:szCs w:val="24"/>
        </w:rPr>
        <w:t>43</w:t>
      </w:r>
      <w:r>
        <w:rPr>
          <w:rFonts w:ascii="Times New Roman" w:eastAsia="Times New Roman" w:hAnsi="Times New Roman" w:cs="Times New Roman"/>
          <w:color w:val="000000"/>
          <w:sz w:val="24"/>
          <w:szCs w:val="24"/>
        </w:rPr>
        <w:t xml:space="preserve">]. The absence of an internal combustion engine means EVs are very quiet and stealthy especially at lower end of its </w:t>
      </w:r>
      <w:proofErr w:type="gramStart"/>
      <w:r>
        <w:rPr>
          <w:rFonts w:ascii="Times New Roman" w:eastAsia="Times New Roman" w:hAnsi="Times New Roman" w:cs="Times New Roman"/>
          <w:color w:val="000000"/>
          <w:sz w:val="24"/>
          <w:szCs w:val="24"/>
        </w:rPr>
        <w:t>speed[</w:t>
      </w:r>
      <w:proofErr w:type="gramEnd"/>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43</w:t>
      </w:r>
      <w:proofErr w:type="gramStart"/>
      <w:r>
        <w:rPr>
          <w:rFonts w:ascii="Times New Roman" w:eastAsia="Times New Roman" w:hAnsi="Times New Roman" w:cs="Times New Roman"/>
          <w:color w:val="000000"/>
          <w:sz w:val="24"/>
          <w:szCs w:val="24"/>
        </w:rPr>
        <w:t>] .</w:t>
      </w:r>
      <w:proofErr w:type="gramEnd"/>
    </w:p>
    <w:p w14:paraId="122917E2"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Impact on Public Well being</w:t>
      </w:r>
    </w:p>
    <w:p w14:paraId="4D85E875"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reduction of urban noise pollution through vehicle electrification ensures measurable improvements in several </w:t>
      </w:r>
      <w:proofErr w:type="gramStart"/>
      <w:r>
        <w:rPr>
          <w:rFonts w:ascii="Times New Roman" w:eastAsia="Times New Roman" w:hAnsi="Times New Roman" w:cs="Times New Roman"/>
          <w:color w:val="000000"/>
          <w:sz w:val="24"/>
          <w:szCs w:val="24"/>
        </w:rPr>
        <w:t>quality of life</w:t>
      </w:r>
      <w:proofErr w:type="gramEnd"/>
      <w:r>
        <w:rPr>
          <w:rFonts w:ascii="Times New Roman" w:eastAsia="Times New Roman" w:hAnsi="Times New Roman" w:cs="Times New Roman"/>
          <w:color w:val="000000"/>
          <w:sz w:val="24"/>
          <w:szCs w:val="24"/>
        </w:rPr>
        <w:t xml:space="preserve"> indicators:</w:t>
      </w:r>
    </w:p>
    <w:p w14:paraId="2533A28D"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Public Health: Chronic exposure to elevated noise levels is found to be linked to cardiovascular strain and hypertension which makes noise reduction a public health </w:t>
      </w:r>
      <w:proofErr w:type="gramStart"/>
      <w:r>
        <w:rPr>
          <w:rFonts w:ascii="Times New Roman" w:eastAsia="Times New Roman" w:hAnsi="Times New Roman" w:cs="Times New Roman"/>
          <w:color w:val="000000"/>
          <w:sz w:val="24"/>
          <w:szCs w:val="24"/>
        </w:rPr>
        <w:t>benefit[</w:t>
      </w:r>
      <w:proofErr w:type="gramEnd"/>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43</w:t>
      </w:r>
      <w:proofErr w:type="gramStart"/>
      <w:r>
        <w:rPr>
          <w:rFonts w:ascii="Times New Roman" w:eastAsia="Times New Roman" w:hAnsi="Times New Roman" w:cs="Times New Roman"/>
          <w:color w:val="000000"/>
          <w:sz w:val="24"/>
          <w:szCs w:val="24"/>
        </w:rPr>
        <w:t>] .</w:t>
      </w:r>
      <w:proofErr w:type="gramEnd"/>
    </w:p>
    <w:p w14:paraId="48EFD117"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Stress Levels: A quieter environment can help reduce the cognitive load, </w:t>
      </w:r>
      <w:proofErr w:type="spellStart"/>
      <w:r>
        <w:rPr>
          <w:rFonts w:ascii="Times New Roman" w:eastAsia="Times New Roman" w:hAnsi="Times New Roman" w:cs="Times New Roman"/>
          <w:color w:val="000000"/>
          <w:sz w:val="24"/>
          <w:szCs w:val="24"/>
        </w:rPr>
        <w:t>anxietyand</w:t>
      </w:r>
      <w:proofErr w:type="spellEnd"/>
      <w:r>
        <w:rPr>
          <w:rFonts w:ascii="Times New Roman" w:eastAsia="Times New Roman" w:hAnsi="Times New Roman" w:cs="Times New Roman"/>
          <w:color w:val="000000"/>
          <w:sz w:val="24"/>
          <w:szCs w:val="24"/>
        </w:rPr>
        <w:t xml:space="preserve"> the cortisol levels associated with the constant "background hum" generally considered prevalent in metropolitan </w:t>
      </w:r>
      <w:proofErr w:type="gramStart"/>
      <w:r>
        <w:rPr>
          <w:rFonts w:ascii="Times New Roman" w:eastAsia="Times New Roman" w:hAnsi="Times New Roman" w:cs="Times New Roman"/>
          <w:color w:val="000000"/>
          <w:sz w:val="24"/>
          <w:szCs w:val="24"/>
        </w:rPr>
        <w:t>areas[</w:t>
      </w:r>
      <w:proofErr w:type="gramEnd"/>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43</w:t>
      </w:r>
      <w:proofErr w:type="gramStart"/>
      <w:r>
        <w:rPr>
          <w:rFonts w:ascii="Times New Roman" w:eastAsia="Times New Roman" w:hAnsi="Times New Roman" w:cs="Times New Roman"/>
          <w:color w:val="000000"/>
          <w:sz w:val="24"/>
          <w:szCs w:val="24"/>
        </w:rPr>
        <w:t>] .</w:t>
      </w:r>
      <w:proofErr w:type="gramEnd"/>
    </w:p>
    <w:p w14:paraId="33353F57"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Sleep Quality: Lower nighttime noise levels from nearby roads and transits can hugely improve REM sleep cycles and the overall restfulness for its </w:t>
      </w:r>
      <w:proofErr w:type="gramStart"/>
      <w:r>
        <w:rPr>
          <w:rFonts w:ascii="Times New Roman" w:eastAsia="Times New Roman" w:hAnsi="Times New Roman" w:cs="Times New Roman"/>
          <w:color w:val="000000"/>
          <w:sz w:val="24"/>
          <w:szCs w:val="24"/>
        </w:rPr>
        <w:t>residents[</w:t>
      </w:r>
      <w:proofErr w:type="gramEnd"/>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43</w:t>
      </w:r>
      <w:proofErr w:type="gramStart"/>
      <w:r>
        <w:rPr>
          <w:rFonts w:ascii="Times New Roman" w:eastAsia="Times New Roman" w:hAnsi="Times New Roman" w:cs="Times New Roman"/>
          <w:color w:val="000000"/>
          <w:sz w:val="24"/>
          <w:szCs w:val="24"/>
        </w:rPr>
        <w:t>] .</w:t>
      </w:r>
      <w:proofErr w:type="gramEnd"/>
    </w:p>
    <w:p w14:paraId="1CCBBA3C"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Speed-Dependent Noise and Safety Regulations: The acoustic advantage of EVs is most pronounced at lower </w:t>
      </w:r>
      <w:proofErr w:type="gramStart"/>
      <w:r>
        <w:rPr>
          <w:rFonts w:ascii="Times New Roman" w:eastAsia="Times New Roman" w:hAnsi="Times New Roman" w:cs="Times New Roman"/>
          <w:color w:val="000000"/>
          <w:sz w:val="24"/>
          <w:szCs w:val="24"/>
        </w:rPr>
        <w:t>velocities .</w:t>
      </w:r>
      <w:proofErr w:type="gramEnd"/>
    </w:p>
    <w:p w14:paraId="4EB44A2A"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50 km/h Threshold: At speeds below 50 km/h </w:t>
      </w:r>
      <w:proofErr w:type="spellStart"/>
      <w:r>
        <w:rPr>
          <w:rFonts w:ascii="Times New Roman" w:eastAsia="Times New Roman" w:hAnsi="Times New Roman" w:cs="Times New Roman"/>
          <w:color w:val="000000"/>
          <w:sz w:val="24"/>
          <w:szCs w:val="24"/>
        </w:rPr>
        <w:t>noice</w:t>
      </w:r>
      <w:proofErr w:type="spellEnd"/>
      <w:r>
        <w:rPr>
          <w:rFonts w:ascii="Times New Roman" w:eastAsia="Times New Roman" w:hAnsi="Times New Roman" w:cs="Times New Roman"/>
          <w:color w:val="000000"/>
          <w:sz w:val="24"/>
          <w:szCs w:val="24"/>
        </w:rPr>
        <w:t xml:space="preserve"> reduction becomes more </w:t>
      </w:r>
      <w:proofErr w:type="gramStart"/>
      <w:r>
        <w:rPr>
          <w:rFonts w:ascii="Times New Roman" w:eastAsia="Times New Roman" w:hAnsi="Times New Roman" w:cs="Times New Roman"/>
          <w:color w:val="000000"/>
          <w:sz w:val="24"/>
          <w:szCs w:val="24"/>
        </w:rPr>
        <w:t>noticeable[</w:t>
      </w:r>
      <w:proofErr w:type="gramEnd"/>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43</w:t>
      </w:r>
      <w:r>
        <w:rPr>
          <w:rFonts w:ascii="Times New Roman" w:eastAsia="Times New Roman" w:hAnsi="Times New Roman" w:cs="Times New Roman"/>
          <w:color w:val="000000"/>
          <w:sz w:val="24"/>
          <w:szCs w:val="24"/>
        </w:rPr>
        <w:t xml:space="preserve">]. The sound generated by tire-road interaction and wind resistance at higher speeds becomes one of the most prominent noise </w:t>
      </w:r>
      <w:proofErr w:type="gramStart"/>
      <w:r>
        <w:rPr>
          <w:rFonts w:ascii="Times New Roman" w:eastAsia="Times New Roman" w:hAnsi="Times New Roman" w:cs="Times New Roman"/>
          <w:color w:val="000000"/>
          <w:sz w:val="24"/>
          <w:szCs w:val="24"/>
        </w:rPr>
        <w:t>source</w:t>
      </w:r>
      <w:proofErr w:type="gramEnd"/>
      <w:r>
        <w:rPr>
          <w:rFonts w:ascii="Times New Roman" w:eastAsia="Times New Roman" w:hAnsi="Times New Roman" w:cs="Times New Roman"/>
          <w:color w:val="000000"/>
          <w:sz w:val="24"/>
          <w:szCs w:val="24"/>
        </w:rPr>
        <w:t xml:space="preserve"> for all vehicle types which is effectively equal for both EVs and ICEVs [1</w:t>
      </w:r>
      <w:r>
        <w:rPr>
          <w:rFonts w:ascii="Times New Roman" w:eastAsia="Times New Roman" w:hAnsi="Times New Roman" w:cs="Times New Roman"/>
          <w:sz w:val="24"/>
          <w:szCs w:val="24"/>
        </w:rPr>
        <w:t>43</w:t>
      </w:r>
      <w:r>
        <w:rPr>
          <w:rFonts w:ascii="Times New Roman" w:eastAsia="Times New Roman" w:hAnsi="Times New Roman" w:cs="Times New Roman"/>
          <w:color w:val="000000"/>
          <w:sz w:val="24"/>
          <w:szCs w:val="24"/>
        </w:rPr>
        <w:t>].</w:t>
      </w:r>
    </w:p>
    <w:p w14:paraId="758E1A33"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Acoustic Vehicle Alerting Systems (AVAS): Due to the quietness of EVs in absence of mechanical engine noises at low speeds, many nations have implemented rules and regulations to include artificial sound </w:t>
      </w:r>
      <w:proofErr w:type="gramStart"/>
      <w:r>
        <w:rPr>
          <w:rFonts w:ascii="Times New Roman" w:eastAsia="Times New Roman" w:hAnsi="Times New Roman" w:cs="Times New Roman"/>
          <w:color w:val="000000"/>
          <w:sz w:val="24"/>
          <w:szCs w:val="24"/>
        </w:rPr>
        <w:t>generators[</w:t>
      </w:r>
      <w:proofErr w:type="gramEnd"/>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43</w:t>
      </w:r>
      <w:proofErr w:type="gramStart"/>
      <w:r>
        <w:rPr>
          <w:rFonts w:ascii="Times New Roman" w:eastAsia="Times New Roman" w:hAnsi="Times New Roman" w:cs="Times New Roman"/>
          <w:color w:val="000000"/>
          <w:sz w:val="24"/>
          <w:szCs w:val="24"/>
        </w:rPr>
        <w:t>] .</w:t>
      </w:r>
      <w:proofErr w:type="gramEnd"/>
      <w:r>
        <w:rPr>
          <w:rFonts w:ascii="Times New Roman" w:eastAsia="Times New Roman" w:hAnsi="Times New Roman" w:cs="Times New Roman"/>
          <w:color w:val="000000"/>
          <w:sz w:val="24"/>
          <w:szCs w:val="24"/>
        </w:rPr>
        <w:t xml:space="preserve"> These mandatory systems emit </w:t>
      </w:r>
      <w:proofErr w:type="gramStart"/>
      <w:r>
        <w:rPr>
          <w:rFonts w:ascii="Times New Roman" w:eastAsia="Times New Roman" w:hAnsi="Times New Roman" w:cs="Times New Roman"/>
          <w:color w:val="000000"/>
          <w:sz w:val="24"/>
          <w:szCs w:val="24"/>
        </w:rPr>
        <w:t>a</w:t>
      </w:r>
      <w:proofErr w:type="gramEnd"/>
      <w:r>
        <w:rPr>
          <w:rFonts w:ascii="Times New Roman" w:eastAsia="Times New Roman" w:hAnsi="Times New Roman" w:cs="Times New Roman"/>
          <w:color w:val="000000"/>
          <w:sz w:val="24"/>
          <w:szCs w:val="24"/>
        </w:rPr>
        <w:t xml:space="preserve"> artificial hum to alert the pedestrians specially visually impaired pedestrians and cyclists about an approaching vehicle which balances the benefits of urban quite environment with essential </w:t>
      </w:r>
      <w:proofErr w:type="spellStart"/>
      <w:r>
        <w:rPr>
          <w:rFonts w:ascii="Times New Roman" w:eastAsia="Times New Roman" w:hAnsi="Times New Roman" w:cs="Times New Roman"/>
          <w:color w:val="000000"/>
          <w:sz w:val="24"/>
          <w:szCs w:val="24"/>
        </w:rPr>
        <w:t>aspecs</w:t>
      </w:r>
      <w:proofErr w:type="spellEnd"/>
      <w:r>
        <w:rPr>
          <w:rFonts w:ascii="Times New Roman" w:eastAsia="Times New Roman" w:hAnsi="Times New Roman" w:cs="Times New Roman"/>
          <w:color w:val="000000"/>
          <w:sz w:val="24"/>
          <w:szCs w:val="24"/>
        </w:rPr>
        <w:t xml:space="preserve"> of public </w:t>
      </w:r>
      <w:proofErr w:type="gramStart"/>
      <w:r>
        <w:rPr>
          <w:rFonts w:ascii="Times New Roman" w:eastAsia="Times New Roman" w:hAnsi="Times New Roman" w:cs="Times New Roman"/>
          <w:color w:val="000000"/>
          <w:sz w:val="24"/>
          <w:szCs w:val="24"/>
        </w:rPr>
        <w:t>safety[</w:t>
      </w:r>
      <w:proofErr w:type="gramEnd"/>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43</w:t>
      </w:r>
      <w:r>
        <w:rPr>
          <w:rFonts w:ascii="Times New Roman" w:eastAsia="Times New Roman" w:hAnsi="Times New Roman" w:cs="Times New Roman"/>
          <w:color w:val="000000"/>
          <w:sz w:val="24"/>
          <w:szCs w:val="24"/>
        </w:rPr>
        <w:t>].</w:t>
      </w:r>
    </w:p>
    <w:p w14:paraId="67901AC6"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differences in acoustic profile due to the shift from ICs to EVs ensures a significant reduction in ambient noise pollution which contributes contributing to a healthier urban environment [1</w:t>
      </w:r>
      <w:r>
        <w:rPr>
          <w:rFonts w:ascii="Times New Roman" w:eastAsia="Times New Roman" w:hAnsi="Times New Roman" w:cs="Times New Roman"/>
          <w:sz w:val="24"/>
          <w:szCs w:val="24"/>
        </w:rPr>
        <w:t>43</w:t>
      </w:r>
      <w:r>
        <w:rPr>
          <w:rFonts w:ascii="Times New Roman" w:eastAsia="Times New Roman" w:hAnsi="Times New Roman" w:cs="Times New Roman"/>
          <w:color w:val="000000"/>
          <w:sz w:val="24"/>
          <w:szCs w:val="24"/>
        </w:rPr>
        <w:t>].</w:t>
      </w:r>
    </w:p>
    <w:p w14:paraId="1E600EB3"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environmental impacts of electric vehicle (EV) adoption in developing nations, such as Bangladesh is a complex matter which is also intertwined with the existing energy infrastructure and urban challenges. Even though EVs offer significant benefits in reducing localized emissions more importantly is the carbon intensity of the electricity grid which very heavily influences their overall environmental carbon </w:t>
      </w:r>
      <w:proofErr w:type="gramStart"/>
      <w:r>
        <w:rPr>
          <w:rFonts w:ascii="Times New Roman" w:eastAsia="Times New Roman" w:hAnsi="Times New Roman" w:cs="Times New Roman"/>
          <w:color w:val="000000"/>
          <w:sz w:val="24"/>
          <w:szCs w:val="24"/>
        </w:rPr>
        <w:t>footprint[</w:t>
      </w:r>
      <w:proofErr w:type="gramEnd"/>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 [</w:t>
      </w:r>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w:t>
      </w:r>
    </w:p>
    <w:p w14:paraId="6620AAAA"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Bangladesh's electricity generation is still heavily reliant on fossil fuels which leads to a high grid carbon intensity with a range of approximately 500 to 600 g CO₂/</w:t>
      </w:r>
      <w:proofErr w:type="gramStart"/>
      <w:r>
        <w:rPr>
          <w:rFonts w:ascii="Times New Roman" w:eastAsia="Times New Roman" w:hAnsi="Times New Roman" w:cs="Times New Roman"/>
          <w:color w:val="000000"/>
          <w:sz w:val="24"/>
          <w:szCs w:val="24"/>
        </w:rPr>
        <w:t>kWh[</w:t>
      </w:r>
      <w:proofErr w:type="gramEnd"/>
      <w:r>
        <w:rPr>
          <w:rFonts w:ascii="Times New Roman" w:eastAsia="Times New Roman" w:hAnsi="Times New Roman" w:cs="Times New Roman"/>
          <w:color w:val="000000"/>
          <w:sz w:val="24"/>
          <w:szCs w:val="24"/>
        </w:rPr>
        <w:t>133</w:t>
      </w:r>
      <w:proofErr w:type="gramStart"/>
      <w:r>
        <w:rPr>
          <w:rFonts w:ascii="Times New Roman" w:eastAsia="Times New Roman" w:hAnsi="Times New Roman" w:cs="Times New Roman"/>
          <w:color w:val="000000"/>
          <w:sz w:val="24"/>
          <w:szCs w:val="24"/>
        </w:rPr>
        <w:t>] .</w:t>
      </w:r>
      <w:proofErr w:type="gramEnd"/>
      <w:r>
        <w:rPr>
          <w:rFonts w:ascii="Times New Roman" w:eastAsia="Times New Roman" w:hAnsi="Times New Roman" w:cs="Times New Roman"/>
          <w:color w:val="000000"/>
          <w:sz w:val="24"/>
          <w:szCs w:val="24"/>
        </w:rPr>
        <w:t xml:space="preserve"> This reliance also means that while EVs produce zero tailpipe emissions its upstream emissions from electricity generation for their charging is more than substantial. Asa </w:t>
      </w:r>
      <w:proofErr w:type="gramStart"/>
      <w:r>
        <w:rPr>
          <w:rFonts w:ascii="Times New Roman" w:eastAsia="Times New Roman" w:hAnsi="Times New Roman" w:cs="Times New Roman"/>
          <w:color w:val="000000"/>
          <w:sz w:val="24"/>
          <w:szCs w:val="24"/>
        </w:rPr>
        <w:t>result</w:t>
      </w:r>
      <w:proofErr w:type="gramEnd"/>
      <w:r>
        <w:rPr>
          <w:rFonts w:ascii="Times New Roman" w:eastAsia="Times New Roman" w:hAnsi="Times New Roman" w:cs="Times New Roman"/>
          <w:color w:val="000000"/>
          <w:sz w:val="24"/>
          <w:szCs w:val="24"/>
        </w:rPr>
        <w:t xml:space="preserve"> the well-to-wheel (WTW) emissions of an EV operating on such a grid might not be as low as those in regions with a higher percentages of renewable energy </w:t>
      </w:r>
      <w:proofErr w:type="gramStart"/>
      <w:r>
        <w:rPr>
          <w:rFonts w:ascii="Times New Roman" w:eastAsia="Times New Roman" w:hAnsi="Times New Roman" w:cs="Times New Roman"/>
          <w:color w:val="000000"/>
          <w:sz w:val="24"/>
          <w:szCs w:val="24"/>
        </w:rPr>
        <w:t>sources[</w:t>
      </w:r>
      <w:proofErr w:type="gramEnd"/>
      <w:r>
        <w:rPr>
          <w:rFonts w:ascii="Times New Roman" w:eastAsia="Times New Roman" w:hAnsi="Times New Roman" w:cs="Times New Roman"/>
          <w:color w:val="000000"/>
          <w:sz w:val="24"/>
          <w:szCs w:val="24"/>
        </w:rPr>
        <w:t>133</w:t>
      </w:r>
      <w:proofErr w:type="gramStart"/>
      <w:r>
        <w:rPr>
          <w:rFonts w:ascii="Times New Roman" w:eastAsia="Times New Roman" w:hAnsi="Times New Roman" w:cs="Times New Roman"/>
          <w:color w:val="000000"/>
          <w:sz w:val="24"/>
          <w:szCs w:val="24"/>
        </w:rPr>
        <w:t>] .</w:t>
      </w:r>
      <w:proofErr w:type="gramEnd"/>
      <w:r>
        <w:rPr>
          <w:rFonts w:ascii="Times New Roman" w:eastAsia="Times New Roman" w:hAnsi="Times New Roman" w:cs="Times New Roman"/>
          <w:color w:val="000000"/>
          <w:sz w:val="24"/>
          <w:szCs w:val="24"/>
        </w:rPr>
        <w:t xml:space="preserve"> For </w:t>
      </w:r>
      <w:proofErr w:type="gramStart"/>
      <w:r>
        <w:rPr>
          <w:rFonts w:ascii="Times New Roman" w:eastAsia="Times New Roman" w:hAnsi="Times New Roman" w:cs="Times New Roman"/>
          <w:color w:val="000000"/>
          <w:sz w:val="24"/>
          <w:szCs w:val="24"/>
        </w:rPr>
        <w:t>example</w:t>
      </w:r>
      <w:proofErr w:type="gramEnd"/>
      <w:r>
        <w:rPr>
          <w:rFonts w:ascii="Times New Roman" w:eastAsia="Times New Roman" w:hAnsi="Times New Roman" w:cs="Times New Roman"/>
          <w:color w:val="000000"/>
          <w:sz w:val="24"/>
          <w:szCs w:val="24"/>
        </w:rPr>
        <w:t xml:space="preserve"> EV charged on a coal-heavy grid can have lifecycle CO₂ emissions ranging from 150–200 g CO₂/km which although potentially lower than an ICE vehicle (180–250 g CO₂/km) is much higher than an EV charged on a renewable grid (20–60 g CO₂/</w:t>
      </w:r>
      <w:proofErr w:type="gramStart"/>
      <w:r>
        <w:rPr>
          <w:rFonts w:ascii="Times New Roman" w:eastAsia="Times New Roman" w:hAnsi="Times New Roman" w:cs="Times New Roman"/>
          <w:color w:val="000000"/>
          <w:sz w:val="24"/>
          <w:szCs w:val="24"/>
        </w:rPr>
        <w:t>km)[</w:t>
      </w:r>
      <w:proofErr w:type="gramEnd"/>
      <w:r>
        <w:rPr>
          <w:rFonts w:ascii="Times New Roman" w:eastAsia="Times New Roman" w:hAnsi="Times New Roman" w:cs="Times New Roman"/>
          <w:color w:val="000000"/>
          <w:sz w:val="24"/>
          <w:szCs w:val="24"/>
        </w:rPr>
        <w:t>1</w:t>
      </w:r>
      <w:proofErr w:type="gramStart"/>
      <w:r>
        <w:rPr>
          <w:rFonts w:ascii="Times New Roman" w:eastAsia="Times New Roman" w:hAnsi="Times New Roman" w:cs="Times New Roman"/>
          <w:color w:val="000000"/>
          <w:sz w:val="24"/>
          <w:szCs w:val="24"/>
        </w:rPr>
        <w:t>] .</w:t>
      </w:r>
      <w:proofErr w:type="gramEnd"/>
    </w:p>
    <w:p w14:paraId="0E401A19"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Severe air pollution in urban areas like in cities of Dhaka is a critical concern which is caused by high levels of particulate matter (PM2.5) and also significant traffic congestion with ill health IC </w:t>
      </w:r>
      <w:proofErr w:type="gramStart"/>
      <w:r>
        <w:rPr>
          <w:rFonts w:ascii="Times New Roman" w:eastAsia="Times New Roman" w:hAnsi="Times New Roman" w:cs="Times New Roman"/>
          <w:color w:val="000000"/>
          <w:sz w:val="24"/>
          <w:szCs w:val="24"/>
        </w:rPr>
        <w:t>vehicles[</w:t>
      </w:r>
      <w:proofErr w:type="gramEnd"/>
      <w:r>
        <w:rPr>
          <w:rFonts w:ascii="Times New Roman" w:eastAsia="Times New Roman" w:hAnsi="Times New Roman" w:cs="Times New Roman"/>
          <w:sz w:val="24"/>
          <w:szCs w:val="24"/>
        </w:rPr>
        <w:t>134</w:t>
      </w:r>
      <w:proofErr w:type="gramStart"/>
      <w:r>
        <w:rPr>
          <w:rFonts w:ascii="Times New Roman" w:eastAsia="Times New Roman" w:hAnsi="Times New Roman" w:cs="Times New Roman"/>
          <w:color w:val="000000"/>
          <w:sz w:val="24"/>
          <w:szCs w:val="24"/>
        </w:rPr>
        <w:t>] .</w:t>
      </w:r>
      <w:proofErr w:type="gramEnd"/>
      <w:r>
        <w:rPr>
          <w:rFonts w:ascii="Times New Roman" w:eastAsia="Times New Roman" w:hAnsi="Times New Roman" w:cs="Times New Roman"/>
          <w:color w:val="000000"/>
          <w:sz w:val="24"/>
          <w:szCs w:val="24"/>
        </w:rPr>
        <w:t xml:space="preserve"> ICE vehicles are major contributors to this pollution which emits nitrogen oxides (NOx), carbon monoxide (CO), particulate matter (PM2.5, PM10), burned particles and unburned </w:t>
      </w:r>
      <w:proofErr w:type="gramStart"/>
      <w:r>
        <w:rPr>
          <w:rFonts w:ascii="Times New Roman" w:eastAsia="Times New Roman" w:hAnsi="Times New Roman" w:cs="Times New Roman"/>
          <w:color w:val="000000"/>
          <w:sz w:val="24"/>
          <w:szCs w:val="24"/>
        </w:rPr>
        <w:t>hydrocarbons[</w:t>
      </w:r>
      <w:proofErr w:type="gramEnd"/>
      <w:r>
        <w:rPr>
          <w:rFonts w:ascii="Times New Roman" w:eastAsia="Times New Roman" w:hAnsi="Times New Roman" w:cs="Times New Roman"/>
          <w:sz w:val="24"/>
          <w:szCs w:val="24"/>
        </w:rPr>
        <w:t>134</w:t>
      </w:r>
      <w:proofErr w:type="gramStart"/>
      <w:r>
        <w:rPr>
          <w:rFonts w:ascii="Times New Roman" w:eastAsia="Times New Roman" w:hAnsi="Times New Roman" w:cs="Times New Roman"/>
          <w:color w:val="000000"/>
          <w:sz w:val="24"/>
          <w:szCs w:val="24"/>
        </w:rPr>
        <w:t>] .</w:t>
      </w:r>
      <w:proofErr w:type="gramEnd"/>
      <w:r>
        <w:rPr>
          <w:rFonts w:ascii="Times New Roman" w:eastAsia="Times New Roman" w:hAnsi="Times New Roman" w:cs="Times New Roman"/>
          <w:color w:val="000000"/>
          <w:sz w:val="24"/>
          <w:szCs w:val="24"/>
        </w:rPr>
        <w:t xml:space="preserve"> So EVs offer a not only a direct and </w:t>
      </w:r>
      <w:r>
        <w:rPr>
          <w:rFonts w:ascii="Times New Roman" w:eastAsia="Times New Roman" w:hAnsi="Times New Roman" w:cs="Times New Roman"/>
          <w:color w:val="000000"/>
          <w:sz w:val="24"/>
          <w:szCs w:val="24"/>
        </w:rPr>
        <w:lastRenderedPageBreak/>
        <w:t xml:space="preserve">immediate benefit by eliminating tailpipe emissions at the point of use it also causes reduction in the urban NOx and PM2.5 exposure which might lead to improved local air quality and public health outcomes even if the electricity generation is fossil-fuel dependent since power plants are typically located outside urban centers which displaces emissions away from densely populated </w:t>
      </w:r>
      <w:proofErr w:type="gramStart"/>
      <w:r>
        <w:rPr>
          <w:rFonts w:ascii="Times New Roman" w:eastAsia="Times New Roman" w:hAnsi="Times New Roman" w:cs="Times New Roman"/>
          <w:color w:val="000000"/>
          <w:sz w:val="24"/>
          <w:szCs w:val="24"/>
        </w:rPr>
        <w:t>areas[</w:t>
      </w:r>
      <w:proofErr w:type="gramEnd"/>
      <w:r>
        <w:rPr>
          <w:rFonts w:ascii="Times New Roman" w:eastAsia="Times New Roman" w:hAnsi="Times New Roman" w:cs="Times New Roman"/>
          <w:sz w:val="24"/>
          <w:szCs w:val="24"/>
        </w:rPr>
        <w:t>134</w:t>
      </w:r>
      <w:proofErr w:type="gramStart"/>
      <w:r>
        <w:rPr>
          <w:rFonts w:ascii="Times New Roman" w:eastAsia="Times New Roman" w:hAnsi="Times New Roman" w:cs="Times New Roman"/>
          <w:color w:val="000000"/>
          <w:sz w:val="24"/>
          <w:szCs w:val="24"/>
        </w:rPr>
        <w:t>] .</w:t>
      </w:r>
      <w:proofErr w:type="gramEnd"/>
    </w:p>
    <w:p w14:paraId="4C35D87E"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However, the high carbon intensity of Bangladesh's grid is a hard challenge for achieving the full climate benefits of EVs. Even though EVs can significantly reduce urban air pollutants like NOx, PM2.5 and CO its lifecycle footprint for specific pollutants like </w:t>
      </w:r>
      <w:proofErr w:type="spellStart"/>
      <w:r>
        <w:rPr>
          <w:rFonts w:ascii="Times New Roman" w:eastAsia="Times New Roman" w:hAnsi="Times New Roman" w:cs="Times New Roman"/>
          <w:color w:val="000000"/>
          <w:sz w:val="24"/>
          <w:szCs w:val="24"/>
        </w:rPr>
        <w:t>SOx</w:t>
      </w:r>
      <w:proofErr w:type="spellEnd"/>
      <w:r>
        <w:rPr>
          <w:rFonts w:ascii="Times New Roman" w:eastAsia="Times New Roman" w:hAnsi="Times New Roman" w:cs="Times New Roman"/>
          <w:color w:val="000000"/>
          <w:sz w:val="24"/>
          <w:szCs w:val="24"/>
        </w:rPr>
        <w:t xml:space="preserve"> and PM10 can be higher if the power grid relies mostly on fossil </w:t>
      </w:r>
      <w:r>
        <w:rPr>
          <w:rFonts w:ascii="Times New Roman" w:eastAsia="Times New Roman" w:hAnsi="Times New Roman" w:cs="Times New Roman"/>
          <w:sz w:val="24"/>
          <w:szCs w:val="24"/>
        </w:rPr>
        <w:t>fuels, especially</w:t>
      </w: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coal[</w:t>
      </w:r>
      <w:proofErr w:type="gramEnd"/>
      <w:r>
        <w:rPr>
          <w:rFonts w:ascii="Times New Roman" w:eastAsia="Times New Roman" w:hAnsi="Times New Roman" w:cs="Times New Roman"/>
          <w:color w:val="000000"/>
          <w:sz w:val="24"/>
          <w:szCs w:val="24"/>
        </w:rPr>
        <w:t xml:space="preserve">1]. For </w:t>
      </w:r>
      <w:proofErr w:type="gramStart"/>
      <w:r>
        <w:rPr>
          <w:rFonts w:ascii="Times New Roman" w:eastAsia="Times New Roman" w:hAnsi="Times New Roman" w:cs="Times New Roman"/>
          <w:color w:val="000000"/>
          <w:sz w:val="24"/>
          <w:szCs w:val="24"/>
        </w:rPr>
        <w:t>example</w:t>
      </w:r>
      <w:proofErr w:type="gramEnd"/>
      <w:r>
        <w:rPr>
          <w:rFonts w:ascii="Times New Roman" w:eastAsia="Times New Roman" w:hAnsi="Times New Roman" w:cs="Times New Roman"/>
          <w:color w:val="000000"/>
          <w:sz w:val="24"/>
          <w:szCs w:val="24"/>
        </w:rPr>
        <w:t xml:space="preserve"> the industrial processes for refining battery materials and the electricity used for </w:t>
      </w:r>
      <w:proofErr w:type="spellStart"/>
      <w:r>
        <w:rPr>
          <w:rFonts w:ascii="Times New Roman" w:eastAsia="Times New Roman" w:hAnsi="Times New Roman" w:cs="Times New Roman"/>
          <w:color w:val="000000"/>
          <w:sz w:val="24"/>
          <w:szCs w:val="24"/>
        </w:rPr>
        <w:t>assmembly</w:t>
      </w:r>
      <w:proofErr w:type="spellEnd"/>
      <w:r>
        <w:rPr>
          <w:rFonts w:ascii="Times New Roman" w:eastAsia="Times New Roman" w:hAnsi="Times New Roman" w:cs="Times New Roman"/>
          <w:color w:val="000000"/>
          <w:sz w:val="24"/>
          <w:szCs w:val="24"/>
        </w:rPr>
        <w:t xml:space="preserve"> of battery parts particularly from coal powered power plants can and will lead to </w:t>
      </w:r>
      <w:proofErr w:type="spellStart"/>
      <w:r>
        <w:rPr>
          <w:rFonts w:ascii="Times New Roman" w:eastAsia="Times New Roman" w:hAnsi="Times New Roman" w:cs="Times New Roman"/>
          <w:color w:val="000000"/>
          <w:sz w:val="24"/>
          <w:szCs w:val="24"/>
        </w:rPr>
        <w:t>SOx</w:t>
      </w:r>
      <w:proofErr w:type="spellEnd"/>
      <w:r>
        <w:rPr>
          <w:rFonts w:ascii="Times New Roman" w:eastAsia="Times New Roman" w:hAnsi="Times New Roman" w:cs="Times New Roman"/>
          <w:color w:val="000000"/>
          <w:sz w:val="24"/>
          <w:szCs w:val="24"/>
        </w:rPr>
        <w:t xml:space="preserve"> levels nearly 85% to 90% higher than those of standard ICE vehicles [133]. Moreover, the increased vehicle weight of EVs due to battery packs can cause high non exhaust emissions from tire and brake wear which contributes to PM10 </w:t>
      </w:r>
      <w:proofErr w:type="gramStart"/>
      <w:r>
        <w:rPr>
          <w:rFonts w:ascii="Times New Roman" w:eastAsia="Times New Roman" w:hAnsi="Times New Roman" w:cs="Times New Roman"/>
          <w:color w:val="000000"/>
          <w:sz w:val="24"/>
          <w:szCs w:val="24"/>
        </w:rPr>
        <w:t>levels[</w:t>
      </w:r>
      <w:proofErr w:type="gramEnd"/>
      <w:r>
        <w:rPr>
          <w:rFonts w:ascii="Times New Roman" w:eastAsia="Times New Roman" w:hAnsi="Times New Roman" w:cs="Times New Roman"/>
          <w:color w:val="000000"/>
          <w:sz w:val="24"/>
          <w:szCs w:val="24"/>
        </w:rPr>
        <w:t>133</w:t>
      </w:r>
      <w:proofErr w:type="gramStart"/>
      <w:r>
        <w:rPr>
          <w:rFonts w:ascii="Times New Roman" w:eastAsia="Times New Roman" w:hAnsi="Times New Roman" w:cs="Times New Roman"/>
          <w:color w:val="000000"/>
          <w:sz w:val="24"/>
          <w:szCs w:val="24"/>
        </w:rPr>
        <w:t>] .</w:t>
      </w:r>
      <w:proofErr w:type="gramEnd"/>
      <w:r>
        <w:rPr>
          <w:rFonts w:ascii="Times New Roman" w:eastAsia="Times New Roman" w:hAnsi="Times New Roman" w:cs="Times New Roman"/>
          <w:color w:val="000000"/>
          <w:sz w:val="24"/>
          <w:szCs w:val="24"/>
        </w:rPr>
        <w:t xml:space="preserve"> This means that without a rapid transition to cleaner energy sources for electricity generation at power plans supplying the grids the burden of emissions is only transferred from urban areas to more remote power plant sites and are not fully </w:t>
      </w:r>
      <w:proofErr w:type="gramStart"/>
      <w:r>
        <w:rPr>
          <w:rFonts w:ascii="Times New Roman" w:eastAsia="Times New Roman" w:hAnsi="Times New Roman" w:cs="Times New Roman"/>
          <w:color w:val="000000"/>
          <w:sz w:val="24"/>
          <w:szCs w:val="24"/>
        </w:rPr>
        <w:t>eliminated[</w:t>
      </w:r>
      <w:proofErr w:type="gramEnd"/>
      <w:r>
        <w:rPr>
          <w:rFonts w:ascii="Times New Roman" w:eastAsia="Times New Roman" w:hAnsi="Times New Roman" w:cs="Times New Roman"/>
          <w:color w:val="000000"/>
          <w:sz w:val="24"/>
          <w:szCs w:val="24"/>
        </w:rPr>
        <w:t>133</w:t>
      </w:r>
      <w:proofErr w:type="gramStart"/>
      <w:r>
        <w:rPr>
          <w:rFonts w:ascii="Times New Roman" w:eastAsia="Times New Roman" w:hAnsi="Times New Roman" w:cs="Times New Roman"/>
          <w:color w:val="000000"/>
          <w:sz w:val="24"/>
          <w:szCs w:val="24"/>
        </w:rPr>
        <w:t>] .</w:t>
      </w:r>
      <w:proofErr w:type="gramEnd"/>
    </w:p>
    <w:p w14:paraId="48BF4871"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Therefore, for developing nations like Bangladesh, the environmental efficacy of EVs is two-fold. Firstly, they provide a crucial solution for mitigating urban air pollution and improving the Air Quality Index (AQI) in densely populated areas by eliminating tailpipe </w:t>
      </w:r>
      <w:proofErr w:type="gramStart"/>
      <w:r>
        <w:rPr>
          <w:rFonts w:ascii="Times New Roman" w:eastAsia="Times New Roman" w:hAnsi="Times New Roman" w:cs="Times New Roman"/>
          <w:color w:val="000000"/>
          <w:sz w:val="24"/>
          <w:szCs w:val="24"/>
        </w:rPr>
        <w:t>emissions[</w:t>
      </w:r>
      <w:proofErr w:type="gramEnd"/>
      <w:r>
        <w:rPr>
          <w:rFonts w:ascii="Times New Roman" w:eastAsia="Times New Roman" w:hAnsi="Times New Roman" w:cs="Times New Roman"/>
          <w:sz w:val="24"/>
          <w:szCs w:val="24"/>
        </w:rPr>
        <w:t>134</w:t>
      </w:r>
      <w:proofErr w:type="gramStart"/>
      <w:r>
        <w:rPr>
          <w:rFonts w:ascii="Times New Roman" w:eastAsia="Times New Roman" w:hAnsi="Times New Roman" w:cs="Times New Roman"/>
          <w:color w:val="000000"/>
          <w:sz w:val="24"/>
          <w:szCs w:val="24"/>
        </w:rPr>
        <w:t>] .</w:t>
      </w:r>
      <w:proofErr w:type="gramEnd"/>
      <w:r>
        <w:rPr>
          <w:rFonts w:ascii="Times New Roman" w:eastAsia="Times New Roman" w:hAnsi="Times New Roman" w:cs="Times New Roman"/>
          <w:color w:val="000000"/>
          <w:sz w:val="24"/>
          <w:szCs w:val="24"/>
        </w:rPr>
        <w:t xml:space="preserve"> Secondly, to fully realize the climate benefits and reduce overall lifecycle GHG emissions, substantial investment in and transition to renewable energy sources for electricity generation are </w:t>
      </w:r>
      <w:proofErr w:type="gramStart"/>
      <w:r>
        <w:rPr>
          <w:rFonts w:ascii="Times New Roman" w:eastAsia="Times New Roman" w:hAnsi="Times New Roman" w:cs="Times New Roman"/>
          <w:color w:val="000000"/>
          <w:sz w:val="24"/>
          <w:szCs w:val="24"/>
        </w:rPr>
        <w:t>imperative[</w:t>
      </w:r>
      <w:proofErr w:type="gramEnd"/>
      <w:r>
        <w:rPr>
          <w:rFonts w:ascii="Times New Roman" w:eastAsia="Times New Roman" w:hAnsi="Times New Roman" w:cs="Times New Roman"/>
          <w:color w:val="000000"/>
          <w:sz w:val="24"/>
          <w:szCs w:val="24"/>
        </w:rPr>
        <w:t>133], [</w:t>
      </w:r>
      <w:r>
        <w:rPr>
          <w:rFonts w:ascii="Times New Roman" w:eastAsia="Times New Roman" w:hAnsi="Times New Roman" w:cs="Times New Roman"/>
          <w:sz w:val="24"/>
          <w:szCs w:val="24"/>
        </w:rPr>
        <w:t>134</w:t>
      </w:r>
      <w:proofErr w:type="gramStart"/>
      <w:r>
        <w:rPr>
          <w:rFonts w:ascii="Times New Roman" w:eastAsia="Times New Roman" w:hAnsi="Times New Roman" w:cs="Times New Roman"/>
          <w:color w:val="000000"/>
          <w:sz w:val="24"/>
          <w:szCs w:val="24"/>
        </w:rPr>
        <w:t>] .</w:t>
      </w:r>
      <w:proofErr w:type="gramEnd"/>
      <w:r>
        <w:rPr>
          <w:rFonts w:ascii="Times New Roman" w:eastAsia="Times New Roman" w:hAnsi="Times New Roman" w:cs="Times New Roman"/>
          <w:color w:val="000000"/>
          <w:sz w:val="24"/>
          <w:szCs w:val="24"/>
        </w:rPr>
        <w:t xml:space="preserve"> Without such grid decarbonization, the potential for EVs to contribute to climate change mitigation remains constrained by the upstream emissions associated with their power </w:t>
      </w:r>
      <w:proofErr w:type="gramStart"/>
      <w:r>
        <w:rPr>
          <w:rFonts w:ascii="Times New Roman" w:eastAsia="Times New Roman" w:hAnsi="Times New Roman" w:cs="Times New Roman"/>
          <w:color w:val="000000"/>
          <w:sz w:val="24"/>
          <w:szCs w:val="24"/>
        </w:rPr>
        <w:t>supply[</w:t>
      </w:r>
      <w:proofErr w:type="gramEnd"/>
      <w:r>
        <w:rPr>
          <w:rFonts w:ascii="Times New Roman" w:eastAsia="Times New Roman" w:hAnsi="Times New Roman" w:cs="Times New Roman"/>
          <w:sz w:val="24"/>
          <w:szCs w:val="24"/>
        </w:rPr>
        <w:t>136</w:t>
      </w:r>
      <w:proofErr w:type="gramStart"/>
      <w:r>
        <w:rPr>
          <w:rFonts w:ascii="Times New Roman" w:eastAsia="Times New Roman" w:hAnsi="Times New Roman" w:cs="Times New Roman"/>
          <w:color w:val="000000"/>
          <w:sz w:val="24"/>
          <w:szCs w:val="24"/>
        </w:rPr>
        <w:t>] .</w:t>
      </w:r>
      <w:proofErr w:type="gramEnd"/>
    </w:p>
    <w:p w14:paraId="6D4AFBC1"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the context of Bangladesh, electrified vehicles offer significant potential for improving urban air quality and reducing traffic-related pollution. However, the environmental benefits in terms of greenhouse gas mitigation are closely linked to the carbon intensity of the national electricity grid. Therefore, simultaneous development of renewable energy infrastructure and EV adoption is essential to ensure long-term sustainability.</w:t>
      </w:r>
    </w:p>
    <w:p w14:paraId="70A8F9BF"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Ultimately, HEVs present the most balanced combination of selling price, emission cost, and maintenance cost, making them an appealing option for the future </w:t>
      </w:r>
      <w:proofErr w:type="gramStart"/>
      <w:r>
        <w:rPr>
          <w:rFonts w:ascii="Times New Roman" w:eastAsia="Times New Roman" w:hAnsi="Times New Roman" w:cs="Times New Roman"/>
          <w:color w:val="000000"/>
          <w:sz w:val="24"/>
          <w:szCs w:val="24"/>
        </w:rPr>
        <w:t>market[</w:t>
      </w:r>
      <w:proofErr w:type="gramEnd"/>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w:t>
      </w:r>
    </w:p>
    <w:p w14:paraId="1D81FE1D" w14:textId="77777777" w:rsidR="006D0435" w:rsidRDefault="00000000">
      <w:pPr>
        <w:spacing w:after="101"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8.Economic Analysis and Marketing Trends</w:t>
      </w:r>
    </w:p>
    <w:p w14:paraId="1EFE5D67" w14:textId="77777777" w:rsidR="006D0435" w:rsidRDefault="00000000">
      <w:pPr>
        <w:pStyle w:val="Heading1"/>
        <w:spacing w:before="0" w:line="36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8.1</w:t>
      </w:r>
      <w:r>
        <w:rPr>
          <w:rFonts w:ascii="Times New Roman" w:eastAsia="Times New Roman" w:hAnsi="Times New Roman" w:cs="Times New Roman"/>
          <w:color w:val="000000"/>
          <w:sz w:val="24"/>
          <w:szCs w:val="24"/>
        </w:rPr>
        <w:t xml:space="preserve"> </w:t>
      </w:r>
    </w:p>
    <w:p w14:paraId="1F51FB1B" w14:textId="77777777" w:rsidR="006D0435" w:rsidRDefault="00000000">
      <w:pPr>
        <w:spacing w:line="360" w:lineRule="auto"/>
        <w:ind w:left="-5" w:right="2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Electric Vehicles (EVs) have gotten extremely popular over the past two decades. The primary causes that have aroused this popularity are low operational costs, reduced greenhouse emissions and improved fuel economy [152]. But several limitations of the manufacturing cost of EV have consistently discouraged the </w:t>
      </w:r>
      <w:r>
        <w:rPr>
          <w:rFonts w:ascii="Times New Roman" w:eastAsia="Times New Roman" w:hAnsi="Times New Roman" w:cs="Times New Roman"/>
          <w:color w:val="000000"/>
          <w:sz w:val="24"/>
          <w:szCs w:val="24"/>
        </w:rPr>
        <w:lastRenderedPageBreak/>
        <w:t xml:space="preserve">consumers to purchase EVs over ICEVs (Internal Combustion Engine Vehicles). However, there is massive scope to surge the EV market to a much larger scale since the correct marketing policies have not been implemented </w:t>
      </w:r>
      <w:proofErr w:type="gramStart"/>
      <w:r>
        <w:rPr>
          <w:rFonts w:ascii="Times New Roman" w:eastAsia="Times New Roman" w:hAnsi="Times New Roman" w:cs="Times New Roman"/>
          <w:color w:val="000000"/>
          <w:sz w:val="24"/>
          <w:szCs w:val="24"/>
        </w:rPr>
        <w:t>well  enough</w:t>
      </w:r>
      <w:proofErr w:type="gramEnd"/>
      <w:r>
        <w:rPr>
          <w:rFonts w:ascii="Times New Roman" w:eastAsia="Times New Roman" w:hAnsi="Times New Roman" w:cs="Times New Roman"/>
          <w:color w:val="000000"/>
          <w:sz w:val="24"/>
          <w:szCs w:val="24"/>
        </w:rPr>
        <w:t xml:space="preserve"> to encourage the consumers to purchase EVs. In this section, we will elaborately discuss the marketing trends for EVs and analyze the economy concerning Electrical Vehicles. </w:t>
      </w:r>
    </w:p>
    <w:p w14:paraId="271B079D" w14:textId="77777777" w:rsidR="006D0435" w:rsidRDefault="00000000">
      <w:pPr>
        <w:pStyle w:val="Heading2"/>
        <w:spacing w:before="0" w:line="36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8.2</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000000"/>
          <w:sz w:val="24"/>
          <w:szCs w:val="24"/>
        </w:rPr>
        <w:t>Total Cost of Ownership</w:t>
      </w:r>
      <w:r>
        <w:rPr>
          <w:rFonts w:ascii="Times New Roman" w:eastAsia="Times New Roman" w:hAnsi="Times New Roman" w:cs="Times New Roman"/>
          <w:color w:val="000000"/>
          <w:sz w:val="24"/>
          <w:szCs w:val="24"/>
        </w:rPr>
        <w:t xml:space="preserve"> </w:t>
      </w:r>
    </w:p>
    <w:p w14:paraId="52FFCC7A" w14:textId="77777777" w:rsidR="006D0435" w:rsidRDefault="00000000">
      <w:pPr>
        <w:spacing w:after="24"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total cost of ownership (TCO) can be categorized into two main types: (a) One Time Cost (OTC) and (b) Recurring Cost (RC). One time cost includes purchase price and resale values. On the other hand, RC includes fuel cost, maintenance cost, insurance cost, taxes </w:t>
      </w:r>
      <w:proofErr w:type="spellStart"/>
      <w:r>
        <w:rPr>
          <w:rFonts w:ascii="Times New Roman" w:eastAsia="Times New Roman" w:hAnsi="Times New Roman" w:cs="Times New Roman"/>
          <w:color w:val="000000"/>
          <w:sz w:val="24"/>
          <w:szCs w:val="24"/>
        </w:rPr>
        <w:t>et</w:t>
      </w:r>
      <w:r>
        <w:rPr>
          <w:rFonts w:ascii="Times New Roman" w:eastAsia="Times New Roman" w:hAnsi="Times New Roman" w:cs="Times New Roman"/>
          <w:sz w:val="24"/>
          <w:szCs w:val="24"/>
        </w:rPr>
        <w:t>c</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158</w:t>
      </w:r>
      <w:r>
        <w:rPr>
          <w:rFonts w:ascii="Times New Roman" w:eastAsia="Times New Roman" w:hAnsi="Times New Roman" w:cs="Times New Roman"/>
          <w:color w:val="000000"/>
          <w:sz w:val="24"/>
          <w:szCs w:val="24"/>
        </w:rPr>
        <w:t xml:space="preserve">]. </w:t>
      </w:r>
    </w:p>
    <w:p w14:paraId="3A54583C" w14:textId="77777777" w:rsidR="006D0435" w:rsidRDefault="00000000">
      <w:pPr>
        <w:spacing w:line="360" w:lineRule="auto"/>
        <w:ind w:left="-5" w:right="214"/>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prices</w:t>
      </w:r>
      <w:r>
        <w:rPr>
          <w:rFonts w:ascii="Times New Roman" w:eastAsia="Times New Roman" w:hAnsi="Times New Roman" w:cs="Times New Roman"/>
          <w:color w:val="000000"/>
          <w:sz w:val="24"/>
          <w:szCs w:val="24"/>
        </w:rPr>
        <w:t xml:space="preserve"> of electric machines depend on the nominal power. </w:t>
      </w:r>
    </w:p>
    <w:p w14:paraId="50C9CF8F" w14:textId="77777777" w:rsidR="006D0435" w:rsidRDefault="00000000">
      <w:pPr>
        <w:spacing w:after="24"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Table-</w:t>
      </w:r>
      <w:proofErr w:type="gramStart"/>
      <w:r>
        <w:rPr>
          <w:rFonts w:ascii="Times New Roman" w:eastAsia="Times New Roman" w:hAnsi="Times New Roman" w:cs="Times New Roman"/>
          <w:color w:val="000000"/>
          <w:sz w:val="24"/>
          <w:szCs w:val="24"/>
        </w:rPr>
        <w:t>8.a</w:t>
      </w:r>
      <w:proofErr w:type="gramEnd"/>
      <w:r>
        <w:rPr>
          <w:rFonts w:ascii="Times New Roman" w:eastAsia="Times New Roman" w:hAnsi="Times New Roman" w:cs="Times New Roman"/>
          <w:color w:val="000000"/>
          <w:sz w:val="24"/>
          <w:szCs w:val="24"/>
        </w:rPr>
        <w:t xml:space="preserve">: Price of Electric </w:t>
      </w:r>
      <w:proofErr w:type="gramStart"/>
      <w:r>
        <w:rPr>
          <w:rFonts w:ascii="Times New Roman" w:eastAsia="Times New Roman" w:hAnsi="Times New Roman" w:cs="Times New Roman"/>
          <w:color w:val="000000"/>
          <w:sz w:val="24"/>
          <w:szCs w:val="24"/>
        </w:rPr>
        <w:t>Machines[</w:t>
      </w:r>
      <w:proofErr w:type="gramEnd"/>
      <w:r>
        <w:rPr>
          <w:rFonts w:ascii="Times New Roman" w:eastAsia="Times New Roman" w:hAnsi="Times New Roman" w:cs="Times New Roman"/>
          <w:sz w:val="24"/>
          <w:szCs w:val="24"/>
        </w:rPr>
        <w:t>153</w:t>
      </w:r>
      <w:r>
        <w:rPr>
          <w:rFonts w:ascii="Times New Roman" w:eastAsia="Times New Roman" w:hAnsi="Times New Roman" w:cs="Times New Roman"/>
          <w:color w:val="000000"/>
          <w:sz w:val="24"/>
          <w:szCs w:val="24"/>
        </w:rPr>
        <w:t xml:space="preserve">] </w:t>
      </w:r>
    </w:p>
    <w:tbl>
      <w:tblPr>
        <w:tblStyle w:val="ac"/>
        <w:tblW w:w="9360" w:type="dxa"/>
        <w:tblInd w:w="10" w:type="dxa"/>
        <w:tblLayout w:type="fixed"/>
        <w:tblLook w:val="0400" w:firstRow="0" w:lastRow="0" w:firstColumn="0" w:lastColumn="0" w:noHBand="0" w:noVBand="1"/>
      </w:tblPr>
      <w:tblGrid>
        <w:gridCol w:w="4680"/>
        <w:gridCol w:w="4680"/>
      </w:tblGrid>
      <w:tr w:rsidR="006D0435" w14:paraId="58625194" w14:textId="77777777">
        <w:trPr>
          <w:trHeight w:val="580"/>
        </w:trPr>
        <w:tc>
          <w:tcPr>
            <w:tcW w:w="4680" w:type="dxa"/>
            <w:tcBorders>
              <w:top w:val="single" w:sz="8" w:space="0" w:color="000000"/>
              <w:bottom w:val="single" w:sz="8" w:space="0" w:color="000000"/>
            </w:tcBorders>
            <w:vAlign w:val="center"/>
          </w:tcPr>
          <w:p w14:paraId="692C9204"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Machine Type </w:t>
            </w:r>
          </w:p>
        </w:tc>
        <w:tc>
          <w:tcPr>
            <w:tcW w:w="4680" w:type="dxa"/>
            <w:tcBorders>
              <w:top w:val="single" w:sz="8" w:space="0" w:color="000000"/>
              <w:bottom w:val="single" w:sz="8" w:space="0" w:color="000000"/>
            </w:tcBorders>
            <w:vAlign w:val="center"/>
          </w:tcPr>
          <w:p w14:paraId="6DEA80F6"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Price (€/kW) </w:t>
            </w:r>
          </w:p>
        </w:tc>
      </w:tr>
      <w:tr w:rsidR="006D0435" w14:paraId="3F1D68E6" w14:textId="77777777">
        <w:trPr>
          <w:trHeight w:val="900"/>
        </w:trPr>
        <w:tc>
          <w:tcPr>
            <w:tcW w:w="4680" w:type="dxa"/>
            <w:tcBorders>
              <w:top w:val="single" w:sz="8" w:space="0" w:color="000000"/>
            </w:tcBorders>
          </w:tcPr>
          <w:p w14:paraId="4EE0907A"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PSM (Permanent Magnet Synchronous Machine) </w:t>
            </w:r>
          </w:p>
        </w:tc>
        <w:tc>
          <w:tcPr>
            <w:tcW w:w="4680" w:type="dxa"/>
            <w:tcBorders>
              <w:top w:val="single" w:sz="8" w:space="0" w:color="000000"/>
            </w:tcBorders>
          </w:tcPr>
          <w:p w14:paraId="18137FE0"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w:t>
            </w:r>
          </w:p>
        </w:tc>
      </w:tr>
      <w:tr w:rsidR="006D0435" w14:paraId="09BCF5B3" w14:textId="77777777">
        <w:trPr>
          <w:trHeight w:val="580"/>
        </w:trPr>
        <w:tc>
          <w:tcPr>
            <w:tcW w:w="4680" w:type="dxa"/>
            <w:tcBorders>
              <w:bottom w:val="single" w:sz="8" w:space="0" w:color="000000"/>
            </w:tcBorders>
            <w:vAlign w:val="center"/>
          </w:tcPr>
          <w:p w14:paraId="664E260E"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(Induction Motor) </w:t>
            </w:r>
          </w:p>
        </w:tc>
        <w:tc>
          <w:tcPr>
            <w:tcW w:w="4680" w:type="dxa"/>
            <w:tcBorders>
              <w:bottom w:val="single" w:sz="8" w:space="0" w:color="000000"/>
            </w:tcBorders>
            <w:vAlign w:val="center"/>
          </w:tcPr>
          <w:p w14:paraId="5F16D381"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w:t>
            </w:r>
          </w:p>
        </w:tc>
      </w:tr>
    </w:tbl>
    <w:p w14:paraId="312A94D7" w14:textId="77777777" w:rsidR="006D0435" w:rsidRDefault="00000000">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99CDA84" w14:textId="77777777" w:rsidR="006D0435" w:rsidRDefault="00000000">
      <w:pPr>
        <w:spacing w:after="24"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38375D35" wp14:editId="3EFF8C9A">
            <wp:extent cx="5781675" cy="3409950"/>
            <wp:effectExtent l="0" t="0" r="0" b="0"/>
            <wp:docPr id="11"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42"/>
                    <a:srcRect l="2724" t="5627" b="2813"/>
                    <a:stretch>
                      <a:fillRect/>
                    </a:stretch>
                  </pic:blipFill>
                  <pic:spPr>
                    <a:xfrm>
                      <a:off x="0" y="0"/>
                      <a:ext cx="5781675" cy="3409950"/>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p>
    <w:p w14:paraId="2177CEB3" w14:textId="77777777" w:rsidR="006D0435" w:rsidRDefault="00000000">
      <w:pPr>
        <w:spacing w:line="360" w:lineRule="auto"/>
        <w:ind w:left="-5" w:right="21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Figure-</w:t>
      </w:r>
      <w:proofErr w:type="gramStart"/>
      <w:r>
        <w:rPr>
          <w:rFonts w:ascii="Times New Roman" w:eastAsia="Times New Roman" w:hAnsi="Times New Roman" w:cs="Times New Roman"/>
          <w:color w:val="000000"/>
          <w:sz w:val="24"/>
          <w:szCs w:val="24"/>
        </w:rPr>
        <w:t>8.a</w:t>
      </w:r>
      <w:proofErr w:type="gramEnd"/>
      <w:r>
        <w:rPr>
          <w:rFonts w:ascii="Times New Roman" w:eastAsia="Times New Roman" w:hAnsi="Times New Roman" w:cs="Times New Roman"/>
          <w:color w:val="000000"/>
          <w:sz w:val="24"/>
          <w:szCs w:val="24"/>
        </w:rPr>
        <w:t>) Cost breakdown of a new car [</w:t>
      </w:r>
      <w:r>
        <w:rPr>
          <w:rFonts w:ascii="Times New Roman" w:eastAsia="Times New Roman" w:hAnsi="Times New Roman" w:cs="Times New Roman"/>
          <w:sz w:val="24"/>
          <w:szCs w:val="24"/>
        </w:rPr>
        <w:t>153</w:t>
      </w:r>
      <w:r>
        <w:rPr>
          <w:rFonts w:ascii="Times New Roman" w:eastAsia="Times New Roman" w:hAnsi="Times New Roman" w:cs="Times New Roman"/>
          <w:color w:val="000000"/>
          <w:sz w:val="24"/>
          <w:szCs w:val="24"/>
        </w:rPr>
        <w:t xml:space="preserve">] </w:t>
      </w:r>
    </w:p>
    <w:p w14:paraId="0C416D37" w14:textId="77777777" w:rsidR="006D0435" w:rsidRDefault="00000000">
      <w:pPr>
        <w:spacing w:line="360" w:lineRule="auto"/>
        <w:ind w:left="-5" w:right="21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For a glider, the production cost is presumably calculated from the selling price and surcharge factor. In table 8.b, we list down the costs of standard equipment for a glider and a medium size car. </w:t>
      </w:r>
    </w:p>
    <w:p w14:paraId="450795B2" w14:textId="77777777" w:rsidR="006D0435" w:rsidRDefault="00000000">
      <w:pPr>
        <w:spacing w:line="360" w:lineRule="auto"/>
        <w:ind w:left="-5" w:right="2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w:t>
      </w:r>
      <w:proofErr w:type="gramStart"/>
      <w:r>
        <w:rPr>
          <w:rFonts w:ascii="Times New Roman" w:eastAsia="Times New Roman" w:hAnsi="Times New Roman" w:cs="Times New Roman"/>
          <w:color w:val="000000"/>
          <w:sz w:val="24"/>
          <w:szCs w:val="24"/>
        </w:rPr>
        <w:t>8.b</w:t>
      </w:r>
      <w:proofErr w:type="gramEnd"/>
      <w:r>
        <w:rPr>
          <w:rFonts w:ascii="Times New Roman" w:eastAsia="Times New Roman" w:hAnsi="Times New Roman" w:cs="Times New Roman"/>
          <w:color w:val="000000"/>
          <w:sz w:val="24"/>
          <w:szCs w:val="24"/>
        </w:rPr>
        <w:t xml:space="preserve">) Costs of components in a </w:t>
      </w:r>
      <w:proofErr w:type="gramStart"/>
      <w:r>
        <w:rPr>
          <w:rFonts w:ascii="Times New Roman" w:eastAsia="Times New Roman" w:hAnsi="Times New Roman" w:cs="Times New Roman"/>
          <w:color w:val="000000"/>
          <w:sz w:val="24"/>
          <w:szCs w:val="24"/>
        </w:rPr>
        <w:t>vehicle[</w:t>
      </w:r>
      <w:proofErr w:type="gramEnd"/>
      <w:r>
        <w:rPr>
          <w:rFonts w:ascii="Times New Roman" w:eastAsia="Times New Roman" w:hAnsi="Times New Roman" w:cs="Times New Roman"/>
          <w:sz w:val="24"/>
          <w:szCs w:val="24"/>
        </w:rPr>
        <w:t>153</w:t>
      </w:r>
      <w:r>
        <w:rPr>
          <w:rFonts w:ascii="Times New Roman" w:eastAsia="Times New Roman" w:hAnsi="Times New Roman" w:cs="Times New Roman"/>
          <w:color w:val="000000"/>
          <w:sz w:val="24"/>
          <w:szCs w:val="24"/>
        </w:rPr>
        <w:t xml:space="preserve">]  </w:t>
      </w:r>
    </w:p>
    <w:tbl>
      <w:tblPr>
        <w:tblStyle w:val="ad"/>
        <w:tblW w:w="9360" w:type="dxa"/>
        <w:tblInd w:w="10" w:type="dxa"/>
        <w:tblLayout w:type="fixed"/>
        <w:tblLook w:val="0400" w:firstRow="0" w:lastRow="0" w:firstColumn="0" w:lastColumn="0" w:noHBand="0" w:noVBand="1"/>
      </w:tblPr>
      <w:tblGrid>
        <w:gridCol w:w="4680"/>
        <w:gridCol w:w="4680"/>
      </w:tblGrid>
      <w:tr w:rsidR="006D0435" w14:paraId="1CA4564E" w14:textId="77777777">
        <w:trPr>
          <w:trHeight w:val="45"/>
        </w:trPr>
        <w:tc>
          <w:tcPr>
            <w:tcW w:w="4680" w:type="dxa"/>
            <w:tcBorders>
              <w:top w:val="single" w:sz="8" w:space="0" w:color="000000"/>
              <w:bottom w:val="single" w:sz="8" w:space="0" w:color="000000"/>
            </w:tcBorders>
            <w:vAlign w:val="center"/>
          </w:tcPr>
          <w:p w14:paraId="4F06A8C7"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Components </w:t>
            </w:r>
          </w:p>
        </w:tc>
        <w:tc>
          <w:tcPr>
            <w:tcW w:w="4680" w:type="dxa"/>
            <w:tcBorders>
              <w:top w:val="single" w:sz="8" w:space="0" w:color="000000"/>
              <w:bottom w:val="single" w:sz="8" w:space="0" w:color="000000"/>
            </w:tcBorders>
            <w:vAlign w:val="center"/>
          </w:tcPr>
          <w:p w14:paraId="4D85AF56"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Costs (€) </w:t>
            </w:r>
          </w:p>
        </w:tc>
      </w:tr>
      <w:tr w:rsidR="006D0435" w14:paraId="530034D7" w14:textId="77777777">
        <w:trPr>
          <w:trHeight w:val="75"/>
        </w:trPr>
        <w:tc>
          <w:tcPr>
            <w:tcW w:w="4680" w:type="dxa"/>
            <w:tcBorders>
              <w:top w:val="single" w:sz="8" w:space="0" w:color="000000"/>
            </w:tcBorders>
            <w:vAlign w:val="center"/>
          </w:tcPr>
          <w:p w14:paraId="678F9C91"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Windows </w:t>
            </w:r>
          </w:p>
        </w:tc>
        <w:tc>
          <w:tcPr>
            <w:tcW w:w="4680" w:type="dxa"/>
            <w:tcBorders>
              <w:top w:val="single" w:sz="8" w:space="0" w:color="000000"/>
            </w:tcBorders>
            <w:vAlign w:val="center"/>
          </w:tcPr>
          <w:p w14:paraId="0B76434A"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75 </w:t>
            </w:r>
          </w:p>
        </w:tc>
      </w:tr>
      <w:tr w:rsidR="006D0435" w14:paraId="3793371E" w14:textId="77777777">
        <w:trPr>
          <w:trHeight w:val="210"/>
        </w:trPr>
        <w:tc>
          <w:tcPr>
            <w:tcW w:w="4680" w:type="dxa"/>
            <w:vAlign w:val="center"/>
          </w:tcPr>
          <w:p w14:paraId="49F7F678"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Window Lifter </w:t>
            </w:r>
          </w:p>
        </w:tc>
        <w:tc>
          <w:tcPr>
            <w:tcW w:w="4680" w:type="dxa"/>
            <w:vAlign w:val="center"/>
          </w:tcPr>
          <w:p w14:paraId="48B735AE"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w:t>
            </w:r>
          </w:p>
        </w:tc>
      </w:tr>
      <w:tr w:rsidR="006D0435" w14:paraId="07D03264" w14:textId="77777777">
        <w:trPr>
          <w:trHeight w:val="195"/>
        </w:trPr>
        <w:tc>
          <w:tcPr>
            <w:tcW w:w="4680" w:type="dxa"/>
            <w:vAlign w:val="center"/>
          </w:tcPr>
          <w:p w14:paraId="25B64ABF"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Exterior Lights </w:t>
            </w:r>
          </w:p>
        </w:tc>
        <w:tc>
          <w:tcPr>
            <w:tcW w:w="4680" w:type="dxa"/>
            <w:vAlign w:val="center"/>
          </w:tcPr>
          <w:p w14:paraId="5D5E5ADA"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140 </w:t>
            </w:r>
          </w:p>
        </w:tc>
      </w:tr>
      <w:tr w:rsidR="006D0435" w14:paraId="242CEA35" w14:textId="77777777">
        <w:tc>
          <w:tcPr>
            <w:tcW w:w="4680" w:type="dxa"/>
            <w:vAlign w:val="center"/>
          </w:tcPr>
          <w:p w14:paraId="5929EDF5"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Low voltage electronics </w:t>
            </w:r>
          </w:p>
        </w:tc>
        <w:tc>
          <w:tcPr>
            <w:tcW w:w="4680" w:type="dxa"/>
            <w:vAlign w:val="center"/>
          </w:tcPr>
          <w:p w14:paraId="389AC2B8"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520 </w:t>
            </w:r>
          </w:p>
        </w:tc>
      </w:tr>
      <w:tr w:rsidR="006D0435" w14:paraId="10862E8D" w14:textId="77777777">
        <w:trPr>
          <w:trHeight w:val="60"/>
        </w:trPr>
        <w:tc>
          <w:tcPr>
            <w:tcW w:w="4680" w:type="dxa"/>
            <w:vAlign w:val="center"/>
          </w:tcPr>
          <w:p w14:paraId="6A21B32A"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Wiring harmless </w:t>
            </w:r>
          </w:p>
        </w:tc>
        <w:tc>
          <w:tcPr>
            <w:tcW w:w="4680" w:type="dxa"/>
            <w:vAlign w:val="center"/>
          </w:tcPr>
          <w:p w14:paraId="29E35024"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210 </w:t>
            </w:r>
          </w:p>
        </w:tc>
      </w:tr>
      <w:tr w:rsidR="006D0435" w14:paraId="155E0699" w14:textId="77777777">
        <w:tc>
          <w:tcPr>
            <w:tcW w:w="4680" w:type="dxa"/>
          </w:tcPr>
          <w:p w14:paraId="06B496EA"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ESP </w:t>
            </w:r>
          </w:p>
        </w:tc>
        <w:tc>
          <w:tcPr>
            <w:tcW w:w="4680" w:type="dxa"/>
          </w:tcPr>
          <w:p w14:paraId="590E519E"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160 </w:t>
            </w:r>
          </w:p>
        </w:tc>
      </w:tr>
      <w:tr w:rsidR="006D0435" w14:paraId="7A226A77" w14:textId="77777777">
        <w:trPr>
          <w:trHeight w:val="90"/>
        </w:trPr>
        <w:tc>
          <w:tcPr>
            <w:tcW w:w="4680" w:type="dxa"/>
            <w:vAlign w:val="center"/>
          </w:tcPr>
          <w:p w14:paraId="532FDA25"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Airbag </w:t>
            </w:r>
          </w:p>
        </w:tc>
        <w:tc>
          <w:tcPr>
            <w:tcW w:w="4680" w:type="dxa"/>
            <w:vAlign w:val="center"/>
          </w:tcPr>
          <w:p w14:paraId="6DD0B0FA"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 </w:t>
            </w:r>
          </w:p>
        </w:tc>
      </w:tr>
      <w:tr w:rsidR="006D0435" w14:paraId="5147A1CE" w14:textId="77777777">
        <w:trPr>
          <w:trHeight w:val="90"/>
        </w:trPr>
        <w:tc>
          <w:tcPr>
            <w:tcW w:w="4680" w:type="dxa"/>
          </w:tcPr>
          <w:p w14:paraId="155B5CFB"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HVAC </w:t>
            </w:r>
          </w:p>
        </w:tc>
        <w:tc>
          <w:tcPr>
            <w:tcW w:w="4680" w:type="dxa"/>
          </w:tcPr>
          <w:p w14:paraId="6D0AC580"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80 </w:t>
            </w:r>
          </w:p>
        </w:tc>
      </w:tr>
      <w:tr w:rsidR="006D0435" w14:paraId="47C39936" w14:textId="77777777">
        <w:tc>
          <w:tcPr>
            <w:tcW w:w="4680" w:type="dxa"/>
            <w:vAlign w:val="center"/>
          </w:tcPr>
          <w:p w14:paraId="441741AA"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Seat Warmer </w:t>
            </w:r>
          </w:p>
        </w:tc>
        <w:tc>
          <w:tcPr>
            <w:tcW w:w="4680" w:type="dxa"/>
            <w:vAlign w:val="center"/>
          </w:tcPr>
          <w:p w14:paraId="4B3EEAD4"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w:t>
            </w:r>
          </w:p>
        </w:tc>
      </w:tr>
      <w:tr w:rsidR="006D0435" w14:paraId="1AC38333" w14:textId="77777777">
        <w:tc>
          <w:tcPr>
            <w:tcW w:w="4680" w:type="dxa"/>
          </w:tcPr>
          <w:p w14:paraId="35D9906C"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Wind shield wiper </w:t>
            </w:r>
          </w:p>
        </w:tc>
        <w:tc>
          <w:tcPr>
            <w:tcW w:w="4680" w:type="dxa"/>
          </w:tcPr>
          <w:p w14:paraId="768656F9"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30 </w:t>
            </w:r>
          </w:p>
        </w:tc>
      </w:tr>
      <w:tr w:rsidR="006D0435" w14:paraId="08AEF1AA" w14:textId="77777777">
        <w:trPr>
          <w:trHeight w:val="135"/>
        </w:trPr>
        <w:tc>
          <w:tcPr>
            <w:tcW w:w="4680" w:type="dxa"/>
            <w:tcBorders>
              <w:bottom w:val="single" w:sz="8" w:space="0" w:color="000000"/>
            </w:tcBorders>
            <w:vAlign w:val="center"/>
          </w:tcPr>
          <w:p w14:paraId="598CEF00"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Front Seat </w:t>
            </w:r>
          </w:p>
        </w:tc>
        <w:tc>
          <w:tcPr>
            <w:tcW w:w="4680" w:type="dxa"/>
            <w:tcBorders>
              <w:bottom w:val="single" w:sz="8" w:space="0" w:color="000000"/>
            </w:tcBorders>
            <w:vAlign w:val="center"/>
          </w:tcPr>
          <w:p w14:paraId="0EB9CB0A"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100 </w:t>
            </w:r>
          </w:p>
        </w:tc>
      </w:tr>
    </w:tbl>
    <w:p w14:paraId="3A79AE9F" w14:textId="77777777" w:rsidR="006D0435" w:rsidRDefault="006D0435">
      <w:pPr>
        <w:spacing w:after="24" w:line="360" w:lineRule="auto"/>
        <w:rPr>
          <w:rFonts w:ascii="Times New Roman" w:eastAsia="Times New Roman" w:hAnsi="Times New Roman" w:cs="Times New Roman"/>
          <w:color w:val="000000"/>
          <w:sz w:val="24"/>
          <w:szCs w:val="24"/>
        </w:rPr>
      </w:pPr>
    </w:p>
    <w:p w14:paraId="692CD583" w14:textId="77777777" w:rsidR="006D0435" w:rsidRDefault="00000000">
      <w:pPr>
        <w:spacing w:line="360" w:lineRule="auto"/>
        <w:ind w:left="-5" w:right="21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costs of different kinds of materials used in the construction of the car also contributes to the TCO. </w:t>
      </w:r>
    </w:p>
    <w:p w14:paraId="7807F4ED" w14:textId="77777777" w:rsidR="006D0435" w:rsidRDefault="00000000">
      <w:pPr>
        <w:spacing w:line="360" w:lineRule="auto"/>
        <w:ind w:left="-5" w:right="2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Table-8.c) Cost of </w:t>
      </w:r>
      <w:proofErr w:type="gramStart"/>
      <w:r>
        <w:rPr>
          <w:rFonts w:ascii="Times New Roman" w:eastAsia="Times New Roman" w:hAnsi="Times New Roman" w:cs="Times New Roman"/>
          <w:color w:val="000000"/>
          <w:sz w:val="24"/>
          <w:szCs w:val="24"/>
        </w:rPr>
        <w:t>materials[</w:t>
      </w:r>
      <w:proofErr w:type="gramEnd"/>
      <w:r>
        <w:rPr>
          <w:rFonts w:ascii="Times New Roman" w:eastAsia="Times New Roman" w:hAnsi="Times New Roman" w:cs="Times New Roman"/>
          <w:sz w:val="24"/>
          <w:szCs w:val="24"/>
        </w:rPr>
        <w:t>153</w:t>
      </w:r>
      <w:r>
        <w:rPr>
          <w:rFonts w:ascii="Times New Roman" w:eastAsia="Times New Roman" w:hAnsi="Times New Roman" w:cs="Times New Roman"/>
          <w:color w:val="000000"/>
          <w:sz w:val="24"/>
          <w:szCs w:val="24"/>
        </w:rPr>
        <w:t xml:space="preserve">] </w:t>
      </w:r>
    </w:p>
    <w:tbl>
      <w:tblPr>
        <w:tblStyle w:val="ae"/>
        <w:tblW w:w="9360" w:type="dxa"/>
        <w:tblInd w:w="10" w:type="dxa"/>
        <w:tblLayout w:type="fixed"/>
        <w:tblLook w:val="0400" w:firstRow="0" w:lastRow="0" w:firstColumn="0" w:lastColumn="0" w:noHBand="0" w:noVBand="1"/>
      </w:tblPr>
      <w:tblGrid>
        <w:gridCol w:w="4680"/>
        <w:gridCol w:w="4680"/>
      </w:tblGrid>
      <w:tr w:rsidR="006D0435" w14:paraId="5FB1CBEC" w14:textId="77777777">
        <w:trPr>
          <w:trHeight w:val="135"/>
        </w:trPr>
        <w:tc>
          <w:tcPr>
            <w:tcW w:w="4680" w:type="dxa"/>
            <w:tcBorders>
              <w:top w:val="single" w:sz="8" w:space="0" w:color="000000"/>
              <w:bottom w:val="single" w:sz="8" w:space="0" w:color="000000"/>
            </w:tcBorders>
          </w:tcPr>
          <w:p w14:paraId="644C2F57"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Material </w:t>
            </w:r>
          </w:p>
        </w:tc>
        <w:tc>
          <w:tcPr>
            <w:tcW w:w="4680" w:type="dxa"/>
            <w:tcBorders>
              <w:top w:val="single" w:sz="8" w:space="0" w:color="000000"/>
              <w:bottom w:val="single" w:sz="8" w:space="0" w:color="000000"/>
            </w:tcBorders>
          </w:tcPr>
          <w:p w14:paraId="59C11790"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Cost (€/kg) </w:t>
            </w:r>
          </w:p>
        </w:tc>
      </w:tr>
      <w:tr w:rsidR="006D0435" w14:paraId="32F938DE" w14:textId="77777777">
        <w:trPr>
          <w:trHeight w:val="120"/>
        </w:trPr>
        <w:tc>
          <w:tcPr>
            <w:tcW w:w="4680" w:type="dxa"/>
            <w:tcBorders>
              <w:top w:val="single" w:sz="8" w:space="0" w:color="000000"/>
            </w:tcBorders>
            <w:vAlign w:val="center"/>
          </w:tcPr>
          <w:p w14:paraId="42E90A0E" w14:textId="77777777" w:rsidR="006D0435" w:rsidRDefault="00000000">
            <w:pPr>
              <w:spacing w:line="36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Aluminium</w:t>
            </w:r>
            <w:proofErr w:type="spellEnd"/>
            <w:r>
              <w:rPr>
                <w:rFonts w:ascii="Times New Roman" w:eastAsia="Times New Roman" w:hAnsi="Times New Roman" w:cs="Times New Roman"/>
                <w:color w:val="000000"/>
                <w:sz w:val="24"/>
                <w:szCs w:val="24"/>
              </w:rPr>
              <w:t xml:space="preserve"> </w:t>
            </w:r>
          </w:p>
        </w:tc>
        <w:tc>
          <w:tcPr>
            <w:tcW w:w="4680" w:type="dxa"/>
            <w:tcBorders>
              <w:top w:val="single" w:sz="8" w:space="0" w:color="000000"/>
            </w:tcBorders>
            <w:vAlign w:val="center"/>
          </w:tcPr>
          <w:p w14:paraId="01339574"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2.5-4 </w:t>
            </w:r>
          </w:p>
        </w:tc>
      </w:tr>
      <w:tr w:rsidR="006D0435" w14:paraId="589B5EEB" w14:textId="77777777">
        <w:tc>
          <w:tcPr>
            <w:tcW w:w="4680" w:type="dxa"/>
          </w:tcPr>
          <w:p w14:paraId="1E075932"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High strength steel </w:t>
            </w:r>
          </w:p>
        </w:tc>
        <w:tc>
          <w:tcPr>
            <w:tcW w:w="4680" w:type="dxa"/>
          </w:tcPr>
          <w:p w14:paraId="1AF58927"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0.6-1 </w:t>
            </w:r>
          </w:p>
        </w:tc>
      </w:tr>
      <w:tr w:rsidR="006D0435" w14:paraId="5080D562" w14:textId="77777777">
        <w:trPr>
          <w:trHeight w:val="165"/>
        </w:trPr>
        <w:tc>
          <w:tcPr>
            <w:tcW w:w="4680" w:type="dxa"/>
            <w:vAlign w:val="center"/>
          </w:tcPr>
          <w:p w14:paraId="5B9532FA"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Plastic PP </w:t>
            </w:r>
          </w:p>
        </w:tc>
        <w:tc>
          <w:tcPr>
            <w:tcW w:w="4680" w:type="dxa"/>
            <w:vAlign w:val="center"/>
          </w:tcPr>
          <w:p w14:paraId="05D17BA3"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1.6-2 </w:t>
            </w:r>
          </w:p>
        </w:tc>
      </w:tr>
      <w:tr w:rsidR="006D0435" w14:paraId="007E618C" w14:textId="77777777">
        <w:trPr>
          <w:trHeight w:val="155"/>
        </w:trPr>
        <w:tc>
          <w:tcPr>
            <w:tcW w:w="4680" w:type="dxa"/>
            <w:tcBorders>
              <w:bottom w:val="single" w:sz="8" w:space="0" w:color="000000"/>
            </w:tcBorders>
          </w:tcPr>
          <w:p w14:paraId="79870124"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Plastic ABS </w:t>
            </w:r>
          </w:p>
        </w:tc>
        <w:tc>
          <w:tcPr>
            <w:tcW w:w="4680" w:type="dxa"/>
            <w:tcBorders>
              <w:bottom w:val="single" w:sz="8" w:space="0" w:color="000000"/>
            </w:tcBorders>
          </w:tcPr>
          <w:p w14:paraId="4B43BB89"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2.5-3.5 </w:t>
            </w:r>
          </w:p>
        </w:tc>
      </w:tr>
    </w:tbl>
    <w:p w14:paraId="0B70E51F" w14:textId="77777777" w:rsidR="006D0435" w:rsidRDefault="00000000">
      <w:pPr>
        <w:spacing w:line="360" w:lineRule="auto"/>
        <w:ind w:left="-5" w:right="2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Apart from the infrastructure costs and energy costs, there are external costs to an electric vehicle because of climate, air pollution, accidents, traffic </w:t>
      </w:r>
      <w:r>
        <w:rPr>
          <w:rFonts w:ascii="Times New Roman" w:eastAsia="Times New Roman" w:hAnsi="Times New Roman" w:cs="Times New Roman"/>
          <w:sz w:val="24"/>
          <w:szCs w:val="24"/>
        </w:rPr>
        <w:t>jams</w:t>
      </w:r>
      <w:r>
        <w:rPr>
          <w:rFonts w:ascii="Times New Roman" w:eastAsia="Times New Roman" w:hAnsi="Times New Roman" w:cs="Times New Roman"/>
          <w:color w:val="000000"/>
          <w:sz w:val="24"/>
          <w:szCs w:val="24"/>
        </w:rPr>
        <w:t xml:space="preserve">, noise control and so on. </w:t>
      </w:r>
    </w:p>
    <w:p w14:paraId="05127EA7" w14:textId="77777777" w:rsidR="006D0435" w:rsidRDefault="00000000">
      <w:pPr>
        <w:spacing w:line="360" w:lineRule="auto"/>
        <w:ind w:left="-5" w:right="2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Table 8.d) External costs for different vehicles [</w:t>
      </w:r>
      <w:r>
        <w:rPr>
          <w:rFonts w:ascii="Times New Roman" w:eastAsia="Times New Roman" w:hAnsi="Times New Roman" w:cs="Times New Roman"/>
          <w:sz w:val="24"/>
          <w:szCs w:val="24"/>
        </w:rPr>
        <w:t>153</w:t>
      </w:r>
      <w:r>
        <w:rPr>
          <w:rFonts w:ascii="Times New Roman" w:eastAsia="Times New Roman" w:hAnsi="Times New Roman" w:cs="Times New Roman"/>
          <w:color w:val="000000"/>
          <w:sz w:val="24"/>
          <w:szCs w:val="24"/>
        </w:rPr>
        <w:t xml:space="preserve">] </w:t>
      </w:r>
    </w:p>
    <w:tbl>
      <w:tblPr>
        <w:tblStyle w:val="af"/>
        <w:tblW w:w="9360" w:type="dxa"/>
        <w:tblInd w:w="10" w:type="dxa"/>
        <w:tblLayout w:type="fixed"/>
        <w:tblLook w:val="0400" w:firstRow="0" w:lastRow="0" w:firstColumn="0" w:lastColumn="0" w:noHBand="0" w:noVBand="1"/>
      </w:tblPr>
      <w:tblGrid>
        <w:gridCol w:w="4680"/>
        <w:gridCol w:w="4680"/>
      </w:tblGrid>
      <w:tr w:rsidR="006D0435" w14:paraId="0506B481" w14:textId="77777777">
        <w:trPr>
          <w:trHeight w:val="150"/>
        </w:trPr>
        <w:tc>
          <w:tcPr>
            <w:tcW w:w="4680" w:type="dxa"/>
            <w:tcBorders>
              <w:top w:val="single" w:sz="8" w:space="0" w:color="000000"/>
              <w:bottom w:val="single" w:sz="8" w:space="0" w:color="000000"/>
            </w:tcBorders>
            <w:vAlign w:val="center"/>
          </w:tcPr>
          <w:p w14:paraId="319187FA"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Vehicle </w:t>
            </w:r>
          </w:p>
        </w:tc>
        <w:tc>
          <w:tcPr>
            <w:tcW w:w="4680" w:type="dxa"/>
            <w:tcBorders>
              <w:top w:val="single" w:sz="8" w:space="0" w:color="000000"/>
              <w:bottom w:val="single" w:sz="8" w:space="0" w:color="000000"/>
            </w:tcBorders>
            <w:vAlign w:val="center"/>
          </w:tcPr>
          <w:p w14:paraId="371A3F99"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Cost (€/km)</w:t>
            </w:r>
            <w:r>
              <w:rPr>
                <w:rFonts w:ascii="Times New Roman" w:eastAsia="Times New Roman" w:hAnsi="Times New Roman" w:cs="Times New Roman"/>
                <w:color w:val="000000"/>
                <w:sz w:val="24"/>
                <w:szCs w:val="24"/>
              </w:rPr>
              <w:t xml:space="preserve"> </w:t>
            </w:r>
          </w:p>
        </w:tc>
      </w:tr>
      <w:tr w:rsidR="006D0435" w14:paraId="6FEBDE1C" w14:textId="77777777">
        <w:trPr>
          <w:trHeight w:val="270"/>
        </w:trPr>
        <w:tc>
          <w:tcPr>
            <w:tcW w:w="4680" w:type="dxa"/>
            <w:tcBorders>
              <w:top w:val="single" w:sz="8" w:space="0" w:color="000000"/>
            </w:tcBorders>
            <w:vAlign w:val="center"/>
          </w:tcPr>
          <w:p w14:paraId="6D476179"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Cars </w:t>
            </w:r>
          </w:p>
        </w:tc>
        <w:tc>
          <w:tcPr>
            <w:tcW w:w="4680" w:type="dxa"/>
            <w:tcBorders>
              <w:top w:val="single" w:sz="8" w:space="0" w:color="000000"/>
            </w:tcBorders>
            <w:vAlign w:val="center"/>
          </w:tcPr>
          <w:p w14:paraId="66734A07"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0.12 </w:t>
            </w:r>
          </w:p>
        </w:tc>
      </w:tr>
      <w:tr w:rsidR="006D0435" w14:paraId="378D9051" w14:textId="77777777">
        <w:trPr>
          <w:trHeight w:val="5"/>
        </w:trPr>
        <w:tc>
          <w:tcPr>
            <w:tcW w:w="4680" w:type="dxa"/>
            <w:vAlign w:val="center"/>
          </w:tcPr>
          <w:p w14:paraId="46B4C3C5"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Motorcycle </w:t>
            </w:r>
          </w:p>
        </w:tc>
        <w:tc>
          <w:tcPr>
            <w:tcW w:w="4680" w:type="dxa"/>
            <w:vAlign w:val="center"/>
          </w:tcPr>
          <w:p w14:paraId="1FC7301D"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0.25 </w:t>
            </w:r>
          </w:p>
        </w:tc>
      </w:tr>
      <w:tr w:rsidR="006D0435" w14:paraId="4D14E69C" w14:textId="77777777">
        <w:trPr>
          <w:trHeight w:val="255"/>
        </w:trPr>
        <w:tc>
          <w:tcPr>
            <w:tcW w:w="4680" w:type="dxa"/>
            <w:tcBorders>
              <w:bottom w:val="single" w:sz="8" w:space="0" w:color="000000"/>
            </w:tcBorders>
            <w:vAlign w:val="center"/>
          </w:tcPr>
          <w:p w14:paraId="4CE64DB7"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Public Transport </w:t>
            </w:r>
          </w:p>
        </w:tc>
        <w:tc>
          <w:tcPr>
            <w:tcW w:w="4680" w:type="dxa"/>
            <w:tcBorders>
              <w:bottom w:val="single" w:sz="8" w:space="0" w:color="000000"/>
            </w:tcBorders>
            <w:vAlign w:val="center"/>
          </w:tcPr>
          <w:p w14:paraId="3A403A9A"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0.04 </w:t>
            </w:r>
          </w:p>
        </w:tc>
      </w:tr>
    </w:tbl>
    <w:p w14:paraId="35DFBF25" w14:textId="77777777" w:rsidR="006D0435" w:rsidRDefault="00000000">
      <w:pPr>
        <w:spacing w:line="360" w:lineRule="auto"/>
        <w:ind w:left="-5" w:right="2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general cost factors affecting the TCO calculation are acquisition, depreciation, energy consumption, insurance, tax, inspection and repair, tires, vehicle care, parking etcetera. </w:t>
      </w:r>
    </w:p>
    <w:p w14:paraId="63B4CB6D" w14:textId="77777777" w:rsidR="006D0435" w:rsidRDefault="00000000">
      <w:pPr>
        <w:pStyle w:val="Heading2"/>
        <w:spacing w:line="360" w:lineRule="auto"/>
        <w:ind w:left="-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8.3 Current Global Market of EVs </w:t>
      </w:r>
    </w:p>
    <w:p w14:paraId="29ECFE66" w14:textId="77777777" w:rsidR="006D0435" w:rsidRDefault="00000000">
      <w:pPr>
        <w:spacing w:line="360" w:lineRule="auto"/>
        <w:ind w:left="-5" w:right="2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Electric vehicles have taken the world by a storm throughout the past decade with its massive success as Light Duty Vehicles (LDVs) like 3-wheelers, mopeds, kick scooters and e-bikes. By the year 2020, 140 billion US dollars have been invested globally for the electrification of vehicles. 50 LDV models were proposed in 2020 and 130 EV models were estimated to be proposed in 2023. At present, approximately 2% of the global electricity demand is required by transports, which is expected to rise to 10% by 2050. By the end of 2019, </w:t>
      </w:r>
      <w:r>
        <w:rPr>
          <w:rFonts w:ascii="Times New Roman" w:eastAsia="Times New Roman" w:hAnsi="Times New Roman" w:cs="Times New Roman"/>
          <w:sz w:val="24"/>
          <w:szCs w:val="24"/>
        </w:rPr>
        <w:t>the global</w:t>
      </w:r>
      <w:r>
        <w:rPr>
          <w:rFonts w:ascii="Times New Roman" w:eastAsia="Times New Roman" w:hAnsi="Times New Roman" w:cs="Times New Roman"/>
          <w:color w:val="000000"/>
          <w:sz w:val="24"/>
          <w:szCs w:val="24"/>
        </w:rPr>
        <w:t xml:space="preserve"> EV market had escalated by more than 40% than that of 2018, rising to 7.3 million units in that year</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[152]. </w:t>
      </w:r>
    </w:p>
    <w:p w14:paraId="03E854D1" w14:textId="77777777" w:rsidR="006D0435" w:rsidRDefault="00000000">
      <w:pPr>
        <w:spacing w:line="360" w:lineRule="auto"/>
        <w:ind w:left="-5" w:right="2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medium duty vehicles, the market is calculated to be rising at nearly 9% rate per year. In 2020, the global industry value for medium duty vehicles was found out to be $343 [152</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However, for heavy duty vehicles (HDVs), battery buses are much more expensive than the fossil fuel based alternative vehicles. So, HDV and MDV are generally less popular than LDVs because of technical and economic factors. </w:t>
      </w:r>
    </w:p>
    <w:p w14:paraId="030A8D87" w14:textId="77777777" w:rsidR="006D0435" w:rsidRDefault="00000000">
      <w:pPr>
        <w:spacing w:after="24"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8.4 Battery Prices and Its Affordability </w:t>
      </w:r>
    </w:p>
    <w:p w14:paraId="46E41EFA" w14:textId="77777777" w:rsidR="006D0435" w:rsidRDefault="00000000">
      <w:pPr>
        <w:spacing w:line="360" w:lineRule="auto"/>
        <w:ind w:left="-5" w:right="2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prices of batteries used in electric vehicles play a significant role in the marketing of EVs. In 2019, the price of </w:t>
      </w:r>
      <w:proofErr w:type="gramStart"/>
      <w:r>
        <w:rPr>
          <w:rFonts w:ascii="Times New Roman" w:eastAsia="Times New Roman" w:hAnsi="Times New Roman" w:cs="Times New Roman"/>
          <w:color w:val="000000"/>
          <w:sz w:val="24"/>
          <w:szCs w:val="24"/>
        </w:rPr>
        <w:t>lithium ion</w:t>
      </w:r>
      <w:proofErr w:type="gramEnd"/>
      <w:r>
        <w:rPr>
          <w:rFonts w:ascii="Times New Roman" w:eastAsia="Times New Roman" w:hAnsi="Times New Roman" w:cs="Times New Roman"/>
          <w:color w:val="000000"/>
          <w:sz w:val="24"/>
          <w:szCs w:val="24"/>
        </w:rPr>
        <w:t xml:space="preserve"> batteries declined by more than 80%, creating a large shift from $1000 kW/h to $156 kW/h [152]. Along with the major reduction of battery prices, a battery becomes more preferable when its specific energy is amplified and the battery weight is reduced. One way of removing this weight from the </w:t>
      </w:r>
      <w:proofErr w:type="gramStart"/>
      <w:r>
        <w:rPr>
          <w:rFonts w:ascii="Times New Roman" w:eastAsia="Times New Roman" w:hAnsi="Times New Roman" w:cs="Times New Roman"/>
          <w:color w:val="000000"/>
          <w:sz w:val="24"/>
          <w:szCs w:val="24"/>
        </w:rPr>
        <w:t>lithium ion</w:t>
      </w:r>
      <w:proofErr w:type="gramEnd"/>
      <w:r>
        <w:rPr>
          <w:rFonts w:ascii="Times New Roman" w:eastAsia="Times New Roman" w:hAnsi="Times New Roman" w:cs="Times New Roman"/>
          <w:color w:val="000000"/>
          <w:sz w:val="24"/>
          <w:szCs w:val="24"/>
        </w:rPr>
        <w:t xml:space="preserve"> battery can be done by removing the cobalt belt off the battery. Apart from </w:t>
      </w:r>
      <w:proofErr w:type="gramStart"/>
      <w:r>
        <w:rPr>
          <w:rFonts w:ascii="Times New Roman" w:eastAsia="Times New Roman" w:hAnsi="Times New Roman" w:cs="Times New Roman"/>
          <w:color w:val="000000"/>
          <w:sz w:val="24"/>
          <w:szCs w:val="24"/>
        </w:rPr>
        <w:t>lithium ion</w:t>
      </w:r>
      <w:proofErr w:type="gramEnd"/>
      <w:r>
        <w:rPr>
          <w:rFonts w:ascii="Times New Roman" w:eastAsia="Times New Roman" w:hAnsi="Times New Roman" w:cs="Times New Roman"/>
          <w:color w:val="000000"/>
          <w:sz w:val="24"/>
          <w:szCs w:val="24"/>
        </w:rPr>
        <w:t xml:space="preserve"> batteries, other types of batteries that are typically used in electric vehicles are lead acid batteries, LiCoO</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and lithium phosphate batteries. The price of a battery primarily depends on the material used in its construction. </w:t>
      </w:r>
    </w:p>
    <w:p w14:paraId="388539BC" w14:textId="77777777" w:rsidR="006D0435" w:rsidRDefault="00000000">
      <w:pPr>
        <w:spacing w:after="24" w:line="360" w:lineRule="auto"/>
        <w:ind w:right="83"/>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6CC1BB52" wp14:editId="5F3C2EA6">
            <wp:extent cx="5705475" cy="3329494"/>
            <wp:effectExtent l="0" t="0" r="0" b="0"/>
            <wp:docPr id="1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43"/>
                    <a:srcRect l="2083" t="5263" r="1923" b="2753"/>
                    <a:stretch>
                      <a:fillRect/>
                    </a:stretch>
                  </pic:blipFill>
                  <pic:spPr>
                    <a:xfrm>
                      <a:off x="0" y="0"/>
                      <a:ext cx="5705475" cy="3329494"/>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p>
    <w:p w14:paraId="6A04B4C4" w14:textId="77777777" w:rsidR="006D0435" w:rsidRDefault="00000000">
      <w:pPr>
        <w:spacing w:line="360" w:lineRule="auto"/>
        <w:ind w:left="-5" w:right="21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Figure-</w:t>
      </w:r>
      <w:proofErr w:type="gramStart"/>
      <w:r>
        <w:rPr>
          <w:rFonts w:ascii="Times New Roman" w:eastAsia="Times New Roman" w:hAnsi="Times New Roman" w:cs="Times New Roman"/>
          <w:color w:val="000000"/>
          <w:sz w:val="24"/>
          <w:szCs w:val="24"/>
        </w:rPr>
        <w:t>8.b</w:t>
      </w:r>
      <w:proofErr w:type="gramEnd"/>
      <w:r>
        <w:rPr>
          <w:rFonts w:ascii="Times New Roman" w:eastAsia="Times New Roman" w:hAnsi="Times New Roman" w:cs="Times New Roman"/>
          <w:color w:val="000000"/>
          <w:sz w:val="24"/>
          <w:szCs w:val="24"/>
        </w:rPr>
        <w:t xml:space="preserve">) The graph showing the reduced price of </w:t>
      </w:r>
      <w:proofErr w:type="gramStart"/>
      <w:r>
        <w:rPr>
          <w:rFonts w:ascii="Times New Roman" w:eastAsia="Times New Roman" w:hAnsi="Times New Roman" w:cs="Times New Roman"/>
          <w:color w:val="000000"/>
          <w:sz w:val="24"/>
          <w:szCs w:val="24"/>
        </w:rPr>
        <w:t>lithium ion</w:t>
      </w:r>
      <w:proofErr w:type="gramEnd"/>
      <w:r>
        <w:rPr>
          <w:rFonts w:ascii="Times New Roman" w:eastAsia="Times New Roman" w:hAnsi="Times New Roman" w:cs="Times New Roman"/>
          <w:color w:val="000000"/>
          <w:sz w:val="24"/>
          <w:szCs w:val="24"/>
        </w:rPr>
        <w:t xml:space="preserve"> battery over the years [152] </w:t>
      </w:r>
    </w:p>
    <w:p w14:paraId="5197AA61" w14:textId="77777777" w:rsidR="006D0435" w:rsidRDefault="00000000">
      <w:pPr>
        <w:spacing w:line="360" w:lineRule="auto"/>
        <w:ind w:left="-5" w:right="21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w:t>
      </w:r>
      <w:proofErr w:type="gramStart"/>
      <w:r>
        <w:rPr>
          <w:rFonts w:ascii="Times New Roman" w:eastAsia="Times New Roman" w:hAnsi="Times New Roman" w:cs="Times New Roman"/>
          <w:color w:val="000000"/>
          <w:sz w:val="24"/>
          <w:szCs w:val="24"/>
        </w:rPr>
        <w:t>8.e</w:t>
      </w:r>
      <w:proofErr w:type="gramEnd"/>
      <w:r>
        <w:rPr>
          <w:rFonts w:ascii="Times New Roman" w:eastAsia="Times New Roman" w:hAnsi="Times New Roman" w:cs="Times New Roman"/>
          <w:color w:val="000000"/>
          <w:sz w:val="24"/>
          <w:szCs w:val="24"/>
        </w:rPr>
        <w:t xml:space="preserve">) Cost of different materials in a </w:t>
      </w:r>
      <w:proofErr w:type="gramStart"/>
      <w:r>
        <w:rPr>
          <w:rFonts w:ascii="Times New Roman" w:eastAsia="Times New Roman" w:hAnsi="Times New Roman" w:cs="Times New Roman"/>
          <w:color w:val="000000"/>
          <w:sz w:val="24"/>
          <w:szCs w:val="24"/>
        </w:rPr>
        <w:t>battery[</w:t>
      </w:r>
      <w:proofErr w:type="gramEnd"/>
      <w:r>
        <w:rPr>
          <w:rFonts w:ascii="Times New Roman" w:eastAsia="Times New Roman" w:hAnsi="Times New Roman" w:cs="Times New Roman"/>
          <w:color w:val="000000"/>
          <w:sz w:val="24"/>
          <w:szCs w:val="24"/>
        </w:rPr>
        <w:t xml:space="preserve">152] </w:t>
      </w:r>
    </w:p>
    <w:tbl>
      <w:tblPr>
        <w:tblStyle w:val="af0"/>
        <w:tblW w:w="9330" w:type="dxa"/>
        <w:tblInd w:w="40" w:type="dxa"/>
        <w:tblLayout w:type="fixed"/>
        <w:tblLook w:val="0400" w:firstRow="0" w:lastRow="0" w:firstColumn="0" w:lastColumn="0" w:noHBand="0" w:noVBand="1"/>
      </w:tblPr>
      <w:tblGrid>
        <w:gridCol w:w="4650"/>
        <w:gridCol w:w="4680"/>
      </w:tblGrid>
      <w:tr w:rsidR="006D0435" w14:paraId="1FF4A8E9" w14:textId="77777777">
        <w:tc>
          <w:tcPr>
            <w:tcW w:w="4650" w:type="dxa"/>
            <w:tcBorders>
              <w:top w:val="single" w:sz="8" w:space="0" w:color="000000"/>
              <w:bottom w:val="single" w:sz="8" w:space="0" w:color="000000"/>
            </w:tcBorders>
            <w:vAlign w:val="center"/>
          </w:tcPr>
          <w:p w14:paraId="427029A6"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Type of Chemistry Cathode/Anode </w:t>
            </w:r>
          </w:p>
        </w:tc>
        <w:tc>
          <w:tcPr>
            <w:tcW w:w="4680" w:type="dxa"/>
            <w:tcBorders>
              <w:top w:val="single" w:sz="8" w:space="0" w:color="000000"/>
              <w:bottom w:val="single" w:sz="8" w:space="0" w:color="000000"/>
            </w:tcBorders>
            <w:vAlign w:val="center"/>
          </w:tcPr>
          <w:p w14:paraId="63FA9A0C" w14:textId="77777777" w:rsidR="006D0435" w:rsidRDefault="00000000">
            <w:pPr>
              <w:spacing w:line="360" w:lineRule="auto"/>
              <w:ind w:right="10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Approximate cost ($kW/h) </w:t>
            </w:r>
          </w:p>
        </w:tc>
      </w:tr>
      <w:tr w:rsidR="006D0435" w14:paraId="425EE9D0" w14:textId="77777777">
        <w:tc>
          <w:tcPr>
            <w:tcW w:w="4650" w:type="dxa"/>
            <w:tcBorders>
              <w:top w:val="single" w:sz="8" w:space="0" w:color="000000"/>
            </w:tcBorders>
          </w:tcPr>
          <w:p w14:paraId="0800B15D"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LCO/Gr </w:t>
            </w:r>
          </w:p>
        </w:tc>
        <w:tc>
          <w:tcPr>
            <w:tcW w:w="4680" w:type="dxa"/>
            <w:tcBorders>
              <w:top w:val="single" w:sz="8" w:space="0" w:color="000000"/>
            </w:tcBorders>
          </w:tcPr>
          <w:p w14:paraId="1DA0F189"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250 </w:t>
            </w:r>
          </w:p>
        </w:tc>
      </w:tr>
      <w:tr w:rsidR="006D0435" w14:paraId="73F1B7AB" w14:textId="77777777">
        <w:tc>
          <w:tcPr>
            <w:tcW w:w="4650" w:type="dxa"/>
            <w:vAlign w:val="center"/>
          </w:tcPr>
          <w:p w14:paraId="4E3CB09F"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NMC111/Gr </w:t>
            </w:r>
          </w:p>
        </w:tc>
        <w:tc>
          <w:tcPr>
            <w:tcW w:w="4680" w:type="dxa"/>
            <w:vAlign w:val="center"/>
          </w:tcPr>
          <w:p w14:paraId="0950985C"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145 </w:t>
            </w:r>
          </w:p>
        </w:tc>
      </w:tr>
      <w:tr w:rsidR="006D0435" w14:paraId="4AD5EB77" w14:textId="77777777">
        <w:tc>
          <w:tcPr>
            <w:tcW w:w="4650" w:type="dxa"/>
          </w:tcPr>
          <w:p w14:paraId="1B200872"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NMC622/G </w:t>
            </w:r>
          </w:p>
        </w:tc>
        <w:tc>
          <w:tcPr>
            <w:tcW w:w="4680" w:type="dxa"/>
          </w:tcPr>
          <w:p w14:paraId="36F0B17D"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135 </w:t>
            </w:r>
          </w:p>
        </w:tc>
      </w:tr>
      <w:tr w:rsidR="006D0435" w14:paraId="75872FCA" w14:textId="77777777">
        <w:tc>
          <w:tcPr>
            <w:tcW w:w="4650" w:type="dxa"/>
            <w:vAlign w:val="center"/>
          </w:tcPr>
          <w:p w14:paraId="0BB71305"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NMC622/Gr </w:t>
            </w:r>
          </w:p>
        </w:tc>
        <w:tc>
          <w:tcPr>
            <w:tcW w:w="4680" w:type="dxa"/>
            <w:vAlign w:val="center"/>
          </w:tcPr>
          <w:p w14:paraId="096151AE"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120 </w:t>
            </w:r>
          </w:p>
        </w:tc>
      </w:tr>
      <w:tr w:rsidR="006D0435" w14:paraId="70C8333C" w14:textId="77777777">
        <w:tc>
          <w:tcPr>
            <w:tcW w:w="4650" w:type="dxa"/>
            <w:tcBorders>
              <w:bottom w:val="single" w:sz="8" w:space="0" w:color="000000"/>
            </w:tcBorders>
          </w:tcPr>
          <w:p w14:paraId="5E413F55"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NCA/Gr </w:t>
            </w:r>
          </w:p>
        </w:tc>
        <w:tc>
          <w:tcPr>
            <w:tcW w:w="4680" w:type="dxa"/>
            <w:tcBorders>
              <w:bottom w:val="single" w:sz="8" w:space="0" w:color="000000"/>
            </w:tcBorders>
          </w:tcPr>
          <w:p w14:paraId="08278FE7"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130 </w:t>
            </w:r>
          </w:p>
        </w:tc>
      </w:tr>
    </w:tbl>
    <w:p w14:paraId="4B6265FA" w14:textId="77777777" w:rsidR="006D0435" w:rsidRDefault="00000000">
      <w:pPr>
        <w:spacing w:after="24"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8EF184A" w14:textId="77777777" w:rsidR="006D0435" w:rsidRDefault="00000000">
      <w:pPr>
        <w:spacing w:line="360" w:lineRule="auto"/>
        <w:ind w:left="-5" w:right="2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market of batteries for electric vehicles has been growing sharply over the past few years. The global battery industry commanded a market value of $21.95 billion in the year 2020 [155]. This value escalated to $27.3 billion the very next year, 2021</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[155]. And it has been estimated to stand at $154.9 billion by the year 2028</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155</w:t>
      </w:r>
      <w:r>
        <w:rPr>
          <w:rFonts w:ascii="Times New Roman" w:eastAsia="Times New Roman" w:hAnsi="Times New Roman" w:cs="Times New Roman"/>
          <w:color w:val="000000"/>
          <w:sz w:val="24"/>
          <w:szCs w:val="24"/>
        </w:rPr>
        <w:t xml:space="preserve">]. </w:t>
      </w:r>
    </w:p>
    <w:p w14:paraId="27839B03" w14:textId="77777777" w:rsidR="006D0435" w:rsidRDefault="00000000">
      <w:pPr>
        <w:spacing w:line="360" w:lineRule="auto"/>
        <w:ind w:left="-5" w:right="2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leading obstacles of the BEVs (Battery Electric Vehicles) are the high prices of batteries, especially for HDVs, lack of standardization and obsolete marketing policy.[</w:t>
      </w:r>
      <w:r>
        <w:rPr>
          <w:rFonts w:ascii="Times New Roman" w:eastAsia="Times New Roman" w:hAnsi="Times New Roman" w:cs="Times New Roman"/>
          <w:sz w:val="24"/>
          <w:szCs w:val="24"/>
        </w:rPr>
        <w:t>155</w:t>
      </w:r>
      <w:r>
        <w:rPr>
          <w:rFonts w:ascii="Times New Roman" w:eastAsia="Times New Roman" w:hAnsi="Times New Roman" w:cs="Times New Roman"/>
          <w:color w:val="000000"/>
          <w:sz w:val="24"/>
          <w:szCs w:val="24"/>
        </w:rPr>
        <w:t xml:space="preserve">] </w:t>
      </w:r>
    </w:p>
    <w:p w14:paraId="7EDE8A8B" w14:textId="77777777" w:rsidR="006D0435" w:rsidRDefault="00000000">
      <w:pPr>
        <w:spacing w:line="360" w:lineRule="auto"/>
        <w:ind w:left="-5" w:right="2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the BEVs, the primary costs include the vehicle price, initial registration fees, annual operating costs, repair cost and tax fees. The operational costs of BEV </w:t>
      </w:r>
      <w:proofErr w:type="gramStart"/>
      <w:r>
        <w:rPr>
          <w:rFonts w:ascii="Times New Roman" w:eastAsia="Times New Roman" w:hAnsi="Times New Roman" w:cs="Times New Roman"/>
          <w:color w:val="000000"/>
          <w:sz w:val="24"/>
          <w:szCs w:val="24"/>
        </w:rPr>
        <w:t>is</w:t>
      </w:r>
      <w:proofErr w:type="gramEnd"/>
      <w:r>
        <w:rPr>
          <w:rFonts w:ascii="Times New Roman" w:eastAsia="Times New Roman" w:hAnsi="Times New Roman" w:cs="Times New Roman"/>
          <w:color w:val="000000"/>
          <w:sz w:val="24"/>
          <w:szCs w:val="24"/>
        </w:rPr>
        <w:t xml:space="preserve"> low but the vehicle price of BEV is so high that </w:t>
      </w:r>
      <w:r>
        <w:rPr>
          <w:rFonts w:ascii="Times New Roman" w:eastAsia="Times New Roman" w:hAnsi="Times New Roman" w:cs="Times New Roman"/>
          <w:color w:val="000000"/>
          <w:sz w:val="24"/>
          <w:szCs w:val="24"/>
        </w:rPr>
        <w:lastRenderedPageBreak/>
        <w:t>people still prefer ICEVs instead for its lower price, especially in under developed and developing countries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156</w:t>
      </w:r>
      <w:r>
        <w:rPr>
          <w:rFonts w:ascii="Times New Roman" w:eastAsia="Times New Roman" w:hAnsi="Times New Roman" w:cs="Times New Roman"/>
          <w:color w:val="000000"/>
          <w:sz w:val="24"/>
          <w:szCs w:val="24"/>
        </w:rPr>
        <w:t xml:space="preserve">] [157]. </w:t>
      </w:r>
    </w:p>
    <w:p w14:paraId="3A75E923" w14:textId="77777777" w:rsidR="006D0435" w:rsidRDefault="00000000">
      <w:pPr>
        <w:spacing w:after="24" w:line="360" w:lineRule="auto"/>
        <w:ind w:right="83"/>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2D68BDF" wp14:editId="1BC09D44">
            <wp:extent cx="5943600" cy="3400425"/>
            <wp:effectExtent l="0" t="0" r="0" b="0"/>
            <wp:docPr id="1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44"/>
                    <a:srcRect t="2375" b="3430"/>
                    <a:stretch>
                      <a:fillRect/>
                    </a:stretch>
                  </pic:blipFill>
                  <pic:spPr>
                    <a:xfrm>
                      <a:off x="0" y="0"/>
                      <a:ext cx="5943600" cy="3400425"/>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p>
    <w:p w14:paraId="587DBA41" w14:textId="77777777" w:rsidR="006D0435" w:rsidRDefault="00000000">
      <w:pPr>
        <w:spacing w:line="360" w:lineRule="auto"/>
        <w:ind w:left="-5" w:right="214"/>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Figure-8.c) Public charges per BEV in developed countries [</w:t>
      </w:r>
      <w:r>
        <w:rPr>
          <w:rFonts w:ascii="Times New Roman" w:eastAsia="Times New Roman" w:hAnsi="Times New Roman" w:cs="Times New Roman"/>
          <w:sz w:val="24"/>
          <w:szCs w:val="24"/>
        </w:rPr>
        <w:t>157</w:t>
      </w:r>
      <w:r>
        <w:rPr>
          <w:rFonts w:ascii="Times New Roman" w:eastAsia="Times New Roman" w:hAnsi="Times New Roman" w:cs="Times New Roman"/>
          <w:color w:val="000000"/>
          <w:sz w:val="24"/>
          <w:szCs w:val="24"/>
        </w:rPr>
        <w:t>]</w:t>
      </w:r>
    </w:p>
    <w:p w14:paraId="6A5F47F2" w14:textId="77777777" w:rsidR="006D0435" w:rsidRDefault="00000000">
      <w:pPr>
        <w:spacing w:line="360" w:lineRule="auto"/>
        <w:ind w:left="-5" w:right="2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Observing the figure 8.c, even in developed countries the numbers vary significantly. BEVs are yet not into the mainstream because of their high cost and less available infrastructure required for its maintenance.  Therefore, there are huge scopes to improving the market policy of EVs. </w:t>
      </w:r>
    </w:p>
    <w:p w14:paraId="6458042D" w14:textId="77777777" w:rsidR="006D0435" w:rsidRDefault="00000000">
      <w:pPr>
        <w:spacing w:line="360" w:lineRule="auto"/>
        <w:ind w:left="-5" w:right="214"/>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color w:val="000000"/>
          <w:sz w:val="24"/>
          <w:szCs w:val="24"/>
        </w:rPr>
        <w:t>8.5  Improving</w:t>
      </w:r>
      <w:proofErr w:type="gramEnd"/>
      <w:r>
        <w:rPr>
          <w:rFonts w:ascii="Times New Roman" w:eastAsia="Times New Roman" w:hAnsi="Times New Roman" w:cs="Times New Roman"/>
          <w:b/>
          <w:bCs/>
          <w:color w:val="000000"/>
          <w:sz w:val="24"/>
          <w:szCs w:val="24"/>
        </w:rPr>
        <w:t xml:space="preserve"> the economy of EVs against limitations</w:t>
      </w:r>
    </w:p>
    <w:p w14:paraId="1FA51674" w14:textId="77777777" w:rsidR="006D0435" w:rsidRDefault="00000000">
      <w:pPr>
        <w:spacing w:line="360" w:lineRule="auto"/>
        <w:ind w:left="-5" w:right="2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Grid integration is one of the most essential methods to boost the economy concerning Electric Vehicles. It has multi-dimensional economic benefits. For DSO (Distribution System Operator), minimization of loss and maximum power transfer are ensured. For Aggregators, revenue from utility and end user create significant economic profits. Again, the demands of the end users also dominate with minimum charging cost and mitigated total cost of ownership. In this way, additional generation units and current network infrastructure become the essentials for a successful economy of electric vehicles</w:t>
      </w:r>
      <w:r>
        <w:rPr>
          <w:rFonts w:ascii="Times New Roman" w:eastAsia="Times New Roman" w:hAnsi="Times New Roman" w:cs="Times New Roman"/>
          <w:sz w:val="24"/>
          <w:szCs w:val="24"/>
        </w:rPr>
        <w:t xml:space="preserve"> [160].</w:t>
      </w:r>
    </w:p>
    <w:p w14:paraId="1B5B2D65" w14:textId="77777777" w:rsidR="006D0435" w:rsidRDefault="00000000">
      <w:pPr>
        <w:spacing w:line="360" w:lineRule="auto"/>
        <w:ind w:left="-5" w:right="2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Vehicle to Grid (V2G), Vehicle to Home (V2H) and Vehicle to Building (V2B) remain instrumental for the expansion of the number of electric vehicles, assurance of better balance between energy generation and consumption, reduced peak demand and energy costs, and improved profitability [</w:t>
      </w:r>
      <w:r>
        <w:rPr>
          <w:rFonts w:ascii="Times New Roman" w:eastAsia="Times New Roman" w:hAnsi="Times New Roman" w:cs="Times New Roman"/>
          <w:sz w:val="24"/>
          <w:szCs w:val="24"/>
        </w:rPr>
        <w:t>159</w:t>
      </w:r>
      <w:r>
        <w:rPr>
          <w:rFonts w:ascii="Times New Roman" w:eastAsia="Times New Roman" w:hAnsi="Times New Roman" w:cs="Times New Roman"/>
          <w:color w:val="000000"/>
          <w:sz w:val="24"/>
          <w:szCs w:val="24"/>
        </w:rPr>
        <w:t xml:space="preserve">]. </w:t>
      </w:r>
    </w:p>
    <w:p w14:paraId="13E93996" w14:textId="77777777" w:rsidR="006D0435" w:rsidRDefault="00000000">
      <w:pPr>
        <w:pStyle w:val="Heading2"/>
        <w:spacing w:line="360" w:lineRule="auto"/>
        <w:ind w:left="-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8.6 Marketing Trends for EVs </w:t>
      </w:r>
    </w:p>
    <w:p w14:paraId="7552E450" w14:textId="77777777" w:rsidR="006D0435" w:rsidRDefault="00000000">
      <w:pPr>
        <w:spacing w:line="360" w:lineRule="auto"/>
        <w:ind w:left="-5" w:right="2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most common feature of the economic status of an electric vehicle is its high purchase price and low operational cost. The high purchase price along with the extended infrastructure for EV maintenance (for example, charging) and the unavailability of the EVs compared to ICEVs are the primary limitations on the way to the widespread dominance of electric vehicles. To defeat these challenges, awareness is a vital tool. ICEVs use fossil fuels and burn non-renewable energy making not only its operational cost high, but also mounting the Greenhouse Gas (GHG) emissions. The government must raise public awareness about the detriments of choosing ICEVs over EVs for the sake of the climate. But this method might not work promptly in under-developed and developing countries. Studying the statistics and government policies of China and India, the most effective government policies to promote the purchase of EVs are: exemption from registration tax, ban of two-wheelers ICEVs (in China), improving infrastructure for EV maintenance and its higher availability. </w:t>
      </w:r>
    </w:p>
    <w:p w14:paraId="080DD371" w14:textId="77777777" w:rsidR="006D0435" w:rsidRDefault="00000000">
      <w:pPr>
        <w:spacing w:after="24" w:line="360" w:lineRule="auto"/>
        <w:ind w:right="83"/>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75DF678" wp14:editId="7AC53F58">
            <wp:extent cx="5829300" cy="3396159"/>
            <wp:effectExtent l="0" t="0" r="0" b="0"/>
            <wp:docPr id="14"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245"/>
                    <a:srcRect l="1923" b="3111"/>
                    <a:stretch>
                      <a:fillRect/>
                    </a:stretch>
                  </pic:blipFill>
                  <pic:spPr>
                    <a:xfrm>
                      <a:off x="0" y="0"/>
                      <a:ext cx="5829300" cy="3396159"/>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p>
    <w:p w14:paraId="15754BA1" w14:textId="77777777" w:rsidR="006D0435" w:rsidRDefault="00000000">
      <w:pPr>
        <w:spacing w:line="360" w:lineRule="auto"/>
        <w:ind w:left="2160" w:right="214"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Figure:</w:t>
      </w:r>
      <w:proofErr w:type="gramStart"/>
      <w:r>
        <w:rPr>
          <w:rFonts w:ascii="Times New Roman" w:eastAsia="Times New Roman" w:hAnsi="Times New Roman" w:cs="Times New Roman"/>
          <w:color w:val="000000"/>
          <w:sz w:val="24"/>
          <w:szCs w:val="24"/>
        </w:rPr>
        <w:t>8.d</w:t>
      </w:r>
      <w:proofErr w:type="gramEnd"/>
      <w:r>
        <w:rPr>
          <w:rFonts w:ascii="Times New Roman" w:eastAsia="Times New Roman" w:hAnsi="Times New Roman" w:cs="Times New Roman"/>
          <w:color w:val="000000"/>
          <w:sz w:val="24"/>
          <w:szCs w:val="24"/>
        </w:rPr>
        <w:t>) Monetary cost applied to GHG emissions [</w:t>
      </w:r>
      <w:r>
        <w:rPr>
          <w:rFonts w:ascii="Times New Roman" w:eastAsia="Times New Roman" w:hAnsi="Times New Roman" w:cs="Times New Roman"/>
          <w:sz w:val="24"/>
          <w:szCs w:val="24"/>
        </w:rPr>
        <w:t>154</w:t>
      </w:r>
      <w:r>
        <w:rPr>
          <w:rFonts w:ascii="Times New Roman" w:eastAsia="Times New Roman" w:hAnsi="Times New Roman" w:cs="Times New Roman"/>
          <w:color w:val="000000"/>
          <w:sz w:val="24"/>
          <w:szCs w:val="24"/>
        </w:rPr>
        <w:t xml:space="preserve">] </w:t>
      </w:r>
    </w:p>
    <w:p w14:paraId="4FE30E18" w14:textId="77777777" w:rsidR="006D0435" w:rsidRDefault="00000000">
      <w:pPr>
        <w:spacing w:line="360" w:lineRule="auto"/>
        <w:ind w:left="-5" w:right="2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figure 8.d suggests an effective concept that can be implemented to influence the consumers to choose EV. The concept is about a carbon tax that is charged from the consumer for GHG emission from the owned vehicle. So, consumers switch to cleaner energy machineries instead, like electric vehicles. </w:t>
      </w:r>
    </w:p>
    <w:p w14:paraId="54A087CF" w14:textId="77777777" w:rsidR="006D0435" w:rsidRDefault="00000000">
      <w:pPr>
        <w:spacing w:line="360" w:lineRule="auto"/>
        <w:ind w:left="-5" w:right="2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Another important marketing policy for EVs are relative innovativeness and relative product advantage. This is basically the comparison of EVs with traditional vehicles to measure what new advantage the newly introduced product brings for the consumers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61</w:t>
      </w:r>
      <w:r>
        <w:rPr>
          <w:rFonts w:ascii="Times New Roman" w:eastAsia="Times New Roman" w:hAnsi="Times New Roman" w:cs="Times New Roman"/>
          <w:color w:val="000000"/>
          <w:sz w:val="24"/>
          <w:szCs w:val="24"/>
        </w:rPr>
        <w:t xml:space="preserve">]. Electric vehicles have higher efficiency, better performance (with less noise and comfortable and smooth user experience), convenient maintenance and </w:t>
      </w:r>
      <w:r>
        <w:rPr>
          <w:rFonts w:ascii="Times New Roman" w:eastAsia="Times New Roman" w:hAnsi="Times New Roman" w:cs="Times New Roman"/>
          <w:color w:val="000000"/>
          <w:sz w:val="24"/>
          <w:szCs w:val="24"/>
        </w:rPr>
        <w:lastRenderedPageBreak/>
        <w:t xml:space="preserve">positive impact on the environment. Comparing the TCOs, EVs turn out to be more advantageous in the long run. At the same time, newer models of EVs must be introduced to make it more available and customer-friendly due to technological improvements. Similarly, the battery prices must be reduced to make the purchase price more reasonable for the users, </w:t>
      </w:r>
      <w:proofErr w:type="spellStart"/>
      <w:r>
        <w:rPr>
          <w:rFonts w:ascii="Times New Roman" w:eastAsia="Times New Roman" w:hAnsi="Times New Roman" w:cs="Times New Roman"/>
          <w:color w:val="000000"/>
          <w:sz w:val="24"/>
          <w:szCs w:val="24"/>
        </w:rPr>
        <w:t>specially</w:t>
      </w:r>
      <w:proofErr w:type="spellEnd"/>
      <w:r>
        <w:rPr>
          <w:rFonts w:ascii="Times New Roman" w:eastAsia="Times New Roman" w:hAnsi="Times New Roman" w:cs="Times New Roman"/>
          <w:color w:val="000000"/>
          <w:sz w:val="24"/>
          <w:szCs w:val="24"/>
        </w:rPr>
        <w:t xml:space="preserve"> for medium duty and </w:t>
      </w:r>
      <w:proofErr w:type="gramStart"/>
      <w:r>
        <w:rPr>
          <w:rFonts w:ascii="Times New Roman" w:eastAsia="Times New Roman" w:hAnsi="Times New Roman" w:cs="Times New Roman"/>
          <w:color w:val="000000"/>
          <w:sz w:val="24"/>
          <w:szCs w:val="24"/>
        </w:rPr>
        <w:t>heavy duty</w:t>
      </w:r>
      <w:proofErr w:type="gramEnd"/>
      <w:r>
        <w:rPr>
          <w:rFonts w:ascii="Times New Roman" w:eastAsia="Times New Roman" w:hAnsi="Times New Roman" w:cs="Times New Roman"/>
          <w:color w:val="000000"/>
          <w:sz w:val="24"/>
          <w:szCs w:val="24"/>
        </w:rPr>
        <w:t xml:space="preserve"> vehicles where ICEVs are still more popular.  </w:t>
      </w:r>
    </w:p>
    <w:p w14:paraId="2D86E8EA" w14:textId="77777777" w:rsidR="006D0435" w:rsidRDefault="00000000">
      <w:pPr>
        <w:pStyle w:val="Heading1"/>
        <w:spacing w:line="360" w:lineRule="auto"/>
        <w:ind w:left="-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8.7  </w:t>
      </w:r>
    </w:p>
    <w:p w14:paraId="2BA2353F" w14:textId="77777777" w:rsidR="006D0435" w:rsidRDefault="00000000">
      <w:pPr>
        <w:spacing w:after="73" w:line="360" w:lineRule="auto"/>
        <w:ind w:left="-5" w:right="2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Hence, with the appropriate marketing policies EVs are expected to take over traditional fossil fuel-run vehicles. The overall economy of EVs </w:t>
      </w:r>
      <w:proofErr w:type="gramStart"/>
      <w:r>
        <w:rPr>
          <w:rFonts w:ascii="Times New Roman" w:eastAsia="Times New Roman" w:hAnsi="Times New Roman" w:cs="Times New Roman"/>
          <w:color w:val="000000"/>
          <w:sz w:val="24"/>
          <w:szCs w:val="24"/>
        </w:rPr>
        <w:t>are</w:t>
      </w:r>
      <w:proofErr w:type="gramEnd"/>
      <w:r>
        <w:rPr>
          <w:rFonts w:ascii="Times New Roman" w:eastAsia="Times New Roman" w:hAnsi="Times New Roman" w:cs="Times New Roman"/>
          <w:color w:val="000000"/>
          <w:sz w:val="24"/>
          <w:szCs w:val="24"/>
        </w:rPr>
        <w:t xml:space="preserve"> on the verge of consecutive improvement and evolution in the upcoming years. The industry of electric vehicles is full of potential if its features are customized according to the demand of the consumers. Again, most economic analyses of EV are mostly </w:t>
      </w:r>
      <w:proofErr w:type="spellStart"/>
      <w:r>
        <w:rPr>
          <w:rFonts w:ascii="Times New Roman" w:eastAsia="Times New Roman" w:hAnsi="Times New Roman" w:cs="Times New Roman"/>
          <w:color w:val="000000"/>
          <w:sz w:val="24"/>
          <w:szCs w:val="24"/>
        </w:rPr>
        <w:t>centred</w:t>
      </w:r>
      <w:proofErr w:type="spellEnd"/>
      <w:r>
        <w:rPr>
          <w:rFonts w:ascii="Times New Roman" w:eastAsia="Times New Roman" w:hAnsi="Times New Roman" w:cs="Times New Roman"/>
          <w:color w:val="000000"/>
          <w:sz w:val="24"/>
          <w:szCs w:val="24"/>
        </w:rPr>
        <w:t xml:space="preserve"> around the markets of Europe, the USA, China or other developed countries which leaves a significant gap of study of the emerging economies of EV in developing countries, especially in southeast Asia or South America.  </w:t>
      </w:r>
    </w:p>
    <w:p w14:paraId="08E17C5E" w14:textId="77777777" w:rsidR="006D0435" w:rsidRDefault="00000000">
      <w:pPr>
        <w:spacing w:after="0" w:line="360" w:lineRule="auto"/>
        <w:ind w:left="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9.</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000000"/>
          <w:sz w:val="24"/>
          <w:szCs w:val="24"/>
        </w:rPr>
        <w:t xml:space="preserve">Policies, Regulation, and Global Adoption of Electric </w:t>
      </w:r>
    </w:p>
    <w:p w14:paraId="4D6CEAC1" w14:textId="77777777" w:rsidR="006D0435" w:rsidRDefault="00000000">
      <w:pPr>
        <w:spacing w:after="0" w:line="360" w:lineRule="auto"/>
        <w:ind w:left="8"/>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Vehicles</w:t>
      </w:r>
      <w:r>
        <w:rPr>
          <w:rFonts w:ascii="Times New Roman" w:eastAsia="Times New Roman" w:hAnsi="Times New Roman" w:cs="Times New Roman"/>
          <w:color w:val="000000"/>
          <w:sz w:val="24"/>
          <w:szCs w:val="24"/>
        </w:rPr>
        <w:t xml:space="preserve"> </w:t>
      </w:r>
    </w:p>
    <w:p w14:paraId="6676C853" w14:textId="77777777" w:rsidR="006D0435" w:rsidRDefault="00000000">
      <w:pPr>
        <w:pStyle w:val="Heading1"/>
        <w:spacing w:before="0" w:after="0" w:line="360" w:lineRule="auto"/>
        <w:ind w:left="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Executive summary </w:t>
      </w:r>
    </w:p>
    <w:p w14:paraId="75F00CAA"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world has observed the adoption of electric vehicles (EV) across various countries at a fast speed during the past several years. Statistically, the global market reached 17 million vehicle sales in 2024, which represented more than 20 percent of all new passenger vehicle registrations, although various regions showed different patterns of growth. The </w:t>
      </w:r>
      <w:proofErr w:type="spellStart"/>
      <w:r>
        <w:rPr>
          <w:rFonts w:ascii="Times New Roman" w:eastAsia="Times New Roman" w:hAnsi="Times New Roman" w:cs="Times New Roman"/>
          <w:color w:val="000000"/>
          <w:sz w:val="24"/>
          <w:szCs w:val="24"/>
        </w:rPr>
        <w:t>nation wide</w:t>
      </w:r>
      <w:proofErr w:type="spellEnd"/>
      <w:r>
        <w:rPr>
          <w:rFonts w:ascii="Times New Roman" w:eastAsia="Times New Roman" w:hAnsi="Times New Roman" w:cs="Times New Roman"/>
          <w:color w:val="000000"/>
          <w:sz w:val="24"/>
          <w:szCs w:val="24"/>
        </w:rPr>
        <w:t xml:space="preserve"> adoption depends on various factors which mainly are - The differences in policy designs and charging network development and various affordability parameters and laws which mainly indicates regulatory conditions established by governments (International Energy Agency [IEA], 2025).</w:t>
      </w:r>
      <w:hyperlink r:id="rId246">
        <w:r>
          <w:rPr>
            <w:rFonts w:ascii="Times New Roman" w:eastAsia="Times New Roman" w:hAnsi="Times New Roman" w:cs="Times New Roman"/>
            <w:color w:val="000000"/>
            <w:sz w:val="24"/>
            <w:szCs w:val="24"/>
          </w:rPr>
          <w:t>[</w:t>
        </w:r>
      </w:hyperlink>
      <w:hyperlink r:id="rId247">
        <w:r>
          <w:rPr>
            <w:rFonts w:ascii="Times New Roman" w:eastAsia="Times New Roman" w:hAnsi="Times New Roman" w:cs="Times New Roman"/>
            <w:sz w:val="24"/>
            <w:szCs w:val="24"/>
          </w:rPr>
          <w:t>162</w:t>
        </w:r>
      </w:hyperlink>
      <w:hyperlink r:id="rId248">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w:t>
      </w:r>
    </w:p>
    <w:p w14:paraId="1522C0E9"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Factually, the early market generally is benefited from demand-side incentives such as purchase subsidies or tax benefits. But it is a matter of fact that when a market matured it leads us to various mixed results. “The establishment of emissions standards and zero-emission vehicle” mandates and “The implementation of coordinated charging infrastructure” policies create more sustainable pathways for long-term adoption when organizations are on the way to develop clear executional guidelines (Anilan &amp; Vij, 2024; Martins et al., 2024; Zhao et al., 2024). </w:t>
      </w:r>
      <w:hyperlink r:id="rId249">
        <w:r>
          <w:rPr>
            <w:rFonts w:ascii="Times New Roman" w:eastAsia="Times New Roman" w:hAnsi="Times New Roman" w:cs="Times New Roman"/>
            <w:color w:val="000000"/>
            <w:sz w:val="24"/>
            <w:szCs w:val="24"/>
          </w:rPr>
          <w:t>[</w:t>
        </w:r>
      </w:hyperlink>
      <w:hyperlink r:id="rId250">
        <w:r>
          <w:rPr>
            <w:rFonts w:ascii="Times New Roman" w:eastAsia="Times New Roman" w:hAnsi="Times New Roman" w:cs="Times New Roman"/>
            <w:sz w:val="24"/>
            <w:szCs w:val="24"/>
          </w:rPr>
          <w:t>163</w:t>
        </w:r>
      </w:hyperlink>
      <w:hyperlink r:id="rId251">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w:t>
      </w:r>
    </w:p>
    <w:p w14:paraId="714F5487" w14:textId="77777777" w:rsidR="006D0435" w:rsidRDefault="00000000">
      <w:pPr>
        <w:spacing w:after="239"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Studies of the most significant markets tells us that many policy patterns keep appearing throughout the study. Firstly, jurisdictions which mixes regulatory targets with infrastructure investment and targeted fiscal incentives which maintain stronger adoption momentum, as observed in recent European Union and United Kingdom policy frameworks infrastructures. </w:t>
      </w:r>
      <w:hyperlink r:id="rId252">
        <w:r>
          <w:rPr>
            <w:rFonts w:ascii="Times New Roman" w:eastAsia="Times New Roman" w:hAnsi="Times New Roman" w:cs="Times New Roman"/>
            <w:color w:val="000000"/>
            <w:sz w:val="24"/>
            <w:szCs w:val="24"/>
          </w:rPr>
          <w:t>[</w:t>
        </w:r>
      </w:hyperlink>
      <w:hyperlink r:id="rId253">
        <w:r>
          <w:rPr>
            <w:rFonts w:ascii="Times New Roman" w:eastAsia="Times New Roman" w:hAnsi="Times New Roman" w:cs="Times New Roman"/>
            <w:sz w:val="24"/>
            <w:szCs w:val="24"/>
          </w:rPr>
          <w:t>164</w:t>
        </w:r>
      </w:hyperlink>
      <w:hyperlink r:id="rId254">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The strictness of supply chain of critical minerals will improve </w:t>
      </w:r>
      <w:r>
        <w:rPr>
          <w:rFonts w:ascii="Times New Roman" w:eastAsia="Times New Roman" w:hAnsi="Times New Roman" w:cs="Times New Roman"/>
          <w:color w:val="000000"/>
          <w:sz w:val="24"/>
          <w:szCs w:val="24"/>
        </w:rPr>
        <w:lastRenderedPageBreak/>
        <w:t xml:space="preserve">through — Local Manufacturing Requirements and Critical-minerals Sourcing rules, which are now becoming customary in policy strategies which ties industrial goals with trade objectives. Organizations now have to deal with additional compliance obligations and equality challenges brought forth by recent U.S. legislation. </w:t>
      </w:r>
      <w:hyperlink r:id="rId255">
        <w:r>
          <w:rPr>
            <w:rFonts w:ascii="Times New Roman" w:eastAsia="Times New Roman" w:hAnsi="Times New Roman" w:cs="Times New Roman"/>
            <w:color w:val="000000"/>
            <w:sz w:val="24"/>
            <w:szCs w:val="24"/>
          </w:rPr>
          <w:t>[</w:t>
        </w:r>
      </w:hyperlink>
      <w:hyperlink r:id="rId256">
        <w:r>
          <w:rPr>
            <w:rFonts w:ascii="Times New Roman" w:eastAsia="Times New Roman" w:hAnsi="Times New Roman" w:cs="Times New Roman"/>
            <w:sz w:val="24"/>
            <w:szCs w:val="24"/>
          </w:rPr>
          <w:t>165</w:t>
        </w:r>
      </w:hyperlink>
      <w:hyperlink r:id="rId257">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Norway shows through its permanent fiscal policies and user perks, which encourage user benefits, that public policy helps consumers to modify their spending patterns. The current regulations require approval. </w:t>
      </w:r>
      <w:hyperlink r:id="rId258">
        <w:r>
          <w:rPr>
            <w:rFonts w:ascii="Times New Roman" w:eastAsia="Times New Roman" w:hAnsi="Times New Roman" w:cs="Times New Roman"/>
            <w:color w:val="000000"/>
            <w:sz w:val="24"/>
            <w:szCs w:val="24"/>
          </w:rPr>
          <w:t>[</w:t>
        </w:r>
      </w:hyperlink>
      <w:hyperlink r:id="rId259">
        <w:r>
          <w:rPr>
            <w:rFonts w:ascii="Times New Roman" w:eastAsia="Times New Roman" w:hAnsi="Times New Roman" w:cs="Times New Roman"/>
            <w:sz w:val="24"/>
            <w:szCs w:val="24"/>
          </w:rPr>
          <w:t>166</w:t>
        </w:r>
      </w:hyperlink>
      <w:hyperlink r:id="rId260">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w:t>
      </w:r>
    </w:p>
    <w:p w14:paraId="0B6AAD7E"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research includes a structured scoping method to investigate the advancements made from 2015 until 2025 using two investigative methods which are – 1) Comparative policy assessment and 2) A standardized evaluation system. The analysis bonds measurable adoption parameters with qualitative invigilation of regulatory design, considering ethical, legal, and compliance (ELC) dimensions which are related to global EV policy development. </w:t>
      </w:r>
    </w:p>
    <w:p w14:paraId="168E645D" w14:textId="77777777" w:rsidR="006D0435" w:rsidRDefault="00000000">
      <w:pPr>
        <w:pStyle w:val="Heading1"/>
        <w:spacing w:before="0" w:after="119" w:line="360" w:lineRule="auto"/>
        <w:ind w:left="8"/>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9.1 </w:t>
      </w:r>
      <w:r>
        <w:rPr>
          <w:rFonts w:ascii="Times New Roman" w:eastAsia="Times New Roman" w:hAnsi="Times New Roman" w:cs="Times New Roman"/>
          <w:color w:val="000000"/>
          <w:sz w:val="24"/>
          <w:szCs w:val="24"/>
        </w:rPr>
        <w:t xml:space="preserve">Introduction and background </w:t>
      </w:r>
    </w:p>
    <w:p w14:paraId="6FACEFFE" w14:textId="77777777" w:rsidR="006D0435" w:rsidRDefault="00000000">
      <w:pPr>
        <w:spacing w:after="239"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Electric mobility policy is visualized as a multi-layered governance regime in which the use of </w:t>
      </w:r>
      <w:proofErr w:type="spellStart"/>
      <w:proofErr w:type="gramStart"/>
      <w:r>
        <w:rPr>
          <w:rFonts w:ascii="Times New Roman" w:eastAsia="Times New Roman" w:hAnsi="Times New Roman" w:cs="Times New Roman"/>
          <w:color w:val="000000"/>
          <w:sz w:val="24"/>
          <w:szCs w:val="24"/>
        </w:rPr>
        <w:t>regulations,instruments</w:t>
      </w:r>
      <w:proofErr w:type="spellEnd"/>
      <w:proofErr w:type="gramEnd"/>
      <w:r>
        <w:rPr>
          <w:rFonts w:ascii="Times New Roman" w:eastAsia="Times New Roman" w:hAnsi="Times New Roman" w:cs="Times New Roman"/>
          <w:color w:val="000000"/>
          <w:sz w:val="24"/>
          <w:szCs w:val="24"/>
        </w:rPr>
        <w:t xml:space="preserve"> and system rules are combined together to shape the market. These policies are mainly focused on mechanical features of a vehicle such as— including emissions, standardized cybersecurity software as well as market challenges like tax breaks, mandates and feebates that directly involve consumer demand and manufacturer behavior. That's why, system-enabling policies, such as charging deployment, interoperability with other technologies or consumer information and data reporting, facilitate a wider connection within energy and transport </w:t>
      </w:r>
      <w:proofErr w:type="spellStart"/>
      <w:r>
        <w:rPr>
          <w:rFonts w:ascii="Times New Roman" w:eastAsia="Times New Roman" w:hAnsi="Times New Roman" w:cs="Times New Roman"/>
          <w:color w:val="000000"/>
          <w:sz w:val="24"/>
          <w:szCs w:val="24"/>
        </w:rPr>
        <w:t>systems.The</w:t>
      </w:r>
      <w:proofErr w:type="spellEnd"/>
      <w:r>
        <w:rPr>
          <w:rFonts w:ascii="Times New Roman" w:eastAsia="Times New Roman" w:hAnsi="Times New Roman" w:cs="Times New Roman"/>
          <w:color w:val="000000"/>
          <w:sz w:val="24"/>
          <w:szCs w:val="24"/>
        </w:rPr>
        <w:t xml:space="preserve"> International Energy Agency describes EV diffusion as a globally transitioning shape through coordinated policy packages that affect factors like affordability, availability of vehicles, infrastructure flexibility, and overall energy-system output (IEA, 2024; IEA, 2025). </w:t>
      </w:r>
      <w:hyperlink r:id="rId261">
        <w:r>
          <w:rPr>
            <w:rFonts w:ascii="Times New Roman" w:eastAsia="Times New Roman" w:hAnsi="Times New Roman" w:cs="Times New Roman"/>
            <w:sz w:val="24"/>
            <w:szCs w:val="24"/>
          </w:rPr>
          <w:t>[167]</w:t>
        </w:r>
      </w:hyperlink>
      <w:hyperlink r:id="rId262">
        <w:r>
          <w:rPr>
            <w:rFonts w:ascii="Times New Roman" w:eastAsia="Times New Roman" w:hAnsi="Times New Roman" w:cs="Times New Roman"/>
            <w:color w:val="000000"/>
            <w:sz w:val="24"/>
            <w:szCs w:val="24"/>
          </w:rPr>
          <w:t>[</w:t>
        </w:r>
      </w:hyperlink>
      <w:hyperlink r:id="rId263">
        <w:r>
          <w:rPr>
            <w:rFonts w:ascii="Times New Roman" w:eastAsia="Times New Roman" w:hAnsi="Times New Roman" w:cs="Times New Roman"/>
            <w:sz w:val="24"/>
            <w:szCs w:val="24"/>
          </w:rPr>
          <w:t>168</w:t>
        </w:r>
      </w:hyperlink>
      <w:hyperlink r:id="rId264">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w:t>
      </w:r>
    </w:p>
    <w:p w14:paraId="587FC38E"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some places, the use of electric vehicles (EVs) has gone from being a small market to a more common one. The sales report tells us that, a total of 14 million units of EVs were sold in 2023, which is approximately 18 percent of all the new cars sold. Again, total EV stock reached to about 40 million cars which are contained mostly within major international markets (IEA, 2024). </w:t>
      </w:r>
      <w:hyperlink r:id="rId265">
        <w:r>
          <w:rPr>
            <w:rFonts w:ascii="Times New Roman" w:eastAsia="Times New Roman" w:hAnsi="Times New Roman" w:cs="Times New Roman"/>
            <w:sz w:val="24"/>
            <w:szCs w:val="24"/>
          </w:rPr>
          <w:t>[168]</w:t>
        </w:r>
      </w:hyperlink>
      <w:r>
        <w:rPr>
          <w:rFonts w:ascii="Times New Roman" w:eastAsia="Times New Roman" w:hAnsi="Times New Roman" w:cs="Times New Roman"/>
          <w:color w:val="000000"/>
          <w:sz w:val="24"/>
          <w:szCs w:val="24"/>
        </w:rPr>
        <w:t xml:space="preserve">  Worldwide sales increased by 3 million units by one year, which portrays an annual developmental rate of above 25 percent from the previous year. But most importantly, the sales also increased outside the three largest markets which tells us that adoption is increasing day by day and is turning into one of a wider range of economies (IEA, 2025). </w:t>
      </w:r>
      <w:hyperlink r:id="rId266">
        <w:r>
          <w:rPr>
            <w:rFonts w:ascii="Times New Roman" w:eastAsia="Times New Roman" w:hAnsi="Times New Roman" w:cs="Times New Roman"/>
            <w:sz w:val="24"/>
            <w:szCs w:val="24"/>
          </w:rPr>
          <w:t>[162]</w:t>
        </w:r>
      </w:hyperlink>
      <w:r>
        <w:rPr>
          <w:rFonts w:ascii="Times New Roman" w:eastAsia="Times New Roman" w:hAnsi="Times New Roman" w:cs="Times New Roman"/>
          <w:color w:val="000000"/>
          <w:sz w:val="24"/>
          <w:szCs w:val="24"/>
        </w:rPr>
        <w:t xml:space="preserve"> </w:t>
      </w:r>
    </w:p>
    <w:p w14:paraId="387E0829"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more people buy electric vehicles (EVs), regulatory frameworks are becoming more important because they help manufacturers, utilities, charging operators, and battery supply chains complying with the rules and regulations. The European Union's </w:t>
      </w:r>
      <w:hyperlink r:id="rId267">
        <w:r>
          <w:rPr>
            <w:rFonts w:ascii="Times New Roman" w:eastAsia="Times New Roman" w:hAnsi="Times New Roman" w:cs="Times New Roman"/>
            <w:sz w:val="24"/>
            <w:szCs w:val="24"/>
          </w:rPr>
          <w:t>[169]</w:t>
        </w:r>
      </w:hyperlink>
      <w:r>
        <w:rPr>
          <w:rFonts w:ascii="Times New Roman" w:eastAsia="Times New Roman" w:hAnsi="Times New Roman" w:cs="Times New Roman"/>
          <w:color w:val="000000"/>
          <w:sz w:val="24"/>
          <w:szCs w:val="24"/>
        </w:rPr>
        <w:t xml:space="preserve"> fleet-wide CO₂ standards from Regulation (EU) 2019/631 set progressively stricter limits on emissions from cars and vans. It is estimated that there will be a total ban on emissions by 2035. Consequently, The Alternative Fuels Infrastructure Regulation (AFIR) imposes more rules </w:t>
      </w:r>
      <w:r>
        <w:rPr>
          <w:rFonts w:ascii="Times New Roman" w:eastAsia="Times New Roman" w:hAnsi="Times New Roman" w:cs="Times New Roman"/>
          <w:color w:val="000000"/>
          <w:sz w:val="24"/>
          <w:szCs w:val="24"/>
        </w:rPr>
        <w:lastRenderedPageBreak/>
        <w:t>such as charging stations must offer customers seamless interoperability and payment options which will make it easier for the customers to charge their electric vehicles seamlessly and non-</w:t>
      </w:r>
      <w:proofErr w:type="spellStart"/>
      <w:r>
        <w:rPr>
          <w:rFonts w:ascii="Times New Roman" w:eastAsia="Times New Roman" w:hAnsi="Times New Roman" w:cs="Times New Roman"/>
          <w:color w:val="000000"/>
          <w:sz w:val="24"/>
          <w:szCs w:val="24"/>
        </w:rPr>
        <w:t>hesitently</w:t>
      </w:r>
      <w:proofErr w:type="spellEnd"/>
      <w:r>
        <w:rPr>
          <w:rFonts w:ascii="Times New Roman" w:eastAsia="Times New Roman" w:hAnsi="Times New Roman" w:cs="Times New Roman"/>
          <w:color w:val="000000"/>
          <w:sz w:val="24"/>
          <w:szCs w:val="24"/>
        </w:rPr>
        <w:t xml:space="preserve"> (European Commission, 2024; IEA, 2025).</w:t>
      </w:r>
      <w:hyperlink r:id="rId268">
        <w:r>
          <w:rPr>
            <w:rFonts w:ascii="Times New Roman" w:eastAsia="Times New Roman" w:hAnsi="Times New Roman" w:cs="Times New Roman"/>
            <w:sz w:val="24"/>
            <w:szCs w:val="24"/>
          </w:rPr>
          <w:t>[164]</w:t>
        </w:r>
      </w:hyperlink>
      <w:r>
        <w:rPr>
          <w:rFonts w:ascii="Times New Roman" w:eastAsia="Times New Roman" w:hAnsi="Times New Roman" w:cs="Times New Roman"/>
          <w:color w:val="000000"/>
          <w:sz w:val="24"/>
          <w:szCs w:val="24"/>
        </w:rPr>
        <w:t xml:space="preserve"> </w:t>
      </w:r>
    </w:p>
    <w:p w14:paraId="560BE41C"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this context, the present study utilizes a structured scoping review and comparative policy analysis covering the years 2015 to 2025 to examine the impact of regulatory design on electric vehicle adoption outcomes in significant global markets. </w:t>
      </w:r>
    </w:p>
    <w:p w14:paraId="213AF07F" w14:textId="77777777" w:rsidR="006D0435" w:rsidRDefault="00000000">
      <w:pPr>
        <w:pStyle w:val="Heading1"/>
        <w:spacing w:after="138" w:line="360" w:lineRule="auto"/>
        <w:ind w:left="8"/>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9.2 </w:t>
      </w:r>
      <w:r>
        <w:rPr>
          <w:rFonts w:ascii="Times New Roman" w:eastAsia="Times New Roman" w:hAnsi="Times New Roman" w:cs="Times New Roman"/>
          <w:color w:val="000000"/>
          <w:sz w:val="24"/>
          <w:szCs w:val="24"/>
        </w:rPr>
        <w:t xml:space="preserve">Methodology for evidence synthesis </w:t>
      </w:r>
    </w:p>
    <w:p w14:paraId="6D29084F" w14:textId="77777777" w:rsidR="006D0435" w:rsidRDefault="00000000">
      <w:pPr>
        <w:pStyle w:val="Heading2"/>
        <w:spacing w:line="360" w:lineRule="auto"/>
        <w:ind w:left="8"/>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9.2.1 </w:t>
      </w:r>
      <w:r>
        <w:rPr>
          <w:rFonts w:ascii="Times New Roman" w:eastAsia="Times New Roman" w:hAnsi="Times New Roman" w:cs="Times New Roman"/>
          <w:color w:val="000000"/>
          <w:sz w:val="24"/>
          <w:szCs w:val="24"/>
        </w:rPr>
        <w:t xml:space="preserve">Searching strategies for peer‑reviewed literatures and authoritative policy sources </w:t>
      </w:r>
    </w:p>
    <w:p w14:paraId="5A30A62D"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study utilizes a structured scoping review system involving the period from 2015 to 2025 which is supported by analysis of primary legal texts and major institutional databases. </w:t>
      </w:r>
    </w:p>
    <w:p w14:paraId="1763E058" w14:textId="77777777" w:rsidR="006D0435" w:rsidRDefault="00000000">
      <w:pPr>
        <w:numPr>
          <w:ilvl w:val="0"/>
          <w:numId w:val="4"/>
        </w:numPr>
        <w:spacing w:after="13" w:line="360" w:lineRule="auto"/>
      </w:pPr>
      <w:r>
        <w:rPr>
          <w:rFonts w:ascii="Times New Roman" w:eastAsia="Times New Roman" w:hAnsi="Times New Roman" w:cs="Times New Roman"/>
          <w:color w:val="000000"/>
          <w:sz w:val="24"/>
          <w:szCs w:val="24"/>
        </w:rPr>
        <w:t xml:space="preserve">Definition of scope and unit of analysis </w:t>
      </w:r>
    </w:p>
    <w:p w14:paraId="6DA25B32"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Focused on: Policies and regulations affecting the EV adoption for light-duty vehicles (LDVs), charging stations, batteries and compliance frameworks. The unit of analysis is typically a jurisdiction–policy instrument–time period (e.g., “EU AFIR charging obligations, 2023–2030”). </w:t>
      </w:r>
      <w:hyperlink r:id="rId269">
        <w:r>
          <w:rPr>
            <w:rFonts w:ascii="Times New Roman" w:eastAsia="Times New Roman" w:hAnsi="Times New Roman" w:cs="Times New Roman"/>
            <w:sz w:val="24"/>
            <w:szCs w:val="24"/>
          </w:rPr>
          <w:t>[167]</w:t>
        </w:r>
      </w:hyperlink>
      <w:r>
        <w:rPr>
          <w:rFonts w:ascii="Times New Roman" w:eastAsia="Times New Roman" w:hAnsi="Times New Roman" w:cs="Times New Roman"/>
          <w:color w:val="000000"/>
          <w:sz w:val="24"/>
          <w:szCs w:val="24"/>
        </w:rPr>
        <w:t xml:space="preserve"> </w:t>
      </w:r>
    </w:p>
    <w:p w14:paraId="08917518" w14:textId="77777777" w:rsidR="006D0435" w:rsidRDefault="00000000">
      <w:pPr>
        <w:numPr>
          <w:ilvl w:val="0"/>
          <w:numId w:val="4"/>
        </w:numPr>
        <w:spacing w:after="13" w:line="360" w:lineRule="auto"/>
      </w:pPr>
      <w:r>
        <w:rPr>
          <w:rFonts w:ascii="Times New Roman" w:eastAsia="Times New Roman" w:hAnsi="Times New Roman" w:cs="Times New Roman"/>
          <w:color w:val="000000"/>
          <w:sz w:val="24"/>
          <w:szCs w:val="24"/>
        </w:rPr>
        <w:t xml:space="preserve">Databases (literature) and portals (policy/data) </w:t>
      </w:r>
    </w:p>
    <w:p w14:paraId="4F45CACC" w14:textId="77777777" w:rsidR="006D0435" w:rsidRDefault="00000000">
      <w:pPr>
        <w:spacing w:after="0"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Peer‑reviewed databases: Scopus, Web of Science, ScienceDirect, IEEE Xplore (for infrastructure/standards), Transport Research International Documentation (TRID). </w:t>
      </w:r>
    </w:p>
    <w:p w14:paraId="4381CCF9"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Authoritative policy/data portals: IEA Global EV Outlook series and tools (EV Data Explorer, EV Policy Explorer). </w:t>
      </w:r>
      <w:hyperlink r:id="rId270">
        <w:r>
          <w:rPr>
            <w:rFonts w:ascii="Times New Roman" w:eastAsia="Times New Roman" w:hAnsi="Times New Roman" w:cs="Times New Roman"/>
            <w:sz w:val="24"/>
            <w:szCs w:val="24"/>
          </w:rPr>
          <w:t>[170]</w:t>
        </w:r>
      </w:hyperlink>
      <w:r>
        <w:rPr>
          <w:rFonts w:ascii="Times New Roman" w:eastAsia="Times New Roman" w:hAnsi="Times New Roman" w:cs="Times New Roman"/>
          <w:color w:val="000000"/>
          <w:sz w:val="24"/>
          <w:szCs w:val="24"/>
        </w:rPr>
        <w:t xml:space="preserve"> </w:t>
      </w:r>
    </w:p>
    <w:p w14:paraId="65A156A1" w14:textId="77777777" w:rsidR="006D0435" w:rsidRDefault="00000000">
      <w:pPr>
        <w:numPr>
          <w:ilvl w:val="0"/>
          <w:numId w:val="4"/>
        </w:numPr>
        <w:spacing w:after="176" w:line="360" w:lineRule="auto"/>
      </w:pPr>
      <w:r>
        <w:rPr>
          <w:rFonts w:ascii="Times New Roman" w:eastAsia="Times New Roman" w:hAnsi="Times New Roman" w:cs="Times New Roman"/>
          <w:color w:val="000000"/>
          <w:sz w:val="24"/>
          <w:szCs w:val="24"/>
        </w:rPr>
        <w:t xml:space="preserve">Keyword families and example Boolean strings (2015–2025 filter) Use two search layers: (a) broad recall, (b) precise filterable strings. </w:t>
      </w:r>
    </w:p>
    <w:p w14:paraId="79854716"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researching electric vehicle policy and regulation between 2015 and 2025, it is effective to use a two-layered search strategy consisting of broad recall queries and more precise, filterable Boolean strings. At the broad level, general keyword phrases such as “electric vehicle adoption policy effectiveness,” “ZEV mandate compliance,” and “charging interoperability regulation” can help capture a wide range of relevant literature and reports. These initial searches are useful for identifying key themes, authors, and terminology.</w:t>
      </w:r>
    </w:p>
    <w:p w14:paraId="090506B7" w14:textId="77777777" w:rsidR="006D0435"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To refine results, more structured Boolean search strings can then be applied. For example, one precise query could be: (“electric vehicle” OR “battery electric” OR BEV) AND (subsid* OR “tax credit” OR “purchase incentive” OR feebate) AND (adoption OR uptake OR diffusion) AND (2015:2025). Another useful string is: (“charging infrastructure” OR EVSE) AND (interoperability OR “payment methods” OR “uptime” OR </w:t>
      </w:r>
      <w:r>
        <w:rPr>
          <w:rFonts w:ascii="Times New Roman" w:eastAsia="Times New Roman" w:hAnsi="Times New Roman" w:cs="Times New Roman"/>
          <w:sz w:val="24"/>
          <w:szCs w:val="24"/>
        </w:rPr>
        <w:lastRenderedPageBreak/>
        <w:t>standards) AND (regulation OR “minimum requirements”) AND (2015:2025). A third example focuses on regulatory compliance: (mandate OR “emissions standard” OR “CO2 standard”) AND (fleet-wide OR “zero emission”) AND (compliance OR enforcement) AND (2015:2025). Together, these layered approaches improve both the breadth and precision of search results.</w:t>
      </w:r>
    </w:p>
    <w:p w14:paraId="20DF475D" w14:textId="77777777" w:rsidR="006D0435" w:rsidRDefault="00000000">
      <w:pPr>
        <w:numPr>
          <w:ilvl w:val="0"/>
          <w:numId w:val="4"/>
        </w:numPr>
        <w:spacing w:after="13" w:line="360" w:lineRule="auto"/>
      </w:pPr>
      <w:r>
        <w:rPr>
          <w:rFonts w:ascii="Times New Roman" w:eastAsia="Times New Roman" w:hAnsi="Times New Roman" w:cs="Times New Roman"/>
          <w:color w:val="000000"/>
          <w:sz w:val="24"/>
          <w:szCs w:val="24"/>
        </w:rPr>
        <w:t xml:space="preserve">Screening workflow (PRISMA-compatible) </w:t>
      </w:r>
    </w:p>
    <w:p w14:paraId="30C18D0F" w14:textId="77777777" w:rsidR="006D0435" w:rsidRDefault="00000000">
      <w:pPr>
        <w:spacing w:after="257"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Study selection followed a PRISMA-compatible screening workflow. Titles and abstracts were first analyzed with predefined inclusion criteria with full-text evaluation of potentially connected sources. When potential adoption outcomes were absent and focused solely on commentary, or fell outside the defined time boundary unless they are considered foundational policy references, studies were eliminated. This approach helped to create </w:t>
      </w:r>
      <w:proofErr w:type="gramStart"/>
      <w:r>
        <w:rPr>
          <w:rFonts w:ascii="Times New Roman" w:eastAsia="Times New Roman" w:hAnsi="Times New Roman" w:cs="Times New Roman"/>
          <w:color w:val="000000"/>
          <w:sz w:val="24"/>
          <w:szCs w:val="24"/>
        </w:rPr>
        <w:t>a  transparent</w:t>
      </w:r>
      <w:proofErr w:type="gramEnd"/>
      <w:r>
        <w:rPr>
          <w:rFonts w:ascii="Times New Roman" w:eastAsia="Times New Roman" w:hAnsi="Times New Roman" w:cs="Times New Roman"/>
          <w:color w:val="000000"/>
          <w:sz w:val="24"/>
          <w:szCs w:val="24"/>
        </w:rPr>
        <w:t xml:space="preserve"> and methodical leniency throughout the reviewing process. </w:t>
      </w:r>
      <w:hyperlink r:id="rId271">
        <w:r>
          <w:rPr>
            <w:rFonts w:ascii="Times New Roman" w:eastAsia="Times New Roman" w:hAnsi="Times New Roman" w:cs="Times New Roman"/>
            <w:sz w:val="24"/>
            <w:szCs w:val="24"/>
          </w:rPr>
          <w:t>[163]</w:t>
        </w:r>
      </w:hyperlink>
      <w:r>
        <w:rPr>
          <w:rFonts w:ascii="Times New Roman" w:eastAsia="Times New Roman" w:hAnsi="Times New Roman" w:cs="Times New Roman"/>
          <w:color w:val="000000"/>
          <w:sz w:val="24"/>
          <w:szCs w:val="24"/>
        </w:rPr>
        <w:t xml:space="preserve"> </w:t>
      </w:r>
    </w:p>
    <w:p w14:paraId="0C4D3CDD" w14:textId="77777777" w:rsidR="006D0435" w:rsidRDefault="00000000">
      <w:pPr>
        <w:pStyle w:val="Heading2"/>
        <w:spacing w:line="360" w:lineRule="auto"/>
        <w:ind w:left="8"/>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9.2.2 </w:t>
      </w:r>
      <w:r>
        <w:rPr>
          <w:rFonts w:ascii="Times New Roman" w:eastAsia="Times New Roman" w:hAnsi="Times New Roman" w:cs="Times New Roman"/>
          <w:color w:val="000000"/>
          <w:sz w:val="24"/>
          <w:szCs w:val="24"/>
        </w:rPr>
        <w:t xml:space="preserve">Inclusion/exclusion criteria </w:t>
      </w:r>
    </w:p>
    <w:p w14:paraId="0A24978C" w14:textId="77777777" w:rsidR="006D0435" w:rsidRDefault="00000000">
      <w:pPr>
        <w:spacing w:after="0"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Inclusion (preferred): - Empirical evaluations (</w:t>
      </w:r>
      <w:proofErr w:type="spellStart"/>
      <w:r>
        <w:rPr>
          <w:rFonts w:ascii="Times New Roman" w:eastAsia="Times New Roman" w:hAnsi="Times New Roman" w:cs="Times New Roman"/>
          <w:color w:val="000000"/>
          <w:sz w:val="24"/>
          <w:szCs w:val="24"/>
        </w:rPr>
        <w:t>DiD</w:t>
      </w:r>
      <w:proofErr w:type="spellEnd"/>
      <w:r>
        <w:rPr>
          <w:rFonts w:ascii="Times New Roman" w:eastAsia="Times New Roman" w:hAnsi="Times New Roman" w:cs="Times New Roman"/>
          <w:color w:val="000000"/>
          <w:sz w:val="24"/>
          <w:szCs w:val="24"/>
        </w:rPr>
        <w:t xml:space="preserve">, panel models, IV strategies, quasi-experiments) linking policy instruments to adoption outcomes. </w:t>
      </w:r>
      <w:hyperlink r:id="rId272">
        <w:r>
          <w:rPr>
            <w:rFonts w:ascii="Times New Roman" w:eastAsia="Times New Roman" w:hAnsi="Times New Roman" w:cs="Times New Roman"/>
            <w:sz w:val="24"/>
            <w:szCs w:val="24"/>
          </w:rPr>
          <w:t>[169]</w:t>
        </w:r>
      </w:hyperlink>
      <w:r>
        <w:rPr>
          <w:rFonts w:ascii="Times New Roman" w:eastAsia="Times New Roman" w:hAnsi="Times New Roman" w:cs="Times New Roman"/>
          <w:color w:val="000000"/>
          <w:sz w:val="24"/>
          <w:szCs w:val="24"/>
        </w:rPr>
        <w:t xml:space="preserve"> </w:t>
      </w:r>
    </w:p>
    <w:p w14:paraId="38D67E3F" w14:textId="77777777" w:rsidR="006D0435" w:rsidRDefault="00000000">
      <w:pPr>
        <w:numPr>
          <w:ilvl w:val="0"/>
          <w:numId w:val="5"/>
        </w:numPr>
        <w:spacing w:after="29" w:line="360" w:lineRule="auto"/>
        <w:ind w:left="156" w:hanging="147"/>
      </w:pPr>
      <w:r>
        <w:rPr>
          <w:rFonts w:ascii="Times New Roman" w:eastAsia="Times New Roman" w:hAnsi="Times New Roman" w:cs="Times New Roman"/>
          <w:color w:val="000000"/>
          <w:sz w:val="24"/>
          <w:szCs w:val="24"/>
        </w:rPr>
        <w:t xml:space="preserve">Systematic reviews/meta-reviews of EV policy effectiveness. </w:t>
      </w:r>
      <w:hyperlink r:id="rId273">
        <w:r>
          <w:rPr>
            <w:rFonts w:ascii="Times New Roman" w:eastAsia="Times New Roman" w:hAnsi="Times New Roman" w:cs="Times New Roman"/>
            <w:sz w:val="24"/>
            <w:szCs w:val="24"/>
          </w:rPr>
          <w:t>[163]</w:t>
        </w:r>
      </w:hyperlink>
      <w:r>
        <w:rPr>
          <w:rFonts w:ascii="Times New Roman" w:eastAsia="Times New Roman" w:hAnsi="Times New Roman" w:cs="Times New Roman"/>
          <w:color w:val="000000"/>
          <w:sz w:val="24"/>
          <w:szCs w:val="24"/>
        </w:rPr>
        <w:t xml:space="preserve"> </w:t>
      </w:r>
    </w:p>
    <w:p w14:paraId="17B60D0F" w14:textId="77777777" w:rsidR="006D0435" w:rsidRDefault="00000000">
      <w:pPr>
        <w:numPr>
          <w:ilvl w:val="0"/>
          <w:numId w:val="5"/>
        </w:numPr>
        <w:spacing w:after="8" w:line="360" w:lineRule="auto"/>
        <w:ind w:left="156" w:hanging="147"/>
      </w:pPr>
      <w:r>
        <w:rPr>
          <w:rFonts w:ascii="Times New Roman" w:eastAsia="Times New Roman" w:hAnsi="Times New Roman" w:cs="Times New Roman"/>
          <w:color w:val="000000"/>
          <w:sz w:val="24"/>
          <w:szCs w:val="24"/>
        </w:rPr>
        <w:t xml:space="preserve">Primary legal/regulatory texts and official agency summaries (EU CO₂ rules; AFIR; US </w:t>
      </w:r>
    </w:p>
    <w:p w14:paraId="3E1FA794" w14:textId="77777777" w:rsidR="006D0435" w:rsidRDefault="00000000">
      <w:pPr>
        <w:spacing w:after="8"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IRS and Federal Register regulations; national schemes like India’s FAME II). </w:t>
      </w:r>
      <w:hyperlink r:id="rId274">
        <w:r>
          <w:rPr>
            <w:rFonts w:ascii="Times New Roman" w:eastAsia="Times New Roman" w:hAnsi="Times New Roman" w:cs="Times New Roman"/>
            <w:sz w:val="24"/>
            <w:szCs w:val="24"/>
          </w:rPr>
          <w:t>[164]</w:t>
        </w:r>
      </w:hyperlink>
      <w:r>
        <w:rPr>
          <w:rFonts w:ascii="Times New Roman" w:eastAsia="Times New Roman" w:hAnsi="Times New Roman" w:cs="Times New Roman"/>
          <w:color w:val="000000"/>
          <w:sz w:val="24"/>
          <w:szCs w:val="24"/>
        </w:rPr>
        <w:t xml:space="preserve"> </w:t>
      </w:r>
    </w:p>
    <w:p w14:paraId="5F6CBC45" w14:textId="77777777" w:rsidR="006D0435" w:rsidRDefault="00000000">
      <w:pPr>
        <w:numPr>
          <w:ilvl w:val="0"/>
          <w:numId w:val="5"/>
        </w:numPr>
        <w:spacing w:after="176" w:line="360" w:lineRule="auto"/>
        <w:ind w:left="156" w:hanging="147"/>
      </w:pPr>
      <w:r>
        <w:rPr>
          <w:rFonts w:ascii="Times New Roman" w:eastAsia="Times New Roman" w:hAnsi="Times New Roman" w:cs="Times New Roman"/>
          <w:color w:val="000000"/>
          <w:sz w:val="24"/>
          <w:szCs w:val="24"/>
        </w:rPr>
        <w:t xml:space="preserve">Institution based reports with clear dataset (IEA Global EV Outlook 2024/2025). </w:t>
      </w:r>
      <w:hyperlink r:id="rId275">
        <w:r>
          <w:rPr>
            <w:rFonts w:ascii="Times New Roman" w:eastAsia="Times New Roman" w:hAnsi="Times New Roman" w:cs="Times New Roman"/>
            <w:sz w:val="24"/>
            <w:szCs w:val="24"/>
          </w:rPr>
          <w:t>[168]</w:t>
        </w:r>
      </w:hyperlink>
      <w:r>
        <w:rPr>
          <w:rFonts w:ascii="Times New Roman" w:eastAsia="Times New Roman" w:hAnsi="Times New Roman" w:cs="Times New Roman"/>
          <w:color w:val="000000"/>
          <w:sz w:val="24"/>
          <w:szCs w:val="24"/>
        </w:rPr>
        <w:t xml:space="preserve"> </w:t>
      </w:r>
    </w:p>
    <w:p w14:paraId="697F854C" w14:textId="77777777" w:rsidR="006D0435" w:rsidRDefault="00000000">
      <w:pPr>
        <w:spacing w:after="0"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Exclusion: - Non-English sources when an English primary/official equivalent exists (unless the policy has no English text). </w:t>
      </w:r>
    </w:p>
    <w:p w14:paraId="5C299378" w14:textId="77777777" w:rsidR="006D0435" w:rsidRDefault="00000000">
      <w:pPr>
        <w:numPr>
          <w:ilvl w:val="0"/>
          <w:numId w:val="5"/>
        </w:numPr>
        <w:spacing w:after="8" w:line="360" w:lineRule="auto"/>
        <w:ind w:left="156" w:hanging="147"/>
      </w:pPr>
      <w:r>
        <w:rPr>
          <w:rFonts w:ascii="Times New Roman" w:eastAsia="Times New Roman" w:hAnsi="Times New Roman" w:cs="Times New Roman"/>
          <w:color w:val="000000"/>
          <w:sz w:val="24"/>
          <w:szCs w:val="24"/>
        </w:rPr>
        <w:t xml:space="preserve">Purely technical battery papers without policy/regulatory linkage. </w:t>
      </w:r>
    </w:p>
    <w:p w14:paraId="420B3AC9" w14:textId="77777777" w:rsidR="006D0435" w:rsidRDefault="00000000">
      <w:pPr>
        <w:numPr>
          <w:ilvl w:val="0"/>
          <w:numId w:val="5"/>
        </w:numPr>
        <w:spacing w:after="0" w:line="360" w:lineRule="auto"/>
        <w:ind w:left="156" w:hanging="147"/>
      </w:pPr>
      <w:r>
        <w:rPr>
          <w:rFonts w:ascii="Times New Roman" w:eastAsia="Times New Roman" w:hAnsi="Times New Roman" w:cs="Times New Roman"/>
          <w:color w:val="000000"/>
          <w:sz w:val="24"/>
          <w:szCs w:val="24"/>
        </w:rPr>
        <w:t xml:space="preserve">Studies lacking enough methodological detail to assess causal claims. Data sources for quantitative and qualitative collection </w:t>
      </w:r>
    </w:p>
    <w:p w14:paraId="43DB02D7"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a comprehensive analysis of electric vehicle policies, both quantitative and qualitative data sources should be incorporated. On the quantitative side, datasets such as the IEA EV Data and Policy tools and the Global EV Outlook databases provide valuable statistical information on vehicle sales, fleet stock, charging infrastructure, and future projections. Additionally, official market and vehicle registration datasets, such as those published by the European Automobile Manufacturers’ Association (ACEA), offer region-specific insights into EV adoption trends. Administrative sources are also important, particularly for understanding policy compliance; for instance, reporting requirements outlined in frameworks like the NEVI program in the Federal Register provide structured data on implementation and enforcement.</w:t>
      </w:r>
    </w:p>
    <w:p w14:paraId="4408D96F"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On the qualitative side, legal and regulatory texts play a central role in understanding how policies are formulated and applied in practice. These include formal regulations such as European Union directives, Federal Register rules in the United States, and national policies like the UK’s ZEV mandate law. Supporting documents that explain policy design and implementation—such as guidance issued by institutions like the U.S. Treasury or IRS regarding eligibility for EV tax credits—offer further clarity on how these policies function. Finally, stakeholder-based evidence, including parliamentary inquiries, regulatory consultations, and audit office reports, provides practical insights into real-world challenges, effectiveness, and responses to EV policy measures.</w:t>
      </w:r>
    </w:p>
    <w:p w14:paraId="228A3D4F" w14:textId="77777777" w:rsidR="006D0435" w:rsidRDefault="00000000">
      <w:pPr>
        <w:pStyle w:val="Heading2"/>
        <w:spacing w:line="360" w:lineRule="auto"/>
        <w:ind w:left="8"/>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9.2.3 </w:t>
      </w:r>
      <w:r>
        <w:rPr>
          <w:rFonts w:ascii="Times New Roman" w:eastAsia="Times New Roman" w:hAnsi="Times New Roman" w:cs="Times New Roman"/>
          <w:color w:val="000000"/>
          <w:sz w:val="24"/>
          <w:szCs w:val="24"/>
        </w:rPr>
        <w:t xml:space="preserve">Key attributes to evaluate policy instruments </w:t>
      </w:r>
    </w:p>
    <w:p w14:paraId="2C5ECC34" w14:textId="77777777" w:rsidR="006D0435" w:rsidRDefault="00000000">
      <w:pPr>
        <w:spacing w:after="8"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table below provides an explicit evaluation framework suitable for coding, scoring, and cross-case comparison. </w:t>
      </w:r>
    </w:p>
    <w:tbl>
      <w:tblPr>
        <w:tblStyle w:val="af1"/>
        <w:tblW w:w="9405" w:type="dxa"/>
        <w:tblInd w:w="733" w:type="dxa"/>
        <w:tblLayout w:type="fixed"/>
        <w:tblLook w:val="0400" w:firstRow="0" w:lastRow="0" w:firstColumn="0" w:lastColumn="0" w:noHBand="0" w:noVBand="1"/>
      </w:tblPr>
      <w:tblGrid>
        <w:gridCol w:w="2160"/>
        <w:gridCol w:w="3420"/>
        <w:gridCol w:w="3825"/>
      </w:tblGrid>
      <w:tr w:rsidR="006D0435" w14:paraId="4DB4AEAE" w14:textId="77777777">
        <w:trPr>
          <w:trHeight w:val="680"/>
        </w:trPr>
        <w:tc>
          <w:tcPr>
            <w:tcW w:w="2160" w:type="dxa"/>
            <w:tcBorders>
              <w:top w:val="single" w:sz="8" w:space="0" w:color="000000"/>
              <w:bottom w:val="single" w:sz="8" w:space="0" w:color="000000"/>
            </w:tcBorders>
            <w:vAlign w:val="center"/>
          </w:tcPr>
          <w:p w14:paraId="4BCCABD3" w14:textId="77777777" w:rsidR="006D0435" w:rsidRDefault="00000000">
            <w:pPr>
              <w:spacing w:line="360" w:lineRule="auto"/>
              <w:ind w:right="29"/>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Dimension </w:t>
            </w:r>
          </w:p>
        </w:tc>
        <w:tc>
          <w:tcPr>
            <w:tcW w:w="3420" w:type="dxa"/>
            <w:tcBorders>
              <w:top w:val="single" w:sz="8" w:space="0" w:color="000000"/>
              <w:bottom w:val="single" w:sz="8" w:space="0" w:color="000000"/>
            </w:tcBorders>
            <w:vAlign w:val="center"/>
          </w:tcPr>
          <w:p w14:paraId="05E89BB1" w14:textId="77777777" w:rsidR="006D0435" w:rsidRDefault="00000000">
            <w:pPr>
              <w:spacing w:line="360" w:lineRule="auto"/>
              <w:ind w:right="29"/>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What to code </w:t>
            </w:r>
          </w:p>
        </w:tc>
        <w:tc>
          <w:tcPr>
            <w:tcW w:w="3825" w:type="dxa"/>
            <w:tcBorders>
              <w:top w:val="single" w:sz="8" w:space="0" w:color="000000"/>
              <w:bottom w:val="single" w:sz="8" w:space="0" w:color="000000"/>
            </w:tcBorders>
          </w:tcPr>
          <w:p w14:paraId="47A98734"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Why it matters for adoption outcomes </w:t>
            </w:r>
          </w:p>
        </w:tc>
      </w:tr>
      <w:tr w:rsidR="006D0435" w14:paraId="02D45300" w14:textId="77777777">
        <w:trPr>
          <w:trHeight w:val="1260"/>
        </w:trPr>
        <w:tc>
          <w:tcPr>
            <w:tcW w:w="2160" w:type="dxa"/>
            <w:tcBorders>
              <w:top w:val="single" w:sz="8" w:space="0" w:color="000000"/>
              <w:bottom w:val="single" w:sz="8" w:space="0" w:color="000000"/>
            </w:tcBorders>
            <w:vAlign w:val="center"/>
          </w:tcPr>
          <w:p w14:paraId="279E2C6B" w14:textId="77777777" w:rsidR="006D0435" w:rsidRDefault="00000000">
            <w:pPr>
              <w:spacing w:line="360" w:lineRule="auto"/>
              <w:ind w:right="29"/>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Instrument type </w:t>
            </w:r>
          </w:p>
        </w:tc>
        <w:tc>
          <w:tcPr>
            <w:tcW w:w="3420" w:type="dxa"/>
            <w:tcBorders>
              <w:top w:val="single" w:sz="8" w:space="0" w:color="000000"/>
              <w:bottom w:val="single" w:sz="8" w:space="0" w:color="000000"/>
            </w:tcBorders>
          </w:tcPr>
          <w:p w14:paraId="7A1ACB3A"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Mandate/standard; subsidy/tax credit; </w:t>
            </w:r>
          </w:p>
          <w:p w14:paraId="70F35F69"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feebate; infrastructure obligation; </w:t>
            </w:r>
          </w:p>
        </w:tc>
        <w:tc>
          <w:tcPr>
            <w:tcW w:w="3825" w:type="dxa"/>
            <w:tcBorders>
              <w:top w:val="single" w:sz="8" w:space="0" w:color="000000"/>
              <w:bottom w:val="single" w:sz="8" w:space="0" w:color="000000"/>
            </w:tcBorders>
          </w:tcPr>
          <w:p w14:paraId="43A03C5A"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Determines depth of market signal and </w:t>
            </w:r>
          </w:p>
          <w:p w14:paraId="75381040"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durability (regulatory vs fiscal). </w:t>
            </w:r>
            <w:hyperlink r:id="rId276">
              <w:r>
                <w:rPr>
                  <w:rFonts w:ascii="Times New Roman" w:eastAsia="Times New Roman" w:hAnsi="Times New Roman" w:cs="Times New Roman"/>
                  <w:sz w:val="16"/>
                  <w:szCs w:val="16"/>
                </w:rPr>
                <w:t>[163]</w:t>
              </w:r>
            </w:hyperlink>
            <w:r>
              <w:rPr>
                <w:rFonts w:ascii="Times New Roman" w:eastAsia="Times New Roman" w:hAnsi="Times New Roman" w:cs="Times New Roman"/>
                <w:color w:val="000000"/>
                <w:sz w:val="16"/>
                <w:szCs w:val="16"/>
              </w:rPr>
              <w:t xml:space="preserve"> </w:t>
            </w:r>
          </w:p>
        </w:tc>
      </w:tr>
    </w:tbl>
    <w:p w14:paraId="2680E245" w14:textId="77777777" w:rsidR="006D0435" w:rsidRDefault="006D0435">
      <w:pPr>
        <w:spacing w:after="0" w:line="360" w:lineRule="auto"/>
        <w:ind w:left="-1427" w:right="712"/>
        <w:rPr>
          <w:rFonts w:ascii="Times New Roman" w:eastAsia="Times New Roman" w:hAnsi="Times New Roman" w:cs="Times New Roman"/>
          <w:color w:val="000000"/>
          <w:sz w:val="16"/>
          <w:szCs w:val="16"/>
        </w:rPr>
      </w:pPr>
    </w:p>
    <w:tbl>
      <w:tblPr>
        <w:tblStyle w:val="af2"/>
        <w:tblW w:w="9420" w:type="dxa"/>
        <w:tblInd w:w="733" w:type="dxa"/>
        <w:tblLayout w:type="fixed"/>
        <w:tblLook w:val="0400" w:firstRow="0" w:lastRow="0" w:firstColumn="0" w:lastColumn="0" w:noHBand="0" w:noVBand="1"/>
      </w:tblPr>
      <w:tblGrid>
        <w:gridCol w:w="2055"/>
        <w:gridCol w:w="3225"/>
        <w:gridCol w:w="4140"/>
      </w:tblGrid>
      <w:tr w:rsidR="006D0435" w14:paraId="53763D1C" w14:textId="77777777">
        <w:trPr>
          <w:trHeight w:val="680"/>
        </w:trPr>
        <w:tc>
          <w:tcPr>
            <w:tcW w:w="2055" w:type="dxa"/>
            <w:tcBorders>
              <w:top w:val="single" w:sz="8" w:space="0" w:color="000000"/>
              <w:bottom w:val="single" w:sz="8" w:space="0" w:color="000000"/>
            </w:tcBorders>
            <w:vAlign w:val="center"/>
          </w:tcPr>
          <w:p w14:paraId="39753E8C" w14:textId="77777777" w:rsidR="006D0435" w:rsidRDefault="00000000">
            <w:pPr>
              <w:spacing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Dimension </w:t>
            </w:r>
          </w:p>
        </w:tc>
        <w:tc>
          <w:tcPr>
            <w:tcW w:w="3225" w:type="dxa"/>
            <w:tcBorders>
              <w:top w:val="single" w:sz="8" w:space="0" w:color="000000"/>
              <w:bottom w:val="single" w:sz="8" w:space="0" w:color="000000"/>
            </w:tcBorders>
            <w:vAlign w:val="center"/>
          </w:tcPr>
          <w:p w14:paraId="61ED444B" w14:textId="77777777" w:rsidR="006D0435" w:rsidRDefault="00000000">
            <w:pPr>
              <w:spacing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What to code </w:t>
            </w:r>
          </w:p>
        </w:tc>
        <w:tc>
          <w:tcPr>
            <w:tcW w:w="4140" w:type="dxa"/>
            <w:tcBorders>
              <w:top w:val="single" w:sz="8" w:space="0" w:color="000000"/>
              <w:bottom w:val="single" w:sz="8" w:space="0" w:color="000000"/>
            </w:tcBorders>
          </w:tcPr>
          <w:p w14:paraId="6661DD5E"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Why it matters for adoption outcomes </w:t>
            </w:r>
          </w:p>
        </w:tc>
      </w:tr>
      <w:tr w:rsidR="006D0435" w14:paraId="09927174" w14:textId="77777777">
        <w:trPr>
          <w:trHeight w:val="705"/>
        </w:trPr>
        <w:tc>
          <w:tcPr>
            <w:tcW w:w="2055" w:type="dxa"/>
            <w:tcBorders>
              <w:top w:val="single" w:sz="8" w:space="0" w:color="000000"/>
            </w:tcBorders>
          </w:tcPr>
          <w:p w14:paraId="7A132C77" w14:textId="77777777" w:rsidR="006D0435" w:rsidRDefault="006D0435">
            <w:pPr>
              <w:spacing w:after="160" w:line="360" w:lineRule="auto"/>
              <w:rPr>
                <w:rFonts w:ascii="Times New Roman" w:eastAsia="Times New Roman" w:hAnsi="Times New Roman" w:cs="Times New Roman"/>
                <w:color w:val="000000"/>
                <w:sz w:val="16"/>
                <w:szCs w:val="16"/>
              </w:rPr>
            </w:pPr>
          </w:p>
        </w:tc>
        <w:tc>
          <w:tcPr>
            <w:tcW w:w="3225" w:type="dxa"/>
            <w:tcBorders>
              <w:top w:val="single" w:sz="8" w:space="0" w:color="000000"/>
            </w:tcBorders>
          </w:tcPr>
          <w:p w14:paraId="4C9DD481" w14:textId="77777777" w:rsidR="006D0435" w:rsidRDefault="00000000">
            <w:pPr>
              <w:spacing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procurement; </w:t>
            </w:r>
          </w:p>
          <w:p w14:paraId="5DEE3BB1" w14:textId="77777777" w:rsidR="006D0435" w:rsidRDefault="00000000">
            <w:pPr>
              <w:spacing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zoning/LEZ; </w:t>
            </w:r>
          </w:p>
          <w:p w14:paraId="1774E58C" w14:textId="77777777" w:rsidR="006D0435" w:rsidRDefault="00000000">
            <w:pPr>
              <w:spacing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information/labeling </w:t>
            </w:r>
          </w:p>
        </w:tc>
        <w:tc>
          <w:tcPr>
            <w:tcW w:w="4140" w:type="dxa"/>
            <w:tcBorders>
              <w:top w:val="single" w:sz="8" w:space="0" w:color="000000"/>
            </w:tcBorders>
          </w:tcPr>
          <w:p w14:paraId="7A96E314" w14:textId="77777777" w:rsidR="006D0435" w:rsidRDefault="006D0435">
            <w:pPr>
              <w:spacing w:after="160" w:line="360" w:lineRule="auto"/>
              <w:rPr>
                <w:rFonts w:ascii="Times New Roman" w:eastAsia="Times New Roman" w:hAnsi="Times New Roman" w:cs="Times New Roman"/>
                <w:color w:val="000000"/>
                <w:sz w:val="16"/>
                <w:szCs w:val="16"/>
              </w:rPr>
            </w:pPr>
          </w:p>
        </w:tc>
      </w:tr>
      <w:tr w:rsidR="006D0435" w14:paraId="4CCACB54" w14:textId="77777777">
        <w:trPr>
          <w:trHeight w:val="600"/>
        </w:trPr>
        <w:tc>
          <w:tcPr>
            <w:tcW w:w="2055" w:type="dxa"/>
            <w:vAlign w:val="center"/>
          </w:tcPr>
          <w:p w14:paraId="521713EE" w14:textId="77777777" w:rsidR="006D0435" w:rsidRDefault="00000000">
            <w:pPr>
              <w:spacing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Target segment </w:t>
            </w:r>
          </w:p>
        </w:tc>
        <w:tc>
          <w:tcPr>
            <w:tcW w:w="3225" w:type="dxa"/>
            <w:vAlign w:val="center"/>
          </w:tcPr>
          <w:p w14:paraId="5A64726B" w14:textId="77777777" w:rsidR="006D0435" w:rsidRDefault="00000000">
            <w:pPr>
              <w:spacing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LDV, vans, buses, </w:t>
            </w:r>
          </w:p>
          <w:p w14:paraId="5A864E5B"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2/3-wheelers, charging, manufacturing </w:t>
            </w:r>
          </w:p>
        </w:tc>
        <w:tc>
          <w:tcPr>
            <w:tcW w:w="4140" w:type="dxa"/>
          </w:tcPr>
          <w:p w14:paraId="6D78F0F1" w14:textId="77777777" w:rsidR="006D0435" w:rsidRDefault="00000000">
            <w:pPr>
              <w:spacing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Adoption and </w:t>
            </w:r>
          </w:p>
          <w:p w14:paraId="53C03F5E" w14:textId="77777777" w:rsidR="006D0435" w:rsidRDefault="00000000">
            <w:pPr>
              <w:spacing w:after="20"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elasticities differ by </w:t>
            </w:r>
          </w:p>
          <w:p w14:paraId="114BCFB2" w14:textId="77777777" w:rsidR="006D0435" w:rsidRDefault="00000000">
            <w:pPr>
              <w:spacing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segment (e.g., e‑2W </w:t>
            </w:r>
          </w:p>
          <w:p w14:paraId="246B8B46"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vs passenger cars). </w:t>
            </w:r>
            <w:hyperlink r:id="rId277">
              <w:r>
                <w:rPr>
                  <w:rFonts w:ascii="Times New Roman" w:eastAsia="Times New Roman" w:hAnsi="Times New Roman" w:cs="Times New Roman"/>
                  <w:sz w:val="16"/>
                  <w:szCs w:val="16"/>
                </w:rPr>
                <w:t>[171]</w:t>
              </w:r>
            </w:hyperlink>
            <w:r>
              <w:rPr>
                <w:rFonts w:ascii="Times New Roman" w:eastAsia="Times New Roman" w:hAnsi="Times New Roman" w:cs="Times New Roman"/>
                <w:color w:val="000000"/>
                <w:sz w:val="16"/>
                <w:szCs w:val="16"/>
              </w:rPr>
              <w:t xml:space="preserve"> </w:t>
            </w:r>
          </w:p>
        </w:tc>
      </w:tr>
      <w:tr w:rsidR="006D0435" w14:paraId="15BD6E70" w14:textId="77777777">
        <w:trPr>
          <w:trHeight w:val="570"/>
        </w:trPr>
        <w:tc>
          <w:tcPr>
            <w:tcW w:w="2055" w:type="dxa"/>
            <w:vAlign w:val="center"/>
          </w:tcPr>
          <w:p w14:paraId="1AE7399F" w14:textId="77777777" w:rsidR="006D0435" w:rsidRDefault="00000000">
            <w:pPr>
              <w:spacing w:line="360" w:lineRule="auto"/>
              <w:ind w:left="6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Magnitude &amp; duration </w:t>
            </w:r>
          </w:p>
        </w:tc>
        <w:tc>
          <w:tcPr>
            <w:tcW w:w="3225" w:type="dxa"/>
            <w:vAlign w:val="center"/>
          </w:tcPr>
          <w:p w14:paraId="339A5604" w14:textId="77777777" w:rsidR="006D0435" w:rsidRDefault="00000000">
            <w:pPr>
              <w:spacing w:line="360" w:lineRule="auto"/>
              <w:ind w:left="8" w:hanging="8"/>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Incentive amount; % mandate trajectory; timeline (start/end); phase-down rules </w:t>
            </w:r>
          </w:p>
        </w:tc>
        <w:tc>
          <w:tcPr>
            <w:tcW w:w="4140" w:type="dxa"/>
          </w:tcPr>
          <w:p w14:paraId="42E29558"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Short “stop–start” incentives can </w:t>
            </w:r>
          </w:p>
          <w:p w14:paraId="09882C29" w14:textId="77777777" w:rsidR="006D0435" w:rsidRDefault="00000000">
            <w:pPr>
              <w:spacing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destabilize demand; </w:t>
            </w:r>
          </w:p>
          <w:p w14:paraId="4812D68B"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mandates depend on clear timelines. </w:t>
            </w:r>
            <w:hyperlink r:id="rId278">
              <w:r>
                <w:rPr>
                  <w:rFonts w:ascii="Times New Roman" w:eastAsia="Times New Roman" w:hAnsi="Times New Roman" w:cs="Times New Roman"/>
                  <w:sz w:val="16"/>
                  <w:szCs w:val="16"/>
                </w:rPr>
                <w:t>[169]</w:t>
              </w:r>
            </w:hyperlink>
            <w:r>
              <w:rPr>
                <w:rFonts w:ascii="Times New Roman" w:eastAsia="Times New Roman" w:hAnsi="Times New Roman" w:cs="Times New Roman"/>
                <w:color w:val="000000"/>
                <w:sz w:val="16"/>
                <w:szCs w:val="16"/>
              </w:rPr>
              <w:t xml:space="preserve"> </w:t>
            </w:r>
          </w:p>
        </w:tc>
      </w:tr>
      <w:tr w:rsidR="006D0435" w14:paraId="2BE5EE59" w14:textId="77777777">
        <w:trPr>
          <w:trHeight w:val="375"/>
        </w:trPr>
        <w:tc>
          <w:tcPr>
            <w:tcW w:w="2055" w:type="dxa"/>
            <w:vAlign w:val="center"/>
          </w:tcPr>
          <w:p w14:paraId="1F426D4C"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Fiscal cost &amp; sustainability </w:t>
            </w:r>
          </w:p>
        </w:tc>
        <w:tc>
          <w:tcPr>
            <w:tcW w:w="3225" w:type="dxa"/>
          </w:tcPr>
          <w:p w14:paraId="5267AF56"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Budget outlays; tax expenditure; foregone </w:t>
            </w:r>
          </w:p>
          <w:p w14:paraId="6EBE4EF4" w14:textId="77777777" w:rsidR="006D0435" w:rsidRDefault="00000000">
            <w:pPr>
              <w:spacing w:line="360" w:lineRule="auto"/>
              <w:ind w:left="1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revenue; long-run cost </w:t>
            </w:r>
          </w:p>
          <w:p w14:paraId="15E7E93E" w14:textId="77777777" w:rsidR="006D0435" w:rsidRDefault="00000000">
            <w:pPr>
              <w:spacing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curve </w:t>
            </w:r>
          </w:p>
        </w:tc>
        <w:tc>
          <w:tcPr>
            <w:tcW w:w="4140" w:type="dxa"/>
            <w:vAlign w:val="center"/>
          </w:tcPr>
          <w:p w14:paraId="7CEBBA13"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Determines political feasibility and rollback </w:t>
            </w:r>
          </w:p>
          <w:p w14:paraId="7A4E60D6" w14:textId="77777777" w:rsidR="006D0435" w:rsidRDefault="00000000">
            <w:pPr>
              <w:spacing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risk. </w:t>
            </w:r>
            <w:hyperlink r:id="rId279">
              <w:r>
                <w:rPr>
                  <w:rFonts w:ascii="Times New Roman" w:eastAsia="Times New Roman" w:hAnsi="Times New Roman" w:cs="Times New Roman"/>
                  <w:sz w:val="16"/>
                  <w:szCs w:val="16"/>
                </w:rPr>
                <w:t>[166]</w:t>
              </w:r>
            </w:hyperlink>
            <w:r>
              <w:rPr>
                <w:rFonts w:ascii="Times New Roman" w:eastAsia="Times New Roman" w:hAnsi="Times New Roman" w:cs="Times New Roman"/>
                <w:color w:val="000000"/>
                <w:sz w:val="16"/>
                <w:szCs w:val="16"/>
              </w:rPr>
              <w:t xml:space="preserve"> </w:t>
            </w:r>
          </w:p>
        </w:tc>
      </w:tr>
      <w:tr w:rsidR="006D0435" w14:paraId="36DAF5E8" w14:textId="77777777">
        <w:trPr>
          <w:trHeight w:val="330"/>
        </w:trPr>
        <w:tc>
          <w:tcPr>
            <w:tcW w:w="2055" w:type="dxa"/>
            <w:vAlign w:val="center"/>
          </w:tcPr>
          <w:p w14:paraId="2EF5A8DF"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Adoption impact metrics </w:t>
            </w:r>
          </w:p>
        </w:tc>
        <w:tc>
          <w:tcPr>
            <w:tcW w:w="3225" w:type="dxa"/>
          </w:tcPr>
          <w:p w14:paraId="215C3301"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Sales share; registrations; stock; </w:t>
            </w:r>
          </w:p>
          <w:p w14:paraId="691D657B"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charger-to-EV ratios; equity metrics </w:t>
            </w:r>
          </w:p>
        </w:tc>
        <w:tc>
          <w:tcPr>
            <w:tcW w:w="4140" w:type="dxa"/>
            <w:vAlign w:val="center"/>
          </w:tcPr>
          <w:p w14:paraId="27CB21C3" w14:textId="77777777" w:rsidR="006D0435" w:rsidRDefault="00000000">
            <w:pPr>
              <w:spacing w:line="360" w:lineRule="auto"/>
              <w:ind w:left="14" w:hanging="14"/>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Enables comparable evaluation across jurisdictions. </w:t>
            </w:r>
            <w:hyperlink r:id="rId280">
              <w:r>
                <w:rPr>
                  <w:rFonts w:ascii="Times New Roman" w:eastAsia="Times New Roman" w:hAnsi="Times New Roman" w:cs="Times New Roman"/>
                  <w:sz w:val="16"/>
                  <w:szCs w:val="16"/>
                </w:rPr>
                <w:t>[162]</w:t>
              </w:r>
            </w:hyperlink>
            <w:r>
              <w:rPr>
                <w:rFonts w:ascii="Times New Roman" w:eastAsia="Times New Roman" w:hAnsi="Times New Roman" w:cs="Times New Roman"/>
                <w:color w:val="000000"/>
                <w:sz w:val="16"/>
                <w:szCs w:val="16"/>
              </w:rPr>
              <w:t xml:space="preserve"> </w:t>
            </w:r>
          </w:p>
        </w:tc>
      </w:tr>
      <w:tr w:rsidR="006D0435" w14:paraId="12875947" w14:textId="77777777">
        <w:trPr>
          <w:trHeight w:val="1540"/>
        </w:trPr>
        <w:tc>
          <w:tcPr>
            <w:tcW w:w="2055" w:type="dxa"/>
            <w:vAlign w:val="center"/>
          </w:tcPr>
          <w:p w14:paraId="09188460"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lastRenderedPageBreak/>
              <w:t xml:space="preserve">Infrastructure readiness </w:t>
            </w:r>
          </w:p>
        </w:tc>
        <w:tc>
          <w:tcPr>
            <w:tcW w:w="3225" w:type="dxa"/>
          </w:tcPr>
          <w:p w14:paraId="0C9B081B"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Public charging density/capacity; interoperability; </w:t>
            </w:r>
          </w:p>
          <w:p w14:paraId="3292B440"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uptime; payment access </w:t>
            </w:r>
          </w:p>
        </w:tc>
        <w:tc>
          <w:tcPr>
            <w:tcW w:w="4140" w:type="dxa"/>
            <w:vAlign w:val="center"/>
          </w:tcPr>
          <w:p w14:paraId="4119B6D1"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Infrastructure is a binding constraint in many regions. </w:t>
            </w:r>
            <w:hyperlink r:id="rId281">
              <w:r>
                <w:rPr>
                  <w:rFonts w:ascii="Times New Roman" w:eastAsia="Times New Roman" w:hAnsi="Times New Roman" w:cs="Times New Roman"/>
                  <w:sz w:val="16"/>
                  <w:szCs w:val="16"/>
                </w:rPr>
                <w:t>[174]</w:t>
              </w:r>
            </w:hyperlink>
            <w:r>
              <w:rPr>
                <w:rFonts w:ascii="Times New Roman" w:eastAsia="Times New Roman" w:hAnsi="Times New Roman" w:cs="Times New Roman"/>
                <w:color w:val="000000"/>
                <w:sz w:val="16"/>
                <w:szCs w:val="16"/>
              </w:rPr>
              <w:t xml:space="preserve"> </w:t>
            </w:r>
          </w:p>
        </w:tc>
      </w:tr>
      <w:tr w:rsidR="006D0435" w14:paraId="50AF4917" w14:textId="77777777">
        <w:trPr>
          <w:trHeight w:val="630"/>
        </w:trPr>
        <w:tc>
          <w:tcPr>
            <w:tcW w:w="2055" w:type="dxa"/>
            <w:vAlign w:val="center"/>
          </w:tcPr>
          <w:p w14:paraId="6D78BB1A" w14:textId="77777777" w:rsidR="006D0435" w:rsidRDefault="00000000">
            <w:pPr>
              <w:spacing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Equity &amp; access </w:t>
            </w:r>
          </w:p>
        </w:tc>
        <w:tc>
          <w:tcPr>
            <w:tcW w:w="3225" w:type="dxa"/>
          </w:tcPr>
          <w:p w14:paraId="4BAECB22"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Distribution by income/tenure (renters vs homeowners); urban/rural; affordability </w:t>
            </w:r>
          </w:p>
        </w:tc>
        <w:tc>
          <w:tcPr>
            <w:tcW w:w="4140" w:type="dxa"/>
            <w:vAlign w:val="center"/>
          </w:tcPr>
          <w:p w14:paraId="0BB3A668"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Policies can widen adoption gaps if not </w:t>
            </w:r>
          </w:p>
          <w:p w14:paraId="06038919"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designed for access. </w:t>
            </w:r>
            <w:hyperlink r:id="rId282">
              <w:r>
                <w:rPr>
                  <w:rFonts w:ascii="Times New Roman" w:eastAsia="Times New Roman" w:hAnsi="Times New Roman" w:cs="Times New Roman"/>
                  <w:sz w:val="16"/>
                  <w:szCs w:val="16"/>
                </w:rPr>
                <w:t>[167]</w:t>
              </w:r>
            </w:hyperlink>
            <w:r>
              <w:rPr>
                <w:rFonts w:ascii="Times New Roman" w:eastAsia="Times New Roman" w:hAnsi="Times New Roman" w:cs="Times New Roman"/>
                <w:color w:val="000000"/>
                <w:sz w:val="16"/>
                <w:szCs w:val="16"/>
              </w:rPr>
              <w:t xml:space="preserve"> </w:t>
            </w:r>
          </w:p>
        </w:tc>
      </w:tr>
      <w:tr w:rsidR="006D0435" w14:paraId="1C24D9DA" w14:textId="77777777">
        <w:trPr>
          <w:trHeight w:val="1635"/>
        </w:trPr>
        <w:tc>
          <w:tcPr>
            <w:tcW w:w="2055" w:type="dxa"/>
            <w:tcBorders>
              <w:bottom w:val="single" w:sz="8" w:space="0" w:color="000000"/>
            </w:tcBorders>
            <w:vAlign w:val="center"/>
          </w:tcPr>
          <w:p w14:paraId="6F93DC5B" w14:textId="77777777" w:rsidR="006D0435" w:rsidRDefault="00000000">
            <w:pPr>
              <w:spacing w:after="26"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 </w:t>
            </w:r>
          </w:p>
          <w:p w14:paraId="16798992"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Enforcement &amp; compliance </w:t>
            </w:r>
          </w:p>
        </w:tc>
        <w:tc>
          <w:tcPr>
            <w:tcW w:w="3225" w:type="dxa"/>
            <w:tcBorders>
              <w:bottom w:val="single" w:sz="8" w:space="0" w:color="000000"/>
            </w:tcBorders>
            <w:vAlign w:val="center"/>
          </w:tcPr>
          <w:p w14:paraId="4F9F58EA" w14:textId="77777777" w:rsidR="006D0435" w:rsidRDefault="00000000">
            <w:pPr>
              <w:spacing w:after="26"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 </w:t>
            </w:r>
          </w:p>
          <w:p w14:paraId="2F22EFA9"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Monitoring, penalties, verification (e.g., </w:t>
            </w:r>
          </w:p>
          <w:p w14:paraId="6A50FA63" w14:textId="77777777" w:rsidR="006D0435" w:rsidRDefault="00000000">
            <w:pPr>
              <w:spacing w:line="360" w:lineRule="auto"/>
              <w:ind w:left="5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supply chain eligibility </w:t>
            </w:r>
          </w:p>
          <w:p w14:paraId="3FA2998E" w14:textId="77777777" w:rsidR="006D0435" w:rsidRDefault="00000000">
            <w:pPr>
              <w:spacing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rules) </w:t>
            </w:r>
          </w:p>
        </w:tc>
        <w:tc>
          <w:tcPr>
            <w:tcW w:w="4140" w:type="dxa"/>
            <w:tcBorders>
              <w:bottom w:val="single" w:sz="8" w:space="0" w:color="000000"/>
            </w:tcBorders>
            <w:vAlign w:val="center"/>
          </w:tcPr>
          <w:p w14:paraId="5BE9C483" w14:textId="77777777" w:rsidR="006D0435" w:rsidRDefault="00000000">
            <w:pPr>
              <w:spacing w:after="26"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 </w:t>
            </w:r>
          </w:p>
          <w:p w14:paraId="3224ACF5"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Weak enforcement undermines mandates </w:t>
            </w:r>
          </w:p>
          <w:p w14:paraId="440C04E7"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and credit systems. </w:t>
            </w:r>
            <w:hyperlink r:id="rId283">
              <w:r>
                <w:rPr>
                  <w:rFonts w:ascii="Times New Roman" w:eastAsia="Times New Roman" w:hAnsi="Times New Roman" w:cs="Times New Roman"/>
                  <w:sz w:val="16"/>
                  <w:szCs w:val="16"/>
                </w:rPr>
                <w:t>[173]</w:t>
              </w:r>
            </w:hyperlink>
            <w:r>
              <w:rPr>
                <w:rFonts w:ascii="Times New Roman" w:eastAsia="Times New Roman" w:hAnsi="Times New Roman" w:cs="Times New Roman"/>
                <w:color w:val="000000"/>
                <w:sz w:val="16"/>
                <w:szCs w:val="16"/>
              </w:rPr>
              <w:t xml:space="preserve"> </w:t>
            </w:r>
          </w:p>
        </w:tc>
      </w:tr>
      <w:tr w:rsidR="006D0435" w14:paraId="4E6AC4F7" w14:textId="77777777">
        <w:trPr>
          <w:trHeight w:val="680"/>
        </w:trPr>
        <w:tc>
          <w:tcPr>
            <w:tcW w:w="2055" w:type="dxa"/>
            <w:tcBorders>
              <w:top w:val="single" w:sz="8" w:space="0" w:color="000000"/>
              <w:bottom w:val="single" w:sz="8" w:space="0" w:color="000000"/>
            </w:tcBorders>
            <w:vAlign w:val="center"/>
          </w:tcPr>
          <w:p w14:paraId="4CC6420F"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Dimension </w:t>
            </w:r>
          </w:p>
        </w:tc>
        <w:tc>
          <w:tcPr>
            <w:tcW w:w="3225" w:type="dxa"/>
            <w:tcBorders>
              <w:top w:val="single" w:sz="8" w:space="0" w:color="000000"/>
              <w:bottom w:val="single" w:sz="8" w:space="0" w:color="000000"/>
            </w:tcBorders>
            <w:vAlign w:val="center"/>
          </w:tcPr>
          <w:p w14:paraId="6CE10653"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What to code </w:t>
            </w:r>
          </w:p>
        </w:tc>
        <w:tc>
          <w:tcPr>
            <w:tcW w:w="4140" w:type="dxa"/>
            <w:tcBorders>
              <w:top w:val="single" w:sz="8" w:space="0" w:color="000000"/>
              <w:bottom w:val="single" w:sz="8" w:space="0" w:color="000000"/>
            </w:tcBorders>
          </w:tcPr>
          <w:p w14:paraId="0FBC85EE"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Why it matters for adoption outcomes </w:t>
            </w:r>
          </w:p>
        </w:tc>
      </w:tr>
      <w:tr w:rsidR="006D0435" w14:paraId="396F69BA" w14:textId="77777777">
        <w:trPr>
          <w:trHeight w:val="630"/>
        </w:trPr>
        <w:tc>
          <w:tcPr>
            <w:tcW w:w="2055" w:type="dxa"/>
            <w:tcBorders>
              <w:top w:val="single" w:sz="8" w:space="0" w:color="000000"/>
              <w:bottom w:val="single" w:sz="8" w:space="0" w:color="000000"/>
            </w:tcBorders>
            <w:vAlign w:val="center"/>
          </w:tcPr>
          <w:p w14:paraId="711318D6" w14:textId="77777777" w:rsidR="006D0435" w:rsidRDefault="00000000">
            <w:pPr>
              <w:spacing w:line="360" w:lineRule="auto"/>
              <w:ind w:left="4"/>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Coherence with energy system </w:t>
            </w:r>
          </w:p>
        </w:tc>
        <w:tc>
          <w:tcPr>
            <w:tcW w:w="3225" w:type="dxa"/>
            <w:tcBorders>
              <w:top w:val="single" w:sz="8" w:space="0" w:color="000000"/>
              <w:bottom w:val="single" w:sz="8" w:space="0" w:color="000000"/>
            </w:tcBorders>
            <w:vAlign w:val="center"/>
          </w:tcPr>
          <w:p w14:paraId="04ACB32C"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Grid capacity, low‑GHG electricity, smart charging integration </w:t>
            </w:r>
          </w:p>
        </w:tc>
        <w:tc>
          <w:tcPr>
            <w:tcW w:w="4140" w:type="dxa"/>
            <w:tcBorders>
              <w:top w:val="single" w:sz="8" w:space="0" w:color="000000"/>
              <w:bottom w:val="single" w:sz="8" w:space="0" w:color="000000"/>
            </w:tcBorders>
          </w:tcPr>
          <w:p w14:paraId="706241F9" w14:textId="77777777" w:rsidR="006D0435" w:rsidRDefault="00000000">
            <w:pPr>
              <w:spacing w:line="360" w:lineRule="auto"/>
              <w:ind w:left="1" w:hanging="1"/>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Adoption benefits depend partly on decarbonized electricity and </w:t>
            </w:r>
          </w:p>
          <w:p w14:paraId="0489E6FF"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managed charging. </w:t>
            </w:r>
            <w:hyperlink r:id="rId284">
              <w:r>
                <w:rPr>
                  <w:rFonts w:ascii="Times New Roman" w:eastAsia="Times New Roman" w:hAnsi="Times New Roman" w:cs="Times New Roman"/>
                  <w:sz w:val="16"/>
                  <w:szCs w:val="16"/>
                </w:rPr>
                <w:t>[175]</w:t>
              </w:r>
            </w:hyperlink>
            <w:r>
              <w:rPr>
                <w:rFonts w:ascii="Times New Roman" w:eastAsia="Times New Roman" w:hAnsi="Times New Roman" w:cs="Times New Roman"/>
                <w:color w:val="000000"/>
                <w:sz w:val="16"/>
                <w:szCs w:val="16"/>
              </w:rPr>
              <w:t xml:space="preserve"> </w:t>
            </w:r>
          </w:p>
        </w:tc>
      </w:tr>
    </w:tbl>
    <w:p w14:paraId="0237DB0B" w14:textId="77777777" w:rsidR="006D0435" w:rsidRDefault="00000000">
      <w:pPr>
        <w:pStyle w:val="Heading2"/>
        <w:spacing w:after="141"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9.2.4 </w:t>
      </w:r>
      <w:r>
        <w:rPr>
          <w:rFonts w:ascii="Times New Roman" w:eastAsia="Times New Roman" w:hAnsi="Times New Roman" w:cs="Times New Roman"/>
          <w:color w:val="000000"/>
          <w:sz w:val="24"/>
          <w:szCs w:val="24"/>
        </w:rPr>
        <w:t xml:space="preserve">Analysis techniques </w:t>
      </w:r>
    </w:p>
    <w:p w14:paraId="33DAD9A3" w14:textId="77777777" w:rsidR="006D0435" w:rsidRDefault="00000000">
      <w:pPr>
        <w:spacing w:after="239"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analysis technique utilizes a unique </w:t>
      </w:r>
      <w:proofErr w:type="gramStart"/>
      <w:r>
        <w:rPr>
          <w:rFonts w:ascii="Times New Roman" w:eastAsia="Times New Roman" w:hAnsi="Times New Roman" w:cs="Times New Roman"/>
          <w:color w:val="000000"/>
          <w:sz w:val="24"/>
          <w:szCs w:val="24"/>
        </w:rPr>
        <w:t>comparison based</w:t>
      </w:r>
      <w:proofErr w:type="gramEnd"/>
      <w:r>
        <w:rPr>
          <w:rFonts w:ascii="Times New Roman" w:eastAsia="Times New Roman" w:hAnsi="Times New Roman" w:cs="Times New Roman"/>
          <w:color w:val="000000"/>
          <w:sz w:val="24"/>
          <w:szCs w:val="24"/>
        </w:rPr>
        <w:t xml:space="preserve"> policy framework to divide regulatory instruments and invigilate the correlation between various policy designs and frameworks and EV adoption outputs nationwide. This method lets us study the look at policies which are mixed with coherence by looking at how rules, standards, and infrastructure </w:t>
      </w:r>
      <w:proofErr w:type="gramStart"/>
      <w:r>
        <w:rPr>
          <w:rFonts w:ascii="Times New Roman" w:eastAsia="Times New Roman" w:hAnsi="Times New Roman" w:cs="Times New Roman"/>
          <w:color w:val="000000"/>
          <w:sz w:val="24"/>
          <w:szCs w:val="24"/>
        </w:rPr>
        <w:t>quantifies</w:t>
      </w:r>
      <w:proofErr w:type="gramEnd"/>
      <w:r>
        <w:rPr>
          <w:rFonts w:ascii="Times New Roman" w:eastAsia="Times New Roman" w:hAnsi="Times New Roman" w:cs="Times New Roman"/>
          <w:color w:val="000000"/>
          <w:sz w:val="24"/>
          <w:szCs w:val="24"/>
        </w:rPr>
        <w:t xml:space="preserve"> the work together instead of quantifying separately. </w:t>
      </w:r>
    </w:p>
    <w:p w14:paraId="6DDC153C" w14:textId="77777777" w:rsidR="006D0435" w:rsidRDefault="00000000">
      <w:pPr>
        <w:spacing w:after="239"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Quantitative trend analysis is another sub-technique which is used to look at how the share of EV sales, the number of EVs in a fleet, and the positioning of charging infrastructure have changed over time. These indicators generally help find the possible changes in the adoption patterns around important regulatory targets.  </w:t>
      </w:r>
    </w:p>
    <w:p w14:paraId="2F279988" w14:textId="77777777" w:rsidR="006D0435" w:rsidRDefault="00000000">
      <w:pPr>
        <w:spacing w:after="309"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complement the quantitative assessment, qualitative arrangements of legal and proof-based texts, policy examinations, and regulatory reports are undertaken to identify repeating genres such as interoperability, equity considerations, enforcement mechanisms, trade implications, and data-governance issues. Insights from this thematic analysis are then compared with quantitative adoption parameters to support a balanced wording of policy effectiveness. Reference management follows standard academic practices to maintain consistent APA formatting and accurate DOI documentation. </w:t>
      </w:r>
    </w:p>
    <w:p w14:paraId="1D39BE44" w14:textId="77777777" w:rsidR="006D0435" w:rsidRDefault="00000000">
      <w:pPr>
        <w:pStyle w:val="Heading1"/>
        <w:spacing w:after="119" w:line="360" w:lineRule="auto"/>
        <w:ind w:left="8"/>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9.3 </w:t>
      </w:r>
      <w:r>
        <w:rPr>
          <w:rFonts w:ascii="Times New Roman" w:eastAsia="Times New Roman" w:hAnsi="Times New Roman" w:cs="Times New Roman"/>
          <w:color w:val="000000"/>
          <w:sz w:val="24"/>
          <w:szCs w:val="24"/>
        </w:rPr>
        <w:t xml:space="preserve">Results </w:t>
      </w:r>
    </w:p>
    <w:p w14:paraId="4B44F199" w14:textId="77777777" w:rsidR="006D0435" w:rsidRDefault="00000000">
      <w:pPr>
        <w:spacing w:after="239"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Peer-reviewed research conveys the message that the effects of EV policies differ significantly nationwide and within phases of market development. The shelf life of these policies </w:t>
      </w:r>
      <w:proofErr w:type="gramStart"/>
      <w:r>
        <w:rPr>
          <w:rFonts w:ascii="Times New Roman" w:eastAsia="Times New Roman" w:hAnsi="Times New Roman" w:cs="Times New Roman"/>
          <w:color w:val="000000"/>
          <w:sz w:val="24"/>
          <w:szCs w:val="24"/>
        </w:rPr>
        <w:t>seem</w:t>
      </w:r>
      <w:proofErr w:type="gramEnd"/>
      <w:r>
        <w:rPr>
          <w:rFonts w:ascii="Times New Roman" w:eastAsia="Times New Roman" w:hAnsi="Times New Roman" w:cs="Times New Roman"/>
          <w:color w:val="000000"/>
          <w:sz w:val="24"/>
          <w:szCs w:val="24"/>
        </w:rPr>
        <w:t xml:space="preserve"> to be closely related to factors like </w:t>
      </w:r>
      <w:r>
        <w:rPr>
          <w:rFonts w:ascii="Times New Roman" w:eastAsia="Times New Roman" w:hAnsi="Times New Roman" w:cs="Times New Roman"/>
          <w:color w:val="000000"/>
          <w:sz w:val="24"/>
          <w:szCs w:val="24"/>
        </w:rPr>
        <w:lastRenderedPageBreak/>
        <w:t xml:space="preserve">income levels, the blend of electricity sources, the availability of infrastructures, and the overall maturity of the market which implies that policies that are same across the board, don't often lead to the same results. </w:t>
      </w:r>
    </w:p>
    <w:p w14:paraId="2EF54B95" w14:textId="77777777" w:rsidR="006D0435" w:rsidRDefault="00000000">
      <w:pPr>
        <w:spacing w:after="239"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multi-period difference-in-differences (DID) analysis of 30 European countries from 2012 to 2021 indicates that purchase incentives are related to increased registrations of battery electric and plug-in hybrid vehicles, while ownership incentives justify negligible measurable effects. The study also portrays that the output results are different based on the level of income in each country and amount of renewable energy is used. </w:t>
      </w:r>
      <w:hyperlink r:id="rId285">
        <w:r>
          <w:rPr>
            <w:rFonts w:ascii="Times New Roman" w:eastAsia="Times New Roman" w:hAnsi="Times New Roman" w:cs="Times New Roman"/>
            <w:sz w:val="24"/>
            <w:szCs w:val="24"/>
          </w:rPr>
          <w:t>[169]</w:t>
        </w:r>
      </w:hyperlink>
      <w:r>
        <w:rPr>
          <w:rFonts w:ascii="Times New Roman" w:eastAsia="Times New Roman" w:hAnsi="Times New Roman" w:cs="Times New Roman"/>
          <w:color w:val="000000"/>
          <w:sz w:val="24"/>
          <w:szCs w:val="24"/>
        </w:rPr>
        <w:t xml:space="preserve"> These outcomes indicate that immediate price reductions can be more effective than long-term ownership advantages in markets where electric vehicles still possess a hefty cost. </w:t>
      </w:r>
    </w:p>
    <w:p w14:paraId="1361542B" w14:textId="77777777" w:rsidR="006D0435" w:rsidRDefault="00000000">
      <w:pPr>
        <w:spacing w:after="239"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Complementary cross-country panel analysis </w:t>
      </w:r>
      <w:proofErr w:type="gramStart"/>
      <w:r>
        <w:rPr>
          <w:rFonts w:ascii="Times New Roman" w:eastAsia="Times New Roman" w:hAnsi="Times New Roman" w:cs="Times New Roman"/>
          <w:color w:val="000000"/>
          <w:sz w:val="24"/>
          <w:szCs w:val="24"/>
        </w:rPr>
        <w:t>were</w:t>
      </w:r>
      <w:proofErr w:type="gramEnd"/>
      <w:r>
        <w:rPr>
          <w:rFonts w:ascii="Times New Roman" w:eastAsia="Times New Roman" w:hAnsi="Times New Roman" w:cs="Times New Roman"/>
          <w:color w:val="000000"/>
          <w:sz w:val="24"/>
          <w:szCs w:val="24"/>
        </w:rPr>
        <w:t xml:space="preserve"> done among 20 major EV markets 2015 to 2019 which portrays that lessening of taxes, installation of charging-station, and household income significantly influence EV penetration rates. This shows us how significant the alignment of affordable measures with infrastructure expansion </w:t>
      </w:r>
      <w:proofErr w:type="gramStart"/>
      <w:r>
        <w:rPr>
          <w:rFonts w:ascii="Times New Roman" w:eastAsia="Times New Roman" w:hAnsi="Times New Roman" w:cs="Times New Roman"/>
          <w:color w:val="000000"/>
          <w:sz w:val="24"/>
          <w:szCs w:val="24"/>
        </w:rPr>
        <w:t>is.(</w:t>
      </w:r>
      <w:proofErr w:type="gramEnd"/>
      <w:r>
        <w:rPr>
          <w:rFonts w:ascii="Times New Roman" w:eastAsia="Times New Roman" w:hAnsi="Times New Roman" w:cs="Times New Roman"/>
          <w:color w:val="000000"/>
          <w:sz w:val="24"/>
          <w:szCs w:val="24"/>
        </w:rPr>
        <w:t xml:space="preserve">Xue et al., 2021). </w:t>
      </w:r>
      <w:hyperlink r:id="rId286">
        <w:r>
          <w:rPr>
            <w:rFonts w:ascii="Times New Roman" w:eastAsia="Times New Roman" w:hAnsi="Times New Roman" w:cs="Times New Roman"/>
            <w:sz w:val="24"/>
            <w:szCs w:val="24"/>
          </w:rPr>
          <w:t>[176]</w:t>
        </w:r>
      </w:hyperlink>
      <w:r>
        <w:rPr>
          <w:rFonts w:ascii="Times New Roman" w:eastAsia="Times New Roman" w:hAnsi="Times New Roman" w:cs="Times New Roman"/>
          <w:color w:val="000000"/>
          <w:sz w:val="24"/>
          <w:szCs w:val="24"/>
        </w:rPr>
        <w:t xml:space="preserve"> </w:t>
      </w:r>
    </w:p>
    <w:p w14:paraId="17E6C293"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methodical “review of reviews” concentrated on battery EV adoption. It tells us that even though subsidies and tax concessions can start market growth, their effectiveness may reduce over time. Nonetheless, policies which supports public charging infrastructure remain important even as financial concessions are reduced, and supply-side regulations such as emissions standards or zero-emission vehicle (ZEV) mandates often need to set the way for demand-side measures to prevent supply bottlenecks (Anilan &amp; Vij, 2024). </w:t>
      </w:r>
      <w:hyperlink r:id="rId287">
        <w:r>
          <w:rPr>
            <w:rFonts w:ascii="Times New Roman" w:eastAsia="Times New Roman" w:hAnsi="Times New Roman" w:cs="Times New Roman"/>
            <w:sz w:val="24"/>
            <w:szCs w:val="24"/>
          </w:rPr>
          <w:t>[163]</w:t>
        </w:r>
      </w:hyperlink>
      <w:r>
        <w:rPr>
          <w:rFonts w:ascii="Times New Roman" w:eastAsia="Times New Roman" w:hAnsi="Times New Roman" w:cs="Times New Roman"/>
          <w:color w:val="000000"/>
          <w:sz w:val="24"/>
          <w:szCs w:val="24"/>
        </w:rPr>
        <w:t xml:space="preserve"> </w:t>
      </w:r>
    </w:p>
    <w:p w14:paraId="0AC349C9"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It is evident in China that policy results evolve as markets mature. A study was conducted on 61 pilot cities between 2009 and 2018 which shows us that subsidies were useful in promoting electric bus deployment within the public, whereas private adoption was more strongly influenced by convenience and luxury measures such as charging-station development and purchase-restriction exemptions (Liu et al., 2021). </w:t>
      </w:r>
      <w:hyperlink r:id="rId288">
        <w:r>
          <w:rPr>
            <w:rFonts w:ascii="Times New Roman" w:eastAsia="Times New Roman" w:hAnsi="Times New Roman" w:cs="Times New Roman"/>
            <w:sz w:val="24"/>
            <w:szCs w:val="24"/>
          </w:rPr>
          <w:t>[177]</w:t>
        </w:r>
      </w:hyperlink>
      <w:r>
        <w:rPr>
          <w:rFonts w:ascii="Times New Roman" w:eastAsia="Times New Roman" w:hAnsi="Times New Roman" w:cs="Times New Roman"/>
          <w:color w:val="000000"/>
          <w:sz w:val="24"/>
          <w:szCs w:val="24"/>
        </w:rPr>
        <w:t xml:space="preserve"> A panel data which was recently conducted upon 275 cities from the period of 2016 to 2022 suggests that purchase subsidies alone may have a declining boundary effect. But if they are somehow combined without coordination, they can lead to saturation of policy outcomes (Zhao et al., 2024). </w:t>
      </w:r>
      <w:hyperlink r:id="rId289">
        <w:r>
          <w:rPr>
            <w:rFonts w:ascii="Times New Roman" w:eastAsia="Times New Roman" w:hAnsi="Times New Roman" w:cs="Times New Roman"/>
            <w:sz w:val="24"/>
            <w:szCs w:val="24"/>
          </w:rPr>
          <w:t>[178]</w:t>
        </w:r>
      </w:hyperlink>
      <w:r>
        <w:rPr>
          <w:rFonts w:ascii="Times New Roman" w:eastAsia="Times New Roman" w:hAnsi="Times New Roman" w:cs="Times New Roman"/>
          <w:color w:val="000000"/>
          <w:sz w:val="24"/>
          <w:szCs w:val="24"/>
        </w:rPr>
        <w:t xml:space="preserve"> </w:t>
      </w:r>
    </w:p>
    <w:p w14:paraId="00F26955" w14:textId="77777777" w:rsidR="006D0435" w:rsidRDefault="00000000">
      <w:pPr>
        <w:spacing w:after="256"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Lastly, </w:t>
      </w:r>
      <w:proofErr w:type="spellStart"/>
      <w:r>
        <w:rPr>
          <w:rFonts w:ascii="Times New Roman" w:eastAsia="Times New Roman" w:hAnsi="Times New Roman" w:cs="Times New Roman"/>
          <w:color w:val="000000"/>
          <w:sz w:val="24"/>
          <w:szCs w:val="24"/>
        </w:rPr>
        <w:t>behavioural</w:t>
      </w:r>
      <w:proofErr w:type="spellEnd"/>
      <w:r>
        <w:rPr>
          <w:rFonts w:ascii="Times New Roman" w:eastAsia="Times New Roman" w:hAnsi="Times New Roman" w:cs="Times New Roman"/>
          <w:color w:val="000000"/>
          <w:sz w:val="24"/>
          <w:szCs w:val="24"/>
        </w:rPr>
        <w:t xml:space="preserve"> research indicates that adoption decisions last up to economic considerations. A summary of 211 studies highlights the importance of contextual and psychological factors such as— perceived utility, charging accessibility, and user experience. It suggests that effective policy design must tackle both financial barriers and everyday concerning usage (Singh et al., 2020). </w:t>
      </w:r>
      <w:hyperlink r:id="rId290">
        <w:r>
          <w:rPr>
            <w:rFonts w:ascii="Times New Roman" w:eastAsia="Times New Roman" w:hAnsi="Times New Roman" w:cs="Times New Roman"/>
            <w:sz w:val="24"/>
            <w:szCs w:val="24"/>
          </w:rPr>
          <w:t>[178]</w:t>
        </w:r>
      </w:hyperlink>
      <w:r>
        <w:rPr>
          <w:rFonts w:ascii="Times New Roman" w:eastAsia="Times New Roman" w:hAnsi="Times New Roman" w:cs="Times New Roman"/>
          <w:color w:val="000000"/>
          <w:sz w:val="24"/>
          <w:szCs w:val="24"/>
        </w:rPr>
        <w:t xml:space="preserve"> </w:t>
      </w:r>
    </w:p>
    <w:p w14:paraId="6EBF9607" w14:textId="77777777" w:rsidR="006D0435" w:rsidRDefault="00000000">
      <w:pPr>
        <w:pStyle w:val="Heading2"/>
        <w:spacing w:line="360" w:lineRule="auto"/>
        <w:ind w:left="8"/>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9.3.1 </w:t>
      </w:r>
      <w:r>
        <w:rPr>
          <w:rFonts w:ascii="Times New Roman" w:eastAsia="Times New Roman" w:hAnsi="Times New Roman" w:cs="Times New Roman"/>
          <w:color w:val="000000"/>
          <w:sz w:val="24"/>
          <w:szCs w:val="24"/>
        </w:rPr>
        <w:t xml:space="preserve">Global adoption baseline and infrastructure constraints </w:t>
      </w:r>
    </w:p>
    <w:p w14:paraId="46EB7491"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According to a statistical report of 2024, global electric car sales crossed 17 million and accounted for more than 20% of new car sales (IEA, 2025). </w:t>
      </w:r>
      <w:hyperlink r:id="rId291">
        <w:r>
          <w:rPr>
            <w:rFonts w:ascii="Times New Roman" w:eastAsia="Times New Roman" w:hAnsi="Times New Roman" w:cs="Times New Roman"/>
            <w:sz w:val="24"/>
            <w:szCs w:val="24"/>
          </w:rPr>
          <w:t>[162]</w:t>
        </w:r>
      </w:hyperlink>
      <w:r>
        <w:rPr>
          <w:rFonts w:ascii="Times New Roman" w:eastAsia="Times New Roman" w:hAnsi="Times New Roman" w:cs="Times New Roman"/>
          <w:color w:val="000000"/>
          <w:sz w:val="24"/>
          <w:szCs w:val="24"/>
        </w:rPr>
        <w:t xml:space="preserve"> In the United States</w:t>
      </w:r>
      <w:hyperlink r:id="rId292">
        <w:r>
          <w:rPr>
            <w:rFonts w:ascii="Times New Roman" w:eastAsia="Times New Roman" w:hAnsi="Times New Roman" w:cs="Times New Roman"/>
            <w:sz w:val="24"/>
            <w:szCs w:val="24"/>
          </w:rPr>
          <w:t>[179]</w:t>
        </w:r>
      </w:hyperlink>
      <w:r>
        <w:rPr>
          <w:rFonts w:ascii="Times New Roman" w:eastAsia="Times New Roman" w:hAnsi="Times New Roman" w:cs="Times New Roman"/>
          <w:color w:val="000000"/>
          <w:sz w:val="24"/>
          <w:szCs w:val="24"/>
        </w:rPr>
        <w:t xml:space="preserve">, electric car sales increased to 1.6 </w:t>
      </w:r>
      <w:r>
        <w:rPr>
          <w:rFonts w:ascii="Times New Roman" w:eastAsia="Times New Roman" w:hAnsi="Times New Roman" w:cs="Times New Roman"/>
          <w:color w:val="000000"/>
          <w:sz w:val="24"/>
          <w:szCs w:val="24"/>
        </w:rPr>
        <w:lastRenderedPageBreak/>
        <w:t xml:space="preserve">million in 2024 and the sales share grew to more than 10%, while growth slowed compared with 2023 (IEA, 2025). </w:t>
      </w:r>
      <w:hyperlink r:id="rId293">
        <w:r>
          <w:rPr>
            <w:rFonts w:ascii="Times New Roman" w:eastAsia="Times New Roman" w:hAnsi="Times New Roman" w:cs="Times New Roman"/>
            <w:sz w:val="24"/>
            <w:szCs w:val="24"/>
          </w:rPr>
          <w:t>[162]</w:t>
        </w:r>
      </w:hyperlink>
      <w:r>
        <w:rPr>
          <w:rFonts w:ascii="Times New Roman" w:eastAsia="Times New Roman" w:hAnsi="Times New Roman" w:cs="Times New Roman"/>
          <w:color w:val="000000"/>
          <w:sz w:val="24"/>
          <w:szCs w:val="24"/>
        </w:rPr>
        <w:t xml:space="preserve"> Charging infrastructure is now a central constraint: the IEA reports public charging stations doubled over the past two years, with China and the EU broadly keeping pace, while the US and UK saw public charging lag relative to EV deployment (IEA, 2025). </w:t>
      </w:r>
      <w:hyperlink r:id="rId294">
        <w:r>
          <w:rPr>
            <w:rFonts w:ascii="Times New Roman" w:eastAsia="Times New Roman" w:hAnsi="Times New Roman" w:cs="Times New Roman"/>
            <w:sz w:val="24"/>
            <w:szCs w:val="24"/>
          </w:rPr>
          <w:t>[174]</w:t>
        </w:r>
      </w:hyperlink>
      <w:r>
        <w:rPr>
          <w:rFonts w:ascii="Times New Roman" w:eastAsia="Times New Roman" w:hAnsi="Times New Roman" w:cs="Times New Roman"/>
          <w:color w:val="000000"/>
          <w:sz w:val="24"/>
          <w:szCs w:val="24"/>
        </w:rPr>
        <w:t xml:space="preserve"> </w:t>
      </w:r>
    </w:p>
    <w:p w14:paraId="51E3C4F4" w14:textId="77777777" w:rsidR="006D0435" w:rsidRDefault="00000000">
      <w:pPr>
        <w:spacing w:after="257"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growth of the rapid charging industry suggests both progress and concentration. </w:t>
      </w:r>
      <w:r>
        <w:rPr>
          <w:rFonts w:ascii="Times New Roman" w:eastAsia="Times New Roman" w:hAnsi="Times New Roman" w:cs="Times New Roman"/>
          <w:sz w:val="24"/>
          <w:szCs w:val="24"/>
        </w:rPr>
        <w:t>In</w:t>
      </w:r>
      <w:r>
        <w:rPr>
          <w:rFonts w:ascii="Times New Roman" w:eastAsia="Times New Roman" w:hAnsi="Times New Roman" w:cs="Times New Roman"/>
          <w:color w:val="000000"/>
          <w:sz w:val="24"/>
          <w:szCs w:val="24"/>
        </w:rPr>
        <w:t xml:space="preserve"> China, about 80% of global growth is seen in the </w:t>
      </w:r>
      <w:proofErr w:type="gramStart"/>
      <w:r>
        <w:rPr>
          <w:rFonts w:ascii="Times New Roman" w:eastAsia="Times New Roman" w:hAnsi="Times New Roman" w:cs="Times New Roman"/>
          <w:color w:val="000000"/>
          <w:sz w:val="24"/>
          <w:szCs w:val="24"/>
        </w:rPr>
        <w:t>fast charging</w:t>
      </w:r>
      <w:proofErr w:type="gramEnd"/>
      <w:r>
        <w:rPr>
          <w:rFonts w:ascii="Times New Roman" w:eastAsia="Times New Roman" w:hAnsi="Times New Roman" w:cs="Times New Roman"/>
          <w:color w:val="000000"/>
          <w:sz w:val="24"/>
          <w:szCs w:val="24"/>
        </w:rPr>
        <w:t xml:space="preserve"> sector. Statistically fast chargers increased from 1.2 million (2023) to 1.6 million (2024) (IEA, 2025). </w:t>
      </w:r>
      <w:hyperlink r:id="rId295">
        <w:r>
          <w:rPr>
            <w:rFonts w:ascii="Times New Roman" w:eastAsia="Times New Roman" w:hAnsi="Times New Roman" w:cs="Times New Roman"/>
            <w:sz w:val="24"/>
            <w:szCs w:val="24"/>
          </w:rPr>
          <w:t>[180]</w:t>
        </w:r>
      </w:hyperlink>
      <w:r>
        <w:rPr>
          <w:rFonts w:ascii="Times New Roman" w:eastAsia="Times New Roman" w:hAnsi="Times New Roman" w:cs="Times New Roman"/>
          <w:color w:val="000000"/>
          <w:sz w:val="24"/>
          <w:szCs w:val="24"/>
        </w:rPr>
        <w:t xml:space="preserve"> This saturation has policy relevance because it connects adoption trajectories to industrial capacity, grid upgrades, and interoperability rules. </w:t>
      </w:r>
    </w:p>
    <w:p w14:paraId="2A079C29" w14:textId="77777777" w:rsidR="006D0435" w:rsidRDefault="00000000">
      <w:pPr>
        <w:pStyle w:val="Heading2"/>
        <w:spacing w:line="360" w:lineRule="auto"/>
        <w:ind w:left="8"/>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9.3.2 </w:t>
      </w:r>
      <w:r>
        <w:rPr>
          <w:rFonts w:ascii="Times New Roman" w:eastAsia="Times New Roman" w:hAnsi="Times New Roman" w:cs="Times New Roman"/>
          <w:color w:val="000000"/>
          <w:sz w:val="24"/>
          <w:szCs w:val="24"/>
        </w:rPr>
        <w:t xml:space="preserve">Regional cases </w:t>
      </w:r>
    </w:p>
    <w:p w14:paraId="00FE8A5E" w14:textId="77777777" w:rsidR="006D0435" w:rsidRDefault="00000000">
      <w:pPr>
        <w:spacing w:after="170" w:line="36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European Union: standards plus infrastructure obligations </w:t>
      </w:r>
    </w:p>
    <w:p w14:paraId="400EF7D6"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Within the European Union,</w:t>
      </w:r>
      <w:hyperlink r:id="rId296">
        <w:r>
          <w:rPr>
            <w:rFonts w:ascii="Times New Roman" w:eastAsia="Times New Roman" w:hAnsi="Times New Roman" w:cs="Times New Roman"/>
            <w:sz w:val="24"/>
            <w:szCs w:val="24"/>
          </w:rPr>
          <w:t>[181]</w:t>
        </w:r>
      </w:hyperlink>
      <w:r>
        <w:rPr>
          <w:rFonts w:ascii="Times New Roman" w:eastAsia="Times New Roman" w:hAnsi="Times New Roman" w:cs="Times New Roman"/>
          <w:color w:val="000000"/>
          <w:sz w:val="24"/>
          <w:szCs w:val="24"/>
        </w:rPr>
        <w:t xml:space="preserve">  EV policy is shaped by a combination of binding emissions standards and coordinated infrastructure regulation. Fleet-wide CO₂ targets require progressive reductions in emissions, with a transition toward a zero-emissions benchmark for new cars and vans by 2035, supported by interim milestones for the period between 2025 and 2034 (European Commission, 2024). </w:t>
      </w:r>
      <w:hyperlink r:id="rId297">
        <w:r>
          <w:rPr>
            <w:rFonts w:ascii="Times New Roman" w:eastAsia="Times New Roman" w:hAnsi="Times New Roman" w:cs="Times New Roman"/>
            <w:sz w:val="24"/>
            <w:szCs w:val="24"/>
          </w:rPr>
          <w:t>[164]</w:t>
        </w:r>
      </w:hyperlink>
      <w:r>
        <w:rPr>
          <w:rFonts w:ascii="Times New Roman" w:eastAsia="Times New Roman" w:hAnsi="Times New Roman" w:cs="Times New Roman"/>
          <w:color w:val="000000"/>
          <w:sz w:val="24"/>
          <w:szCs w:val="24"/>
        </w:rPr>
        <w:t xml:space="preserve"> </w:t>
      </w:r>
    </w:p>
    <w:p w14:paraId="1946B5B8"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These regulatory targets are complemented by infrastructure measures under the Alternative Fuels Infrastructure Regulation (AFIR), which came into force in April 2024 and introduces requirements related to charging coverage, interoperability, and transparent payment options for users (European Commission, 2024). </w:t>
      </w:r>
      <w:hyperlink r:id="rId298">
        <w:r>
          <w:rPr>
            <w:rFonts w:ascii="Times New Roman" w:eastAsia="Times New Roman" w:hAnsi="Times New Roman" w:cs="Times New Roman"/>
            <w:sz w:val="24"/>
            <w:szCs w:val="24"/>
          </w:rPr>
          <w:t>[167]</w:t>
        </w:r>
      </w:hyperlink>
      <w:r>
        <w:rPr>
          <w:rFonts w:ascii="Times New Roman" w:eastAsia="Times New Roman" w:hAnsi="Times New Roman" w:cs="Times New Roman"/>
          <w:color w:val="000000"/>
          <w:sz w:val="24"/>
          <w:szCs w:val="24"/>
        </w:rPr>
        <w:t xml:space="preserve">  </w:t>
      </w:r>
    </w:p>
    <w:p w14:paraId="48B62524"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Policy analysis suggests that infrastructure deployment becomes a limiting factor once EV adoption begins to scale. The International Energy Agency highlights corridor-based charging targets—such as high-power fast chargers along the core TEN-T network—as well as the need for sustained annual installation rates to meet projected demand (IEA policy database, 2025; IEA, 2025).</w:t>
      </w:r>
      <w:hyperlink r:id="rId299">
        <w:r>
          <w:rPr>
            <w:rFonts w:ascii="Times New Roman" w:eastAsia="Times New Roman" w:hAnsi="Times New Roman" w:cs="Times New Roman"/>
            <w:sz w:val="24"/>
            <w:szCs w:val="24"/>
          </w:rPr>
          <w:t>[182]</w:t>
        </w:r>
      </w:hyperlink>
      <w:r>
        <w:rPr>
          <w:rFonts w:ascii="Times New Roman" w:eastAsia="Times New Roman" w:hAnsi="Times New Roman" w:cs="Times New Roman"/>
          <w:color w:val="000000"/>
          <w:sz w:val="24"/>
          <w:szCs w:val="24"/>
        </w:rPr>
        <w:t xml:space="preserve"> </w:t>
      </w:r>
      <w:hyperlink r:id="rId300">
        <w:r>
          <w:rPr>
            <w:rFonts w:ascii="Times New Roman" w:eastAsia="Times New Roman" w:hAnsi="Times New Roman" w:cs="Times New Roman"/>
            <w:sz w:val="24"/>
            <w:szCs w:val="24"/>
          </w:rPr>
          <w:t>[162]</w:t>
        </w:r>
      </w:hyperlink>
      <w:r>
        <w:rPr>
          <w:rFonts w:ascii="Times New Roman" w:eastAsia="Times New Roman" w:hAnsi="Times New Roman" w:cs="Times New Roman"/>
          <w:color w:val="000000"/>
          <w:sz w:val="24"/>
          <w:szCs w:val="24"/>
        </w:rPr>
        <w:t xml:space="preserve"> Together, these measures illustrate how regulatory standards and infrastructure obligations function as complementary components of the EU policy framework. </w:t>
      </w:r>
    </w:p>
    <w:p w14:paraId="0EBBB2FE" w14:textId="77777777" w:rsidR="006D0435" w:rsidRDefault="00000000">
      <w:pPr>
        <w:spacing w:after="170" w:line="36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United States: demand incentives with supply-chain conditionality, plus charging standards </w:t>
      </w:r>
    </w:p>
    <w:p w14:paraId="51CE76BD" w14:textId="77777777" w:rsidR="006D0435" w:rsidRDefault="00000000">
      <w:pPr>
        <w:spacing w:after="0"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 policy has combined tax incentives with manufacturing/supply-chain requirements. The Internal Revenue Service</w:t>
      </w:r>
      <w:hyperlink r:id="rId301">
        <w:r>
          <w:rPr>
            <w:rFonts w:ascii="Times New Roman" w:eastAsia="Times New Roman" w:hAnsi="Times New Roman" w:cs="Times New Roman"/>
            <w:sz w:val="24"/>
            <w:szCs w:val="24"/>
          </w:rPr>
          <w:t>[173]</w:t>
        </w:r>
      </w:hyperlink>
      <w:r>
        <w:rPr>
          <w:rFonts w:ascii="Times New Roman" w:eastAsia="Times New Roman" w:hAnsi="Times New Roman" w:cs="Times New Roman"/>
          <w:color w:val="000000"/>
          <w:sz w:val="24"/>
          <w:szCs w:val="24"/>
        </w:rPr>
        <w:t xml:space="preserve"> outlines that to qualify for the clean vehicle credit, vehicles must undergo final assembly in North America and meet critical mineral and battery component requirements (IRS, 2025). </w:t>
      </w:r>
      <w:hyperlink r:id="rId302">
        <w:r>
          <w:rPr>
            <w:rFonts w:ascii="Times New Roman" w:eastAsia="Times New Roman" w:hAnsi="Times New Roman" w:cs="Times New Roman"/>
            <w:sz w:val="24"/>
            <w:szCs w:val="24"/>
          </w:rPr>
          <w:t>[165]</w:t>
        </w:r>
      </w:hyperlink>
      <w:r>
        <w:rPr>
          <w:rFonts w:ascii="Times New Roman" w:eastAsia="Times New Roman" w:hAnsi="Times New Roman" w:cs="Times New Roman"/>
          <w:color w:val="000000"/>
          <w:sz w:val="24"/>
          <w:szCs w:val="24"/>
        </w:rPr>
        <w:t xml:space="preserve"> The U.S. Department of the </w:t>
      </w:r>
    </w:p>
    <w:p w14:paraId="78AE20E6"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Treasury</w:t>
      </w:r>
      <w:hyperlink r:id="rId303">
        <w:r>
          <w:rPr>
            <w:rFonts w:ascii="Times New Roman" w:eastAsia="Times New Roman" w:hAnsi="Times New Roman" w:cs="Times New Roman"/>
            <w:sz w:val="24"/>
            <w:szCs w:val="24"/>
          </w:rPr>
          <w:t>[179]</w:t>
        </w:r>
      </w:hyperlink>
      <w:r>
        <w:rPr>
          <w:rFonts w:ascii="Times New Roman" w:eastAsia="Times New Roman" w:hAnsi="Times New Roman" w:cs="Times New Roman"/>
          <w:color w:val="000000"/>
          <w:sz w:val="24"/>
          <w:szCs w:val="24"/>
        </w:rPr>
        <w:t xml:space="preserve"> describes the credit’s split incentive logic (e.g., partial credits tied to battery component requirements), illustrating how industrial policy is embedded into adoption incentives (U.S. Treasury, 2023). </w:t>
      </w:r>
      <w:hyperlink r:id="rId304">
        <w:r>
          <w:rPr>
            <w:rFonts w:ascii="Times New Roman" w:eastAsia="Times New Roman" w:hAnsi="Times New Roman" w:cs="Times New Roman"/>
            <w:sz w:val="24"/>
            <w:szCs w:val="24"/>
          </w:rPr>
          <w:t>[183]</w:t>
        </w:r>
      </w:hyperlink>
      <w:r>
        <w:rPr>
          <w:rFonts w:ascii="Times New Roman" w:eastAsia="Times New Roman" w:hAnsi="Times New Roman" w:cs="Times New Roman"/>
          <w:color w:val="000000"/>
          <w:sz w:val="24"/>
          <w:szCs w:val="24"/>
        </w:rPr>
        <w:t xml:space="preserve"> A Congressional Research Service summary provides an example of how eligibility thresholds can be structured over time for critical minerals content, underscoring compliance complexity (CRS, 2024). </w:t>
      </w:r>
      <w:hyperlink r:id="rId305">
        <w:r>
          <w:rPr>
            <w:rFonts w:ascii="Times New Roman" w:eastAsia="Times New Roman" w:hAnsi="Times New Roman" w:cs="Times New Roman"/>
            <w:sz w:val="24"/>
            <w:szCs w:val="24"/>
          </w:rPr>
          <w:t>[184]</w:t>
        </w:r>
      </w:hyperlink>
      <w:r>
        <w:rPr>
          <w:rFonts w:ascii="Times New Roman" w:eastAsia="Times New Roman" w:hAnsi="Times New Roman" w:cs="Times New Roman"/>
          <w:color w:val="000000"/>
          <w:sz w:val="24"/>
          <w:szCs w:val="24"/>
        </w:rPr>
        <w:t xml:space="preserve"> </w:t>
      </w:r>
    </w:p>
    <w:p w14:paraId="4B311B81"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Infrastructure policy has also been formalized through the National Electric Vehicle Infrastructure (NEVI) program, which establishes minimum technical and operational standards for publicly funded chargers, including interoperability, payment accessibility, and data-sharing provisions. These requirements aim to support the development of a reliable and equitable national charging network (Federal Register, 2023).</w:t>
      </w:r>
      <w:hyperlink r:id="rId306">
        <w:r>
          <w:rPr>
            <w:rFonts w:ascii="Times New Roman" w:eastAsia="Times New Roman" w:hAnsi="Times New Roman" w:cs="Times New Roman"/>
            <w:sz w:val="24"/>
            <w:szCs w:val="24"/>
          </w:rPr>
          <w:t>[173]</w:t>
        </w:r>
      </w:hyperlink>
      <w:r>
        <w:rPr>
          <w:rFonts w:ascii="Times New Roman" w:eastAsia="Times New Roman" w:hAnsi="Times New Roman" w:cs="Times New Roman"/>
          <w:color w:val="000000"/>
          <w:sz w:val="24"/>
          <w:szCs w:val="24"/>
        </w:rPr>
        <w:t xml:space="preserve"> </w:t>
      </w:r>
    </w:p>
    <w:p w14:paraId="35F8F8C2" w14:textId="77777777" w:rsidR="006D0435" w:rsidRDefault="00000000">
      <w:pPr>
        <w:spacing w:after="170" w:line="36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China: mandate-style supply policy plus evolving fiscal support </w:t>
      </w:r>
    </w:p>
    <w:p w14:paraId="2B6BFC99"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China’s</w:t>
      </w:r>
      <w:hyperlink r:id="rId307">
        <w:r>
          <w:rPr>
            <w:rFonts w:ascii="Times New Roman" w:eastAsia="Times New Roman" w:hAnsi="Times New Roman" w:cs="Times New Roman"/>
            <w:color w:val="000000"/>
            <w:sz w:val="24"/>
            <w:szCs w:val="24"/>
          </w:rPr>
          <w:t>[57]</w:t>
        </w:r>
      </w:hyperlink>
      <w:r>
        <w:rPr>
          <w:rFonts w:ascii="Times New Roman" w:eastAsia="Times New Roman" w:hAnsi="Times New Roman" w:cs="Times New Roman"/>
          <w:color w:val="000000"/>
          <w:sz w:val="24"/>
          <w:szCs w:val="24"/>
        </w:rPr>
        <w:t xml:space="preserve">EV strategy has relied heavily on manufacturer obligations combined with shifting fiscal incentives. The New Energy Vehicle (NEV) mandate, implemented in 2018, integrates credit targets with fuel-consumption regulations, encouraging manufacturers to increase zero-emission vehicle production (ICCT, 2018). </w:t>
      </w:r>
      <w:hyperlink r:id="rId308">
        <w:r>
          <w:rPr>
            <w:rFonts w:ascii="Times New Roman" w:eastAsia="Times New Roman" w:hAnsi="Times New Roman" w:cs="Times New Roman"/>
            <w:sz w:val="24"/>
            <w:szCs w:val="24"/>
          </w:rPr>
          <w:t>[186]</w:t>
        </w:r>
      </w:hyperlink>
      <w:r>
        <w:rPr>
          <w:rFonts w:ascii="Times New Roman" w:eastAsia="Times New Roman" w:hAnsi="Times New Roman" w:cs="Times New Roman"/>
          <w:color w:val="000000"/>
          <w:sz w:val="24"/>
          <w:szCs w:val="24"/>
        </w:rPr>
        <w:t xml:space="preserve"> </w:t>
      </w:r>
    </w:p>
    <w:p w14:paraId="68C6566B"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Fiscal support has gradually evolved, with purchase-tax exemptions extended through 2025 and partial incentives continuing into later years as part of a phased policy transition (Gov.cn/Xinhua, 2023). </w:t>
      </w:r>
      <w:hyperlink r:id="rId309">
        <w:r>
          <w:rPr>
            <w:rFonts w:ascii="Times New Roman" w:eastAsia="Times New Roman" w:hAnsi="Times New Roman" w:cs="Times New Roman"/>
            <w:sz w:val="24"/>
            <w:szCs w:val="24"/>
          </w:rPr>
          <w:t>[187]</w:t>
        </w:r>
      </w:hyperlink>
      <w:r>
        <w:rPr>
          <w:rFonts w:ascii="Times New Roman" w:eastAsia="Times New Roman" w:hAnsi="Times New Roman" w:cs="Times New Roman"/>
          <w:color w:val="000000"/>
          <w:sz w:val="24"/>
          <w:szCs w:val="24"/>
        </w:rPr>
        <w:t xml:space="preserve"> </w:t>
      </w:r>
    </w:p>
    <w:p w14:paraId="1BEE22BC" w14:textId="77777777" w:rsidR="006D0435" w:rsidRDefault="00000000">
      <w:pPr>
        <w:spacing w:after="8"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Market dynamics increasingly reflect internal competition and affordability. The </w:t>
      </w:r>
    </w:p>
    <w:p w14:paraId="19B7544D"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International Energy Agency notes that, by 2024, many small battery-electric models in China were priced below comparable internal combustion vehicles, contributing to high electrification rates in certain market segments (IEA, 2025). </w:t>
      </w:r>
      <w:hyperlink r:id="rId310">
        <w:r>
          <w:rPr>
            <w:rFonts w:ascii="Times New Roman" w:eastAsia="Times New Roman" w:hAnsi="Times New Roman" w:cs="Times New Roman"/>
            <w:sz w:val="24"/>
            <w:szCs w:val="24"/>
          </w:rPr>
          <w:t>[162]</w:t>
        </w:r>
      </w:hyperlink>
      <w:r>
        <w:rPr>
          <w:rFonts w:ascii="Times New Roman" w:eastAsia="Times New Roman" w:hAnsi="Times New Roman" w:cs="Times New Roman"/>
          <w:color w:val="000000"/>
          <w:sz w:val="24"/>
          <w:szCs w:val="24"/>
        </w:rPr>
        <w:t xml:space="preserve"> This shift suggests that policy emphasis may move away from broad purchase subsidies toward infrastructure development and regulatory standardization as markets mature. </w:t>
      </w:r>
    </w:p>
    <w:p w14:paraId="2929C4D2" w14:textId="77777777" w:rsidR="006D0435" w:rsidRDefault="00000000">
      <w:pPr>
        <w:spacing w:after="170" w:line="36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United Kingdom: mandated adoption trajectory </w:t>
      </w:r>
    </w:p>
    <w:p w14:paraId="427084A1"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United Kingdom</w:t>
      </w:r>
      <w:hyperlink r:id="rId311">
        <w:r>
          <w:rPr>
            <w:rFonts w:ascii="Times New Roman" w:eastAsia="Times New Roman" w:hAnsi="Times New Roman" w:cs="Times New Roman"/>
            <w:sz w:val="24"/>
            <w:szCs w:val="24"/>
          </w:rPr>
          <w:t>[163]</w:t>
        </w:r>
      </w:hyperlink>
      <w:r>
        <w:rPr>
          <w:rFonts w:ascii="Times New Roman" w:eastAsia="Times New Roman" w:hAnsi="Times New Roman" w:cs="Times New Roman"/>
          <w:color w:val="000000"/>
          <w:sz w:val="24"/>
          <w:szCs w:val="24"/>
        </w:rPr>
        <w:t xml:space="preserve">  has established a clear regulatory pathway through a Zero Emission Vehicle (ZEV) mandate. The Department for Transport</w:t>
      </w:r>
      <w:hyperlink r:id="rId312">
        <w:r>
          <w:rPr>
            <w:rFonts w:ascii="Times New Roman" w:eastAsia="Times New Roman" w:hAnsi="Times New Roman" w:cs="Times New Roman"/>
            <w:sz w:val="24"/>
            <w:szCs w:val="24"/>
          </w:rPr>
          <w:t>[177]</w:t>
        </w:r>
      </w:hyperlink>
      <w:r>
        <w:rPr>
          <w:rFonts w:ascii="Times New Roman" w:eastAsia="Times New Roman" w:hAnsi="Times New Roman" w:cs="Times New Roman"/>
          <w:color w:val="000000"/>
          <w:sz w:val="24"/>
          <w:szCs w:val="24"/>
        </w:rPr>
        <w:t xml:space="preserve"> requires a rising share of zero-emission car and van sales through 2030 and beyond, culminating in a fully zero-emission new-vehicle market by 2035. Policymakers frame this approach as providing long-term certainty for industry investment while aligning with broader emissions targets (GOV.UK, 2024). </w:t>
      </w:r>
      <w:hyperlink r:id="rId313">
        <w:r>
          <w:rPr>
            <w:rFonts w:ascii="Times New Roman" w:eastAsia="Times New Roman" w:hAnsi="Times New Roman" w:cs="Times New Roman"/>
            <w:sz w:val="24"/>
            <w:szCs w:val="24"/>
          </w:rPr>
          <w:t>[188]</w:t>
        </w:r>
      </w:hyperlink>
      <w:r>
        <w:rPr>
          <w:rFonts w:ascii="Times New Roman" w:eastAsia="Times New Roman" w:hAnsi="Times New Roman" w:cs="Times New Roman"/>
          <w:color w:val="000000"/>
          <w:sz w:val="24"/>
          <w:szCs w:val="24"/>
        </w:rPr>
        <w:t xml:space="preserve"> Such supply-side mandates reflect wider research findings that regulatory certainty can help stabilize market expectations and reduce investment risk (Anilan &amp; Vij, 2024). </w:t>
      </w:r>
      <w:hyperlink r:id="rId314">
        <w:r>
          <w:rPr>
            <w:rFonts w:ascii="Times New Roman" w:eastAsia="Times New Roman" w:hAnsi="Times New Roman" w:cs="Times New Roman"/>
            <w:sz w:val="24"/>
            <w:szCs w:val="24"/>
          </w:rPr>
          <w:t>[163]</w:t>
        </w:r>
      </w:hyperlink>
      <w:r>
        <w:rPr>
          <w:rFonts w:ascii="Times New Roman" w:eastAsia="Times New Roman" w:hAnsi="Times New Roman" w:cs="Times New Roman"/>
          <w:color w:val="000000"/>
          <w:sz w:val="24"/>
          <w:szCs w:val="24"/>
        </w:rPr>
        <w:t xml:space="preserve"> </w:t>
      </w:r>
    </w:p>
    <w:p w14:paraId="719CF43E" w14:textId="77777777" w:rsidR="006D0435" w:rsidRDefault="00000000">
      <w:pPr>
        <w:spacing w:after="170" w:line="36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India: targeted segment strategy and demand incentives </w:t>
      </w:r>
    </w:p>
    <w:p w14:paraId="2D52F3F9"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India</w:t>
      </w:r>
      <w:hyperlink r:id="rId315">
        <w:r>
          <w:rPr>
            <w:rFonts w:ascii="Times New Roman" w:eastAsia="Times New Roman" w:hAnsi="Times New Roman" w:cs="Times New Roman"/>
            <w:sz w:val="24"/>
            <w:szCs w:val="24"/>
          </w:rPr>
          <w:t>[178]</w:t>
        </w:r>
      </w:hyperlink>
      <w:r>
        <w:rPr>
          <w:rFonts w:ascii="Times New Roman" w:eastAsia="Times New Roman" w:hAnsi="Times New Roman" w:cs="Times New Roman"/>
          <w:color w:val="000000"/>
          <w:sz w:val="24"/>
          <w:szCs w:val="24"/>
        </w:rPr>
        <w:t>, EV diffusion is strongly tied to two- and three-wheelers and targeted demand incentives. The Ministry of Heavy Industries</w:t>
      </w:r>
      <w:hyperlink r:id="rId316">
        <w:r>
          <w:rPr>
            <w:rFonts w:ascii="Times New Roman" w:eastAsia="Times New Roman" w:hAnsi="Times New Roman" w:cs="Times New Roman"/>
            <w:sz w:val="24"/>
            <w:szCs w:val="24"/>
          </w:rPr>
          <w:t>[181]</w:t>
        </w:r>
      </w:hyperlink>
      <w:r>
        <w:rPr>
          <w:rFonts w:ascii="Times New Roman" w:eastAsia="Times New Roman" w:hAnsi="Times New Roman" w:cs="Times New Roman"/>
          <w:color w:val="000000"/>
          <w:sz w:val="24"/>
          <w:szCs w:val="24"/>
        </w:rPr>
        <w:t xml:space="preserve"> The FAME II program directs substantial funding toward demand incentives and fleet deployment targets for buses, three-wheelers, and other priority vehicle classes (Government of India, n.d.). </w:t>
      </w:r>
      <w:hyperlink r:id="rId317">
        <w:r>
          <w:rPr>
            <w:rFonts w:ascii="Times New Roman" w:eastAsia="Times New Roman" w:hAnsi="Times New Roman" w:cs="Times New Roman"/>
            <w:sz w:val="24"/>
            <w:szCs w:val="24"/>
          </w:rPr>
          <w:t>[189]</w:t>
        </w:r>
      </w:hyperlink>
      <w:r>
        <w:rPr>
          <w:rFonts w:ascii="Times New Roman" w:eastAsia="Times New Roman" w:hAnsi="Times New Roman" w:cs="Times New Roman"/>
          <w:color w:val="000000"/>
          <w:sz w:val="24"/>
          <w:szCs w:val="24"/>
        </w:rPr>
        <w:t xml:space="preserve"> </w:t>
      </w:r>
    </w:p>
    <w:p w14:paraId="62665E43" w14:textId="77777777" w:rsidR="006D0435" w:rsidRDefault="00000000">
      <w:pPr>
        <w:spacing w:after="210"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Although passenger-car adoption remains comparatively modest, rapid growth in other segments demonstrates how tailored incentives can accelerate electrification where cost and usage patterns differ from traditional car markets (IEA, 2025). </w:t>
      </w:r>
      <w:hyperlink r:id="rId318">
        <w:r>
          <w:rPr>
            <w:rFonts w:ascii="Times New Roman" w:eastAsia="Times New Roman" w:hAnsi="Times New Roman" w:cs="Times New Roman"/>
            <w:sz w:val="24"/>
            <w:szCs w:val="24"/>
          </w:rPr>
          <w:t>[162]</w:t>
        </w:r>
      </w:hyperlink>
      <w:r>
        <w:rPr>
          <w:rFonts w:ascii="Times New Roman" w:eastAsia="Times New Roman" w:hAnsi="Times New Roman" w:cs="Times New Roman"/>
          <w:color w:val="000000"/>
          <w:sz w:val="24"/>
          <w:szCs w:val="24"/>
        </w:rPr>
        <w:t xml:space="preserve"> This highlights the importance of designing policies that reflect local mobility structures rather than applying uniform adoption strategies. </w:t>
      </w:r>
    </w:p>
    <w:p w14:paraId="0C3B2322" w14:textId="77777777" w:rsidR="006D0435" w:rsidRDefault="00000000">
      <w:pPr>
        <w:spacing w:after="129" w:line="36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Norway: sustained fiscal incentives and near-total new‑car electrification </w:t>
      </w:r>
    </w:p>
    <w:p w14:paraId="53BF8D51" w14:textId="77777777" w:rsidR="006D0435" w:rsidRDefault="00000000">
      <w:pPr>
        <w:spacing w:after="255" w:line="360" w:lineRule="auto"/>
        <w:ind w:left="19"/>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Norway</w:t>
      </w:r>
      <w:hyperlink r:id="rId319">
        <w:r>
          <w:rPr>
            <w:rFonts w:ascii="Times New Roman" w:eastAsia="Times New Roman" w:hAnsi="Times New Roman" w:cs="Times New Roman"/>
            <w:sz w:val="24"/>
            <w:szCs w:val="24"/>
          </w:rPr>
          <w:t>[166]</w:t>
        </w:r>
      </w:hyperlink>
      <w:r>
        <w:rPr>
          <w:rFonts w:ascii="Times New Roman" w:eastAsia="Times New Roman" w:hAnsi="Times New Roman" w:cs="Times New Roman"/>
          <w:color w:val="000000"/>
          <w:sz w:val="24"/>
          <w:szCs w:val="24"/>
        </w:rPr>
        <w:t xml:space="preserve"> represents one of the most advanced EV markets globally. The OECD</w:t>
      </w:r>
      <w:hyperlink r:id="rId320">
        <w:r>
          <w:rPr>
            <w:rFonts w:ascii="Times New Roman" w:eastAsia="Times New Roman" w:hAnsi="Times New Roman" w:cs="Times New Roman"/>
            <w:sz w:val="24"/>
            <w:szCs w:val="24"/>
          </w:rPr>
          <w:t>[169]</w:t>
        </w:r>
      </w:hyperlink>
      <w:r>
        <w:rPr>
          <w:rFonts w:ascii="Times New Roman" w:eastAsia="Times New Roman" w:hAnsi="Times New Roman" w:cs="Times New Roman"/>
          <w:color w:val="000000"/>
          <w:sz w:val="24"/>
          <w:szCs w:val="24"/>
        </w:rPr>
        <w:t xml:space="preserve"> notes that Norway used long-standing fiscal incentives—including exemptions from registration taxes and value-added tax which have significantly reduced purchase costs and contributed to a high share of zero-emission vehicles in the national fleet (OECD, 2021). </w:t>
      </w:r>
      <w:hyperlink r:id="rId321">
        <w:r>
          <w:rPr>
            <w:rFonts w:ascii="Times New Roman" w:eastAsia="Times New Roman" w:hAnsi="Times New Roman" w:cs="Times New Roman"/>
            <w:sz w:val="24"/>
            <w:szCs w:val="24"/>
          </w:rPr>
          <w:t>[166]</w:t>
        </w:r>
      </w:hyperlink>
      <w:r>
        <w:rPr>
          <w:rFonts w:ascii="Times New Roman" w:eastAsia="Times New Roman" w:hAnsi="Times New Roman" w:cs="Times New Roman"/>
          <w:color w:val="000000"/>
          <w:sz w:val="24"/>
          <w:szCs w:val="24"/>
        </w:rPr>
        <w:t xml:space="preserve"> Market outcomes illustrate the cumulative effect of sustained policy support: battery-electric vehicles accounted for more than 95.9% of new car registrations in 2025, demonstrating how consistent incentives can reshape consumer </w:t>
      </w:r>
      <w:proofErr w:type="spellStart"/>
      <w:r>
        <w:rPr>
          <w:rFonts w:ascii="Times New Roman" w:eastAsia="Times New Roman" w:hAnsi="Times New Roman" w:cs="Times New Roman"/>
          <w:color w:val="000000"/>
          <w:sz w:val="24"/>
          <w:szCs w:val="24"/>
        </w:rPr>
        <w:t>behaviour</w:t>
      </w:r>
      <w:proofErr w:type="spellEnd"/>
      <w:r>
        <w:rPr>
          <w:rFonts w:ascii="Times New Roman" w:eastAsia="Times New Roman" w:hAnsi="Times New Roman" w:cs="Times New Roman"/>
          <w:color w:val="000000"/>
          <w:sz w:val="24"/>
          <w:szCs w:val="24"/>
        </w:rPr>
        <w:t xml:space="preserve"> over time (Reuters, 2026).  </w:t>
      </w:r>
      <w:hyperlink r:id="rId322">
        <w:r>
          <w:rPr>
            <w:rFonts w:ascii="Times New Roman" w:eastAsia="Times New Roman" w:hAnsi="Times New Roman" w:cs="Times New Roman"/>
            <w:sz w:val="24"/>
            <w:szCs w:val="24"/>
          </w:rPr>
          <w:t>[190]</w:t>
        </w:r>
      </w:hyperlink>
      <w:r>
        <w:rPr>
          <w:rFonts w:ascii="Times New Roman" w:eastAsia="Times New Roman" w:hAnsi="Times New Roman" w:cs="Times New Roman"/>
          <w:color w:val="000000"/>
          <w:sz w:val="24"/>
          <w:szCs w:val="24"/>
        </w:rPr>
        <w:t xml:space="preserve"> </w:t>
      </w:r>
    </w:p>
    <w:p w14:paraId="769D3E94" w14:textId="77777777" w:rsidR="006D0435" w:rsidRDefault="00000000">
      <w:pPr>
        <w:pStyle w:val="Heading2"/>
        <w:spacing w:after="15"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9.3.3 </w:t>
      </w:r>
      <w:r>
        <w:rPr>
          <w:rFonts w:ascii="Times New Roman" w:eastAsia="Times New Roman" w:hAnsi="Times New Roman" w:cs="Times New Roman"/>
          <w:color w:val="000000"/>
          <w:sz w:val="24"/>
          <w:szCs w:val="24"/>
        </w:rPr>
        <w:t xml:space="preserve">Summary comparison table </w:t>
      </w:r>
    </w:p>
    <w:tbl>
      <w:tblPr>
        <w:tblStyle w:val="af3"/>
        <w:tblW w:w="9930" w:type="dxa"/>
        <w:tblInd w:w="413" w:type="dxa"/>
        <w:tblLayout w:type="fixed"/>
        <w:tblLook w:val="0400" w:firstRow="0" w:lastRow="0" w:firstColumn="0" w:lastColumn="0" w:noHBand="0" w:noVBand="1"/>
      </w:tblPr>
      <w:tblGrid>
        <w:gridCol w:w="1575"/>
        <w:gridCol w:w="1605"/>
        <w:gridCol w:w="1860"/>
        <w:gridCol w:w="1875"/>
        <w:gridCol w:w="3015"/>
      </w:tblGrid>
      <w:tr w:rsidR="006D0435" w14:paraId="72C6DA5A" w14:textId="77777777">
        <w:tc>
          <w:tcPr>
            <w:tcW w:w="1575" w:type="dxa"/>
            <w:tcBorders>
              <w:top w:val="single" w:sz="8" w:space="0" w:color="000000"/>
              <w:bottom w:val="single" w:sz="8" w:space="0" w:color="000000"/>
            </w:tcBorders>
            <w:vAlign w:val="center"/>
          </w:tcPr>
          <w:p w14:paraId="0976B206" w14:textId="77777777" w:rsidR="006D0435" w:rsidRDefault="00000000">
            <w:pPr>
              <w:spacing w:line="360" w:lineRule="auto"/>
              <w:ind w:left="124"/>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Jurisdiction </w:t>
            </w:r>
          </w:p>
        </w:tc>
        <w:tc>
          <w:tcPr>
            <w:tcW w:w="1605" w:type="dxa"/>
            <w:tcBorders>
              <w:top w:val="single" w:sz="8" w:space="0" w:color="000000"/>
              <w:bottom w:val="single" w:sz="8" w:space="0" w:color="000000"/>
            </w:tcBorders>
            <w:vAlign w:val="center"/>
          </w:tcPr>
          <w:p w14:paraId="29984634"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Anchor regulation </w:t>
            </w:r>
          </w:p>
        </w:tc>
        <w:tc>
          <w:tcPr>
            <w:tcW w:w="1860" w:type="dxa"/>
            <w:tcBorders>
              <w:top w:val="single" w:sz="8" w:space="0" w:color="000000"/>
              <w:bottom w:val="single" w:sz="8" w:space="0" w:color="000000"/>
            </w:tcBorders>
            <w:vAlign w:val="center"/>
          </w:tcPr>
          <w:p w14:paraId="51CA114E"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Key demand-side </w:t>
            </w:r>
          </w:p>
          <w:p w14:paraId="5006C410" w14:textId="77777777" w:rsidR="006D0435" w:rsidRDefault="00000000">
            <w:pPr>
              <w:spacing w:line="360" w:lineRule="auto"/>
              <w:ind w:right="62"/>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tools </w:t>
            </w:r>
          </w:p>
        </w:tc>
        <w:tc>
          <w:tcPr>
            <w:tcW w:w="1875" w:type="dxa"/>
            <w:tcBorders>
              <w:top w:val="single" w:sz="8" w:space="0" w:color="000000"/>
              <w:bottom w:val="single" w:sz="8" w:space="0" w:color="000000"/>
            </w:tcBorders>
            <w:vAlign w:val="center"/>
          </w:tcPr>
          <w:p w14:paraId="2E9C74C7"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Infrastructure rules </w:t>
            </w:r>
          </w:p>
        </w:tc>
        <w:tc>
          <w:tcPr>
            <w:tcW w:w="3015" w:type="dxa"/>
            <w:tcBorders>
              <w:top w:val="single" w:sz="8" w:space="0" w:color="000000"/>
              <w:bottom w:val="single" w:sz="8" w:space="0" w:color="000000"/>
            </w:tcBorders>
            <w:vAlign w:val="center"/>
          </w:tcPr>
          <w:p w14:paraId="4338BD66" w14:textId="77777777" w:rsidR="006D0435" w:rsidRDefault="00000000">
            <w:pPr>
              <w:spacing w:line="360" w:lineRule="auto"/>
              <w:ind w:left="7" w:hanging="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Illustrative adoption indicator </w:t>
            </w:r>
          </w:p>
        </w:tc>
      </w:tr>
      <w:tr w:rsidR="006D0435" w14:paraId="4B22A23D" w14:textId="77777777">
        <w:trPr>
          <w:trHeight w:val="195"/>
        </w:trPr>
        <w:tc>
          <w:tcPr>
            <w:tcW w:w="1575" w:type="dxa"/>
            <w:tcBorders>
              <w:top w:val="single" w:sz="8" w:space="0" w:color="000000"/>
            </w:tcBorders>
            <w:vAlign w:val="center"/>
          </w:tcPr>
          <w:p w14:paraId="51B3A8E7" w14:textId="77777777" w:rsidR="006D0435" w:rsidRDefault="00000000">
            <w:pPr>
              <w:spacing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EU </w:t>
            </w:r>
          </w:p>
        </w:tc>
        <w:tc>
          <w:tcPr>
            <w:tcW w:w="1605" w:type="dxa"/>
            <w:tcBorders>
              <w:top w:val="single" w:sz="8" w:space="0" w:color="000000"/>
            </w:tcBorders>
            <w:vAlign w:val="center"/>
          </w:tcPr>
          <w:p w14:paraId="746389A5" w14:textId="77777777" w:rsidR="006D0435" w:rsidRDefault="00000000">
            <w:pPr>
              <w:spacing w:after="29"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Fleet CO₂ targets; 0 g </w:t>
            </w:r>
          </w:p>
          <w:p w14:paraId="29A47614" w14:textId="77777777" w:rsidR="006D0435" w:rsidRDefault="00000000">
            <w:pPr>
              <w:spacing w:line="360" w:lineRule="auto"/>
              <w:ind w:left="53"/>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CO₂/km from </w:t>
            </w:r>
          </w:p>
          <w:p w14:paraId="2552AFEA" w14:textId="77777777" w:rsidR="006D0435" w:rsidRDefault="00000000">
            <w:pPr>
              <w:spacing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2035 </w:t>
            </w:r>
          </w:p>
        </w:tc>
        <w:tc>
          <w:tcPr>
            <w:tcW w:w="1860" w:type="dxa"/>
            <w:tcBorders>
              <w:top w:val="single" w:sz="8" w:space="0" w:color="000000"/>
            </w:tcBorders>
            <w:vAlign w:val="center"/>
          </w:tcPr>
          <w:p w14:paraId="703364E5" w14:textId="77777777" w:rsidR="006D0435" w:rsidRDefault="00000000">
            <w:pPr>
              <w:spacing w:after="36"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National purchase/ </w:t>
            </w:r>
          </w:p>
          <w:p w14:paraId="7EB28A91"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ownership measures vary </w:t>
            </w:r>
          </w:p>
        </w:tc>
        <w:tc>
          <w:tcPr>
            <w:tcW w:w="1875" w:type="dxa"/>
            <w:tcBorders>
              <w:top w:val="single" w:sz="8" w:space="0" w:color="000000"/>
            </w:tcBorders>
            <w:vAlign w:val="center"/>
          </w:tcPr>
          <w:p w14:paraId="227AD3BD" w14:textId="77777777" w:rsidR="006D0435" w:rsidRDefault="00000000">
            <w:pPr>
              <w:spacing w:line="360" w:lineRule="auto"/>
              <w:ind w:right="52"/>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AFIR: </w:t>
            </w:r>
          </w:p>
          <w:p w14:paraId="5D19C543"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interoperability, payment info, corridor targets </w:t>
            </w:r>
          </w:p>
        </w:tc>
        <w:tc>
          <w:tcPr>
            <w:tcW w:w="3015" w:type="dxa"/>
            <w:tcBorders>
              <w:top w:val="single" w:sz="8" w:space="0" w:color="000000"/>
            </w:tcBorders>
            <w:vAlign w:val="center"/>
          </w:tcPr>
          <w:p w14:paraId="40B17FBE" w14:textId="77777777" w:rsidR="006D0435" w:rsidRDefault="00000000">
            <w:pPr>
              <w:spacing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BEV share </w:t>
            </w:r>
          </w:p>
          <w:p w14:paraId="747E8525"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~17.4% in EU registrations </w:t>
            </w:r>
          </w:p>
          <w:p w14:paraId="34C6D693" w14:textId="77777777" w:rsidR="006D0435" w:rsidRDefault="00000000">
            <w:pPr>
              <w:spacing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(2025) </w:t>
            </w:r>
          </w:p>
        </w:tc>
      </w:tr>
      <w:tr w:rsidR="006D0435" w14:paraId="20528D2B" w14:textId="77777777">
        <w:trPr>
          <w:trHeight w:val="600"/>
        </w:trPr>
        <w:tc>
          <w:tcPr>
            <w:tcW w:w="1575" w:type="dxa"/>
            <w:vAlign w:val="center"/>
          </w:tcPr>
          <w:p w14:paraId="0AB6DA07" w14:textId="77777777" w:rsidR="006D0435" w:rsidRDefault="00000000">
            <w:pPr>
              <w:spacing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US </w:t>
            </w:r>
          </w:p>
        </w:tc>
        <w:tc>
          <w:tcPr>
            <w:tcW w:w="1605" w:type="dxa"/>
            <w:vAlign w:val="center"/>
          </w:tcPr>
          <w:p w14:paraId="23D6E62F"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Federal emissions </w:t>
            </w:r>
          </w:p>
          <w:p w14:paraId="06494FED" w14:textId="77777777" w:rsidR="006D0435" w:rsidRDefault="00000000">
            <w:pPr>
              <w:spacing w:line="360" w:lineRule="auto"/>
              <w:ind w:left="103"/>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standards + </w:t>
            </w:r>
          </w:p>
          <w:p w14:paraId="458BE913"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tax credit rules </w:t>
            </w:r>
          </w:p>
        </w:tc>
        <w:tc>
          <w:tcPr>
            <w:tcW w:w="1860" w:type="dxa"/>
            <w:vAlign w:val="center"/>
          </w:tcPr>
          <w:p w14:paraId="23795DAA"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30D credit with assembly/miner al constraints </w:t>
            </w:r>
          </w:p>
        </w:tc>
        <w:tc>
          <w:tcPr>
            <w:tcW w:w="1875" w:type="dxa"/>
            <w:vAlign w:val="center"/>
          </w:tcPr>
          <w:p w14:paraId="020AFB7C"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NEVI: minimum standards, </w:t>
            </w:r>
          </w:p>
          <w:p w14:paraId="7A5E646A" w14:textId="77777777" w:rsidR="006D0435" w:rsidRDefault="00000000">
            <w:pPr>
              <w:spacing w:line="360" w:lineRule="auto"/>
              <w:ind w:left="101"/>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interoperability </w:t>
            </w:r>
          </w:p>
          <w:p w14:paraId="123F2256" w14:textId="77777777" w:rsidR="006D0435" w:rsidRDefault="00000000">
            <w:pPr>
              <w:spacing w:line="360" w:lineRule="auto"/>
              <w:ind w:left="28"/>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&amp; data reporting </w:t>
            </w:r>
          </w:p>
        </w:tc>
        <w:tc>
          <w:tcPr>
            <w:tcW w:w="3015" w:type="dxa"/>
            <w:vAlign w:val="center"/>
          </w:tcPr>
          <w:p w14:paraId="1B14EFF9" w14:textId="77777777" w:rsidR="006D0435" w:rsidRDefault="00000000">
            <w:pPr>
              <w:spacing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EV sales </w:t>
            </w:r>
          </w:p>
          <w:p w14:paraId="0D46D5D0" w14:textId="77777777" w:rsidR="006D0435" w:rsidRDefault="00000000">
            <w:pPr>
              <w:spacing w:line="360" w:lineRule="auto"/>
              <w:ind w:left="13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1.6M; share </w:t>
            </w:r>
          </w:p>
          <w:p w14:paraId="7185426F" w14:textId="77777777" w:rsidR="006D0435" w:rsidRDefault="00000000">
            <w:pPr>
              <w:spacing w:line="360" w:lineRule="auto"/>
              <w:ind w:left="73"/>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&gt;10% (2024) </w:t>
            </w:r>
          </w:p>
        </w:tc>
      </w:tr>
      <w:tr w:rsidR="006D0435" w14:paraId="35D49A66" w14:textId="77777777">
        <w:trPr>
          <w:trHeight w:val="1109"/>
        </w:trPr>
        <w:tc>
          <w:tcPr>
            <w:tcW w:w="1575" w:type="dxa"/>
            <w:vAlign w:val="center"/>
          </w:tcPr>
          <w:p w14:paraId="19FE7361" w14:textId="77777777" w:rsidR="006D0435" w:rsidRDefault="00000000">
            <w:pPr>
              <w:spacing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China </w:t>
            </w:r>
          </w:p>
        </w:tc>
        <w:tc>
          <w:tcPr>
            <w:tcW w:w="1605" w:type="dxa"/>
            <w:vAlign w:val="center"/>
          </w:tcPr>
          <w:p w14:paraId="519D1206" w14:textId="77777777" w:rsidR="006D0435" w:rsidRDefault="00000000">
            <w:pPr>
              <w:spacing w:line="360" w:lineRule="auto"/>
              <w:ind w:left="20" w:right="2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NEV mandate </w:t>
            </w:r>
          </w:p>
          <w:p w14:paraId="11C95C74" w14:textId="77777777" w:rsidR="006D0435" w:rsidRDefault="00000000">
            <w:pPr>
              <w:spacing w:line="360" w:lineRule="auto"/>
              <w:ind w:left="10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(dual credit) </w:t>
            </w:r>
          </w:p>
        </w:tc>
        <w:tc>
          <w:tcPr>
            <w:tcW w:w="1860" w:type="dxa"/>
            <w:vAlign w:val="center"/>
          </w:tcPr>
          <w:p w14:paraId="74EC93AC"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Purchase tax exemptions/</w:t>
            </w:r>
            <w:proofErr w:type="spellStart"/>
            <w:r>
              <w:rPr>
                <w:rFonts w:ascii="Times New Roman" w:eastAsia="Times New Roman" w:hAnsi="Times New Roman" w:cs="Times New Roman"/>
                <w:color w:val="000000"/>
                <w:sz w:val="16"/>
                <w:szCs w:val="16"/>
              </w:rPr>
              <w:t>pha</w:t>
            </w:r>
            <w:proofErr w:type="spellEnd"/>
          </w:p>
          <w:p w14:paraId="32EA1CE7"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se-down; earlier subsidies </w:t>
            </w:r>
          </w:p>
        </w:tc>
        <w:tc>
          <w:tcPr>
            <w:tcW w:w="1875" w:type="dxa"/>
            <w:vAlign w:val="center"/>
          </w:tcPr>
          <w:p w14:paraId="5A63A7A7"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Large fast-charger </w:t>
            </w:r>
          </w:p>
          <w:p w14:paraId="3C23946D"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build-out; policy mix </w:t>
            </w:r>
          </w:p>
        </w:tc>
        <w:tc>
          <w:tcPr>
            <w:tcW w:w="3015" w:type="dxa"/>
            <w:vAlign w:val="center"/>
          </w:tcPr>
          <w:p w14:paraId="3C01DC82"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Global leader; segment </w:t>
            </w:r>
          </w:p>
          <w:p w14:paraId="2E7548EF" w14:textId="77777777" w:rsidR="006D0435" w:rsidRDefault="00000000">
            <w:pPr>
              <w:spacing w:line="360" w:lineRule="auto"/>
              <w:ind w:left="64"/>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electrification </w:t>
            </w:r>
          </w:p>
          <w:p w14:paraId="647BCD44" w14:textId="77777777" w:rsidR="006D0435" w:rsidRDefault="00000000">
            <w:pPr>
              <w:spacing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t>
            </w:r>
            <w:proofErr w:type="gramStart"/>
            <w:r>
              <w:rPr>
                <w:rFonts w:ascii="Times New Roman" w:eastAsia="Times New Roman" w:hAnsi="Times New Roman" w:cs="Times New Roman"/>
                <w:color w:val="000000"/>
                <w:sz w:val="16"/>
                <w:szCs w:val="16"/>
              </w:rPr>
              <w:t>small</w:t>
            </w:r>
            <w:proofErr w:type="gramEnd"/>
            <w:r>
              <w:rPr>
                <w:rFonts w:ascii="Times New Roman" w:eastAsia="Times New Roman" w:hAnsi="Times New Roman" w:cs="Times New Roman"/>
                <w:color w:val="000000"/>
                <w:sz w:val="16"/>
                <w:szCs w:val="16"/>
              </w:rPr>
              <w:t xml:space="preserve"> cars </w:t>
            </w:r>
          </w:p>
          <w:p w14:paraId="7C7E9EBD" w14:textId="77777777" w:rsidR="006D0435" w:rsidRDefault="00000000">
            <w:pPr>
              <w:spacing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~95% in </w:t>
            </w:r>
          </w:p>
          <w:p w14:paraId="209CAE3A" w14:textId="77777777" w:rsidR="006D0435" w:rsidRDefault="00000000">
            <w:pPr>
              <w:spacing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2024) </w:t>
            </w:r>
          </w:p>
        </w:tc>
      </w:tr>
      <w:tr w:rsidR="006D0435" w14:paraId="36E814D8" w14:textId="77777777">
        <w:trPr>
          <w:trHeight w:val="480"/>
        </w:trPr>
        <w:tc>
          <w:tcPr>
            <w:tcW w:w="1575" w:type="dxa"/>
            <w:vAlign w:val="center"/>
          </w:tcPr>
          <w:p w14:paraId="3833FECA" w14:textId="77777777" w:rsidR="006D0435" w:rsidRDefault="00000000">
            <w:pPr>
              <w:spacing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UK </w:t>
            </w:r>
          </w:p>
        </w:tc>
        <w:tc>
          <w:tcPr>
            <w:tcW w:w="1605" w:type="dxa"/>
            <w:vAlign w:val="center"/>
          </w:tcPr>
          <w:p w14:paraId="3DC26D04"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ZEV mandate: </w:t>
            </w:r>
          </w:p>
          <w:p w14:paraId="66DCFFED"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80% by 2030; </w:t>
            </w:r>
          </w:p>
          <w:p w14:paraId="47532042" w14:textId="77777777" w:rsidR="006D0435" w:rsidRDefault="00000000">
            <w:pPr>
              <w:spacing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100% by </w:t>
            </w:r>
          </w:p>
          <w:p w14:paraId="5B0952CD" w14:textId="77777777" w:rsidR="006D0435" w:rsidRDefault="00000000">
            <w:pPr>
              <w:spacing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2035 </w:t>
            </w:r>
          </w:p>
        </w:tc>
        <w:tc>
          <w:tcPr>
            <w:tcW w:w="1860" w:type="dxa"/>
            <w:vAlign w:val="center"/>
          </w:tcPr>
          <w:p w14:paraId="0FBA5F9D"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Complementary incentives </w:t>
            </w:r>
          </w:p>
        </w:tc>
        <w:tc>
          <w:tcPr>
            <w:tcW w:w="1875" w:type="dxa"/>
            <w:vAlign w:val="center"/>
          </w:tcPr>
          <w:p w14:paraId="7BF2B50A"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National charging </w:t>
            </w:r>
          </w:p>
          <w:p w14:paraId="29184AE1" w14:textId="77777777" w:rsidR="006D0435" w:rsidRDefault="00000000">
            <w:pPr>
              <w:spacing w:line="360" w:lineRule="auto"/>
              <w:ind w:hanging="23"/>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investments + mandate trajectory </w:t>
            </w:r>
          </w:p>
        </w:tc>
        <w:tc>
          <w:tcPr>
            <w:tcW w:w="3015" w:type="dxa"/>
            <w:vAlign w:val="center"/>
          </w:tcPr>
          <w:p w14:paraId="23FD5229"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Policy certainty </w:t>
            </w:r>
          </w:p>
          <w:p w14:paraId="4845C01E" w14:textId="77777777" w:rsidR="006D0435" w:rsidRDefault="00000000">
            <w:pPr>
              <w:spacing w:line="360" w:lineRule="auto"/>
              <w:ind w:left="15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mechanism </w:t>
            </w:r>
          </w:p>
        </w:tc>
      </w:tr>
      <w:tr w:rsidR="006D0435" w14:paraId="5052B3FA" w14:textId="77777777">
        <w:trPr>
          <w:trHeight w:val="15"/>
        </w:trPr>
        <w:tc>
          <w:tcPr>
            <w:tcW w:w="1575" w:type="dxa"/>
            <w:vAlign w:val="center"/>
          </w:tcPr>
          <w:p w14:paraId="00746310" w14:textId="77777777" w:rsidR="006D0435" w:rsidRDefault="00000000">
            <w:pPr>
              <w:spacing w:line="360" w:lineRule="auto"/>
              <w:ind w:left="11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Jurisdiction </w:t>
            </w:r>
          </w:p>
        </w:tc>
        <w:tc>
          <w:tcPr>
            <w:tcW w:w="1605" w:type="dxa"/>
            <w:vAlign w:val="center"/>
          </w:tcPr>
          <w:p w14:paraId="0C08FFF5"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Anchor regulation </w:t>
            </w:r>
          </w:p>
        </w:tc>
        <w:tc>
          <w:tcPr>
            <w:tcW w:w="1860" w:type="dxa"/>
            <w:vAlign w:val="center"/>
          </w:tcPr>
          <w:p w14:paraId="505014C0"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Key demand-side </w:t>
            </w:r>
          </w:p>
          <w:p w14:paraId="2B38D850" w14:textId="77777777" w:rsidR="006D0435" w:rsidRDefault="00000000">
            <w:pPr>
              <w:spacing w:line="360" w:lineRule="auto"/>
              <w:ind w:right="62"/>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tools </w:t>
            </w:r>
          </w:p>
        </w:tc>
        <w:tc>
          <w:tcPr>
            <w:tcW w:w="1875" w:type="dxa"/>
            <w:vAlign w:val="center"/>
          </w:tcPr>
          <w:p w14:paraId="3ECF4D07"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Infrastructure rules </w:t>
            </w:r>
          </w:p>
        </w:tc>
        <w:tc>
          <w:tcPr>
            <w:tcW w:w="3015" w:type="dxa"/>
            <w:vAlign w:val="center"/>
          </w:tcPr>
          <w:p w14:paraId="31CAE8D3" w14:textId="77777777" w:rsidR="006D0435" w:rsidRDefault="00000000">
            <w:pPr>
              <w:spacing w:line="360" w:lineRule="auto"/>
              <w:ind w:left="7" w:hanging="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Illustrative adoption indicator </w:t>
            </w:r>
          </w:p>
        </w:tc>
      </w:tr>
      <w:tr w:rsidR="006D0435" w14:paraId="5658BECE" w14:textId="77777777">
        <w:trPr>
          <w:trHeight w:val="660"/>
        </w:trPr>
        <w:tc>
          <w:tcPr>
            <w:tcW w:w="1575" w:type="dxa"/>
            <w:vAlign w:val="center"/>
          </w:tcPr>
          <w:p w14:paraId="0FCF690C" w14:textId="77777777" w:rsidR="006D0435" w:rsidRDefault="00000000">
            <w:pPr>
              <w:spacing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India </w:t>
            </w:r>
          </w:p>
        </w:tc>
        <w:tc>
          <w:tcPr>
            <w:tcW w:w="1605" w:type="dxa"/>
            <w:vAlign w:val="center"/>
          </w:tcPr>
          <w:p w14:paraId="22FDA211" w14:textId="77777777" w:rsidR="006D0435" w:rsidRDefault="00000000">
            <w:pPr>
              <w:spacing w:line="360" w:lineRule="auto"/>
              <w:ind w:right="47"/>
              <w:jc w:val="center"/>
              <w:rPr>
                <w:rFonts w:ascii="Times New Roman" w:eastAsia="Times New Roman" w:hAnsi="Times New Roman" w:cs="Times New Roman"/>
                <w:color w:val="000000"/>
                <w:sz w:val="16"/>
                <w:szCs w:val="16"/>
              </w:rPr>
            </w:pPr>
            <w:proofErr w:type="spellStart"/>
            <w:r>
              <w:rPr>
                <w:rFonts w:ascii="Times New Roman" w:eastAsia="Times New Roman" w:hAnsi="Times New Roman" w:cs="Times New Roman"/>
                <w:color w:val="000000"/>
                <w:sz w:val="16"/>
                <w:szCs w:val="16"/>
              </w:rPr>
              <w:t>Programmati</w:t>
            </w:r>
            <w:proofErr w:type="spellEnd"/>
            <w:r>
              <w:rPr>
                <w:rFonts w:ascii="Times New Roman" w:eastAsia="Times New Roman" w:hAnsi="Times New Roman" w:cs="Times New Roman"/>
                <w:color w:val="000000"/>
                <w:sz w:val="16"/>
                <w:szCs w:val="16"/>
              </w:rPr>
              <w:t xml:space="preserve"> c adoption support </w:t>
            </w:r>
          </w:p>
        </w:tc>
        <w:tc>
          <w:tcPr>
            <w:tcW w:w="1860" w:type="dxa"/>
            <w:vAlign w:val="center"/>
          </w:tcPr>
          <w:p w14:paraId="773F1C32"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FAME II demand </w:t>
            </w:r>
          </w:p>
          <w:p w14:paraId="4B29A8F1" w14:textId="77777777" w:rsidR="006D0435" w:rsidRDefault="00000000">
            <w:pPr>
              <w:spacing w:line="360" w:lineRule="auto"/>
              <w:ind w:right="62"/>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incentives </w:t>
            </w:r>
          </w:p>
        </w:tc>
        <w:tc>
          <w:tcPr>
            <w:tcW w:w="1875" w:type="dxa"/>
            <w:vAlign w:val="center"/>
          </w:tcPr>
          <w:p w14:paraId="18430C48"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Developing infrastructure frameworks </w:t>
            </w:r>
          </w:p>
        </w:tc>
        <w:tc>
          <w:tcPr>
            <w:tcW w:w="3015" w:type="dxa"/>
            <w:vAlign w:val="center"/>
          </w:tcPr>
          <w:p w14:paraId="5F3ADAC1"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Electric car share ~2% </w:t>
            </w:r>
          </w:p>
          <w:p w14:paraId="6FE70B95" w14:textId="77777777" w:rsidR="006D0435" w:rsidRDefault="00000000">
            <w:pPr>
              <w:spacing w:line="360" w:lineRule="auto"/>
              <w:ind w:left="1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(2024); strong </w:t>
            </w:r>
          </w:p>
          <w:p w14:paraId="0DB43B6F" w14:textId="77777777" w:rsidR="006D0435" w:rsidRDefault="00000000">
            <w:pPr>
              <w:spacing w:line="360" w:lineRule="auto"/>
              <w:ind w:left="15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2/3W focus </w:t>
            </w:r>
          </w:p>
        </w:tc>
      </w:tr>
      <w:tr w:rsidR="006D0435" w14:paraId="1A934B1E" w14:textId="77777777">
        <w:trPr>
          <w:trHeight w:val="210"/>
        </w:trPr>
        <w:tc>
          <w:tcPr>
            <w:tcW w:w="1575" w:type="dxa"/>
            <w:tcBorders>
              <w:bottom w:val="single" w:sz="8" w:space="0" w:color="000000"/>
            </w:tcBorders>
            <w:vAlign w:val="center"/>
          </w:tcPr>
          <w:p w14:paraId="259CC87E" w14:textId="77777777" w:rsidR="006D0435" w:rsidRDefault="00000000">
            <w:pPr>
              <w:spacing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Norway </w:t>
            </w:r>
          </w:p>
        </w:tc>
        <w:tc>
          <w:tcPr>
            <w:tcW w:w="1605" w:type="dxa"/>
            <w:tcBorders>
              <w:bottom w:val="single" w:sz="8" w:space="0" w:color="000000"/>
            </w:tcBorders>
            <w:vAlign w:val="center"/>
          </w:tcPr>
          <w:p w14:paraId="0AC45395" w14:textId="77777777" w:rsidR="006D0435" w:rsidRDefault="00000000">
            <w:pPr>
              <w:spacing w:line="360" w:lineRule="auto"/>
              <w:ind w:right="2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Long-term tax incentives </w:t>
            </w:r>
          </w:p>
        </w:tc>
        <w:tc>
          <w:tcPr>
            <w:tcW w:w="1860" w:type="dxa"/>
            <w:tcBorders>
              <w:bottom w:val="single" w:sz="8" w:space="0" w:color="000000"/>
            </w:tcBorders>
            <w:vAlign w:val="center"/>
          </w:tcPr>
          <w:p w14:paraId="28C72B62" w14:textId="77777777" w:rsidR="006D0435" w:rsidRDefault="00000000">
            <w:pPr>
              <w:spacing w:line="360" w:lineRule="auto"/>
              <w:ind w:left="8" w:hanging="8"/>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VAT/registration tax treatment; user benefits </w:t>
            </w:r>
          </w:p>
        </w:tc>
        <w:tc>
          <w:tcPr>
            <w:tcW w:w="1875" w:type="dxa"/>
            <w:tcBorders>
              <w:bottom w:val="single" w:sz="8" w:space="0" w:color="000000"/>
            </w:tcBorders>
            <w:vAlign w:val="center"/>
          </w:tcPr>
          <w:p w14:paraId="7BD8278A"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Complementary charging + local policy </w:t>
            </w:r>
          </w:p>
        </w:tc>
        <w:tc>
          <w:tcPr>
            <w:tcW w:w="3015" w:type="dxa"/>
            <w:tcBorders>
              <w:bottom w:val="single" w:sz="8" w:space="0" w:color="000000"/>
            </w:tcBorders>
            <w:vAlign w:val="center"/>
          </w:tcPr>
          <w:p w14:paraId="2E71CA47" w14:textId="77777777" w:rsidR="006D0435" w:rsidRDefault="00000000">
            <w:pPr>
              <w:spacing w:line="360" w:lineRule="auto"/>
              <w:ind w:right="67"/>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BEV share </w:t>
            </w:r>
          </w:p>
          <w:p w14:paraId="5E69C40F" w14:textId="77777777" w:rsidR="006D0435" w:rsidRDefault="00000000">
            <w:pPr>
              <w:spacing w:line="36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95.9% of new cars (2025) </w:t>
            </w:r>
          </w:p>
        </w:tc>
      </w:tr>
    </w:tbl>
    <w:p w14:paraId="1FB5854F" w14:textId="77777777" w:rsidR="006D0435" w:rsidRDefault="00000000">
      <w:pPr>
        <w:spacing w:after="0"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EU BEV share from ACEA (2026); US and China stats from IEA (2025); Norway </w:t>
      </w:r>
      <w:proofErr w:type="gramStart"/>
      <w:r>
        <w:rPr>
          <w:rFonts w:ascii="Times New Roman" w:eastAsia="Times New Roman" w:hAnsi="Times New Roman" w:cs="Times New Roman"/>
          <w:color w:val="000000"/>
          <w:sz w:val="24"/>
          <w:szCs w:val="24"/>
        </w:rPr>
        <w:t>share</w:t>
      </w:r>
      <w:proofErr w:type="gramEnd"/>
      <w:r>
        <w:rPr>
          <w:rFonts w:ascii="Times New Roman" w:eastAsia="Times New Roman" w:hAnsi="Times New Roman" w:cs="Times New Roman"/>
          <w:color w:val="000000"/>
          <w:sz w:val="24"/>
          <w:szCs w:val="24"/>
        </w:rPr>
        <w:t xml:space="preserve"> from Reuters (2026). </w:t>
      </w:r>
      <w:hyperlink r:id="rId323">
        <w:r>
          <w:rPr>
            <w:rFonts w:ascii="Times New Roman" w:eastAsia="Times New Roman" w:hAnsi="Times New Roman" w:cs="Times New Roman"/>
            <w:sz w:val="24"/>
            <w:szCs w:val="24"/>
          </w:rPr>
          <w:t>[172]</w:t>
        </w:r>
      </w:hyperlink>
      <w:r>
        <w:rPr>
          <w:rFonts w:ascii="Times New Roman" w:eastAsia="Times New Roman" w:hAnsi="Times New Roman" w:cs="Times New Roman"/>
          <w:color w:val="000000"/>
          <w:sz w:val="24"/>
          <w:szCs w:val="24"/>
        </w:rPr>
        <w:t xml:space="preserve"> </w:t>
      </w:r>
    </w:p>
    <w:p w14:paraId="11C7DF26" w14:textId="77777777" w:rsidR="006D0435" w:rsidRDefault="00000000">
      <w:pPr>
        <w:pStyle w:val="Heading2"/>
        <w:spacing w:after="55" w:line="360" w:lineRule="auto"/>
        <w:ind w:left="8"/>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lastRenderedPageBreak/>
        <w:t xml:space="preserve">9.3.4 </w:t>
      </w:r>
      <w:r>
        <w:rPr>
          <w:rFonts w:ascii="Times New Roman" w:eastAsia="Times New Roman" w:hAnsi="Times New Roman" w:cs="Times New Roman"/>
          <w:color w:val="000000"/>
          <w:sz w:val="24"/>
          <w:szCs w:val="24"/>
        </w:rPr>
        <w:t xml:space="preserve">Suggested figures and mermaid charts </w:t>
      </w:r>
    </w:p>
    <w:p w14:paraId="3BC8782A" w14:textId="77777777" w:rsidR="006D0435" w:rsidRDefault="00000000">
      <w:pPr>
        <w:spacing w:after="171" w:line="360" w:lineRule="auto"/>
        <w:ind w:right="968"/>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C1C066E" wp14:editId="5A2FA6B7">
            <wp:extent cx="4581525" cy="1781175"/>
            <wp:effectExtent l="0" t="0" r="0" b="0"/>
            <wp:docPr id="15"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324"/>
                    <a:srcRect/>
                    <a:stretch>
                      <a:fillRect/>
                    </a:stretch>
                  </pic:blipFill>
                  <pic:spPr>
                    <a:xfrm>
                      <a:off x="0" y="0"/>
                      <a:ext cx="4581525" cy="1781175"/>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p>
    <w:p w14:paraId="14B6C86A" w14:textId="77777777" w:rsidR="006D0435" w:rsidRDefault="00000000">
      <w:pPr>
        <w:spacing w:after="166" w:line="360" w:lineRule="auto"/>
        <w:ind w:left="30" w:right="2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Figure 1: Policy adoption milestones (2015–2025). (Sources: ICCT (2018); European Commission; GOV.UK; EPA.) </w:t>
      </w:r>
    </w:p>
    <w:p w14:paraId="4333463A" w14:textId="77777777" w:rsidR="006D0435" w:rsidRDefault="00000000">
      <w:pPr>
        <w:spacing w:after="21" w:line="360" w:lineRule="auto"/>
        <w:ind w:left="8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119EFFF" w14:textId="77777777" w:rsidR="006D0435" w:rsidRDefault="00000000">
      <w:pPr>
        <w:spacing w:after="8" w:line="360" w:lineRule="auto"/>
        <w:ind w:left="1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China NEV mandate details: ICCT (2018). </w:t>
      </w:r>
      <w:hyperlink r:id="rId325">
        <w:r>
          <w:rPr>
            <w:rFonts w:ascii="Times New Roman" w:eastAsia="Times New Roman" w:hAnsi="Times New Roman" w:cs="Times New Roman"/>
            <w:sz w:val="24"/>
            <w:szCs w:val="24"/>
          </w:rPr>
          <w:t>[186]</w:t>
        </w:r>
      </w:hyperlink>
      <w:r>
        <w:rPr>
          <w:rFonts w:ascii="Times New Roman" w:eastAsia="Times New Roman" w:hAnsi="Times New Roman" w:cs="Times New Roman"/>
          <w:color w:val="000000"/>
          <w:sz w:val="24"/>
          <w:szCs w:val="24"/>
        </w:rPr>
        <w:t xml:space="preserve"> EU CO₂ targets: European Commission </w:t>
      </w:r>
    </w:p>
    <w:p w14:paraId="7B18C3B4" w14:textId="77777777" w:rsidR="006D0435" w:rsidRDefault="00000000">
      <w:pPr>
        <w:spacing w:after="8"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(cars and vans page). </w:t>
      </w:r>
      <w:hyperlink r:id="rId326">
        <w:r>
          <w:rPr>
            <w:rFonts w:ascii="Times New Roman" w:eastAsia="Times New Roman" w:hAnsi="Times New Roman" w:cs="Times New Roman"/>
            <w:sz w:val="24"/>
            <w:szCs w:val="24"/>
          </w:rPr>
          <w:t>[164]</w:t>
        </w:r>
      </w:hyperlink>
      <w:r>
        <w:rPr>
          <w:rFonts w:ascii="Times New Roman" w:eastAsia="Times New Roman" w:hAnsi="Times New Roman" w:cs="Times New Roman"/>
          <w:color w:val="000000"/>
          <w:sz w:val="24"/>
          <w:szCs w:val="24"/>
        </w:rPr>
        <w:t xml:space="preserve"> AFIR applicability/objectives: European Commission. </w:t>
      </w:r>
      <w:hyperlink r:id="rId327">
        <w:r>
          <w:rPr>
            <w:rFonts w:ascii="Times New Roman" w:eastAsia="Times New Roman" w:hAnsi="Times New Roman" w:cs="Times New Roman"/>
            <w:sz w:val="24"/>
            <w:szCs w:val="24"/>
          </w:rPr>
          <w:t>[167]</w:t>
        </w:r>
      </w:hyperlink>
      <w:r>
        <w:rPr>
          <w:rFonts w:ascii="Times New Roman" w:eastAsia="Times New Roman" w:hAnsi="Times New Roman" w:cs="Times New Roman"/>
          <w:color w:val="000000"/>
          <w:sz w:val="24"/>
          <w:szCs w:val="24"/>
        </w:rPr>
        <w:t xml:space="preserve"> UK </w:t>
      </w:r>
    </w:p>
    <w:p w14:paraId="0018C7D5" w14:textId="77777777" w:rsidR="006D0435" w:rsidRDefault="00000000">
      <w:pPr>
        <w:spacing w:after="0" w:line="360" w:lineRule="auto"/>
        <w:ind w:left="2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ZEV mandate law: GOV.UK. </w:t>
      </w:r>
      <w:hyperlink r:id="rId328">
        <w:r>
          <w:rPr>
            <w:rFonts w:ascii="Times New Roman" w:eastAsia="Times New Roman" w:hAnsi="Times New Roman" w:cs="Times New Roman"/>
            <w:sz w:val="24"/>
            <w:szCs w:val="24"/>
          </w:rPr>
          <w:t>[188]</w:t>
        </w:r>
      </w:hyperlink>
      <w:r>
        <w:rPr>
          <w:rFonts w:ascii="Times New Roman" w:eastAsia="Times New Roman" w:hAnsi="Times New Roman" w:cs="Times New Roman"/>
          <w:color w:val="000000"/>
          <w:sz w:val="24"/>
          <w:szCs w:val="24"/>
        </w:rPr>
        <w:t xml:space="preserve"> EPA rule final: EPA. </w:t>
      </w:r>
      <w:hyperlink r:id="rId329">
        <w:r>
          <w:rPr>
            <w:rFonts w:ascii="Times New Roman" w:eastAsia="Times New Roman" w:hAnsi="Times New Roman" w:cs="Times New Roman"/>
            <w:sz w:val="24"/>
            <w:szCs w:val="24"/>
          </w:rPr>
          <w:t>[191]</w:t>
        </w:r>
      </w:hyperlink>
      <w:r>
        <w:rPr>
          <w:rFonts w:ascii="Times New Roman" w:eastAsia="Times New Roman" w:hAnsi="Times New Roman" w:cs="Times New Roman"/>
          <w:color w:val="000000"/>
          <w:sz w:val="24"/>
          <w:szCs w:val="24"/>
        </w:rPr>
        <w:t xml:space="preserve"> </w:t>
      </w:r>
    </w:p>
    <w:p w14:paraId="51B6D82C" w14:textId="77777777" w:rsidR="006D0435" w:rsidRDefault="00000000">
      <w:pPr>
        <w:spacing w:after="171" w:line="360" w:lineRule="auto"/>
        <w:ind w:right="1531"/>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11BA4F3" wp14:editId="4C9402C0">
            <wp:extent cx="3867150" cy="2571750"/>
            <wp:effectExtent l="0" t="0" r="0" b="0"/>
            <wp:docPr id="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30"/>
                    <a:srcRect/>
                    <a:stretch>
                      <a:fillRect/>
                    </a:stretch>
                  </pic:blipFill>
                  <pic:spPr>
                    <a:xfrm>
                      <a:off x="0" y="0"/>
                      <a:ext cx="3867150" cy="2571750"/>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p>
    <w:p w14:paraId="6E8FE6C0" w14:textId="77777777" w:rsidR="006D0435" w:rsidRDefault="00000000">
      <w:pPr>
        <w:spacing w:after="166" w:line="360" w:lineRule="auto"/>
        <w:ind w:left="3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Figure 2: Policy impact pathway (conceptual) </w:t>
      </w:r>
    </w:p>
    <w:p w14:paraId="21944844" w14:textId="77777777" w:rsidR="006D0435" w:rsidRDefault="00000000">
      <w:pPr>
        <w:spacing w:after="154"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pathway aligns with IEA’s emphasis on charging coverage and policy frameworks. </w:t>
      </w:r>
      <w:hyperlink r:id="rId331">
        <w:r>
          <w:rPr>
            <w:rFonts w:ascii="Times New Roman" w:eastAsia="Times New Roman" w:hAnsi="Times New Roman" w:cs="Times New Roman"/>
            <w:sz w:val="24"/>
            <w:szCs w:val="24"/>
          </w:rPr>
          <w:t>[174]</w:t>
        </w:r>
      </w:hyperlink>
      <w:r>
        <w:rPr>
          <w:rFonts w:ascii="Times New Roman" w:eastAsia="Times New Roman" w:hAnsi="Times New Roman" w:cs="Times New Roman"/>
          <w:color w:val="000000"/>
          <w:sz w:val="24"/>
          <w:szCs w:val="24"/>
        </w:rPr>
        <w:t xml:space="preserve"> </w:t>
      </w:r>
    </w:p>
    <w:p w14:paraId="50A51D90" w14:textId="77777777" w:rsidR="006D0435" w:rsidRDefault="00000000">
      <w:pPr>
        <w:spacing w:after="171" w:line="360" w:lineRule="auto"/>
        <w:ind w:right="1028"/>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653A5EFB" wp14:editId="0B5ABE38">
            <wp:extent cx="4505325" cy="2652199"/>
            <wp:effectExtent l="0" t="0" r="0" b="0"/>
            <wp:docPr id="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32"/>
                    <a:srcRect t="2711" b="9031"/>
                    <a:stretch>
                      <a:fillRect/>
                    </a:stretch>
                  </pic:blipFill>
                  <pic:spPr>
                    <a:xfrm>
                      <a:off x="0" y="0"/>
                      <a:ext cx="4505325" cy="2652199"/>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p>
    <w:p w14:paraId="696BF461" w14:textId="77777777" w:rsidR="006D0435" w:rsidRDefault="00000000">
      <w:pPr>
        <w:spacing w:after="166" w:line="360" w:lineRule="auto"/>
        <w:ind w:left="3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Figure 3: Selected adoption indicators </w:t>
      </w:r>
    </w:p>
    <w:p w14:paraId="6D8B099F"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Values: US “more than 10%” (IEA 2025), EU 17.4% (ACEA 2026), Norway 95.9% (Reuters 2026). </w:t>
      </w:r>
      <w:hyperlink r:id="rId333">
        <w:r>
          <w:rPr>
            <w:rFonts w:ascii="Times New Roman" w:eastAsia="Times New Roman" w:hAnsi="Times New Roman" w:cs="Times New Roman"/>
            <w:sz w:val="24"/>
            <w:szCs w:val="24"/>
          </w:rPr>
          <w:t>[162]</w:t>
        </w:r>
      </w:hyperlink>
      <w:r>
        <w:rPr>
          <w:rFonts w:ascii="Times New Roman" w:eastAsia="Times New Roman" w:hAnsi="Times New Roman" w:cs="Times New Roman"/>
          <w:color w:val="000000"/>
          <w:sz w:val="24"/>
          <w:szCs w:val="24"/>
        </w:rPr>
        <w:t xml:space="preserve"> </w:t>
      </w:r>
    </w:p>
    <w:p w14:paraId="09FD178B" w14:textId="77777777" w:rsidR="006D0435" w:rsidRDefault="00000000">
      <w:pPr>
        <w:pStyle w:val="Heading1"/>
        <w:spacing w:after="137" w:line="360" w:lineRule="auto"/>
        <w:ind w:left="8"/>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9.4 </w:t>
      </w:r>
      <w:r>
        <w:rPr>
          <w:rFonts w:ascii="Times New Roman" w:eastAsia="Times New Roman" w:hAnsi="Times New Roman" w:cs="Times New Roman"/>
          <w:color w:val="000000"/>
          <w:sz w:val="24"/>
          <w:szCs w:val="24"/>
        </w:rPr>
        <w:t xml:space="preserve">Ethical, legal, and compliance considerations </w:t>
      </w:r>
    </w:p>
    <w:p w14:paraId="4D7CEFDC" w14:textId="77777777" w:rsidR="006D0435" w:rsidRDefault="00000000">
      <w:pPr>
        <w:pStyle w:val="Heading2"/>
        <w:spacing w:line="360" w:lineRule="auto"/>
        <w:ind w:left="8"/>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9.4.1 </w:t>
      </w:r>
      <w:r>
        <w:rPr>
          <w:rFonts w:ascii="Times New Roman" w:eastAsia="Times New Roman" w:hAnsi="Times New Roman" w:cs="Times New Roman"/>
          <w:color w:val="000000"/>
          <w:sz w:val="24"/>
          <w:szCs w:val="24"/>
        </w:rPr>
        <w:t xml:space="preserve">Ethical and social considerations: equity, access, and distributional impacts </w:t>
      </w:r>
    </w:p>
    <w:p w14:paraId="4D0AA5E2"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Policy packages can sometimes produce uneven outcomes, particularly when benefits are concentrated among higher-income households that have access to private charging or among early adopters who face fewer cost and infrastructure barriers. Recent European Union guidance under AFIR places emphasis on user information, payment transparency, and interoperability, reflecting growing recognition that convenience and transaction friction influence accessibility and user confidence (European Commission, 2024). </w:t>
      </w:r>
      <w:hyperlink r:id="rId334">
        <w:r>
          <w:rPr>
            <w:rFonts w:ascii="Times New Roman" w:eastAsia="Times New Roman" w:hAnsi="Times New Roman" w:cs="Times New Roman"/>
            <w:sz w:val="24"/>
            <w:szCs w:val="24"/>
          </w:rPr>
          <w:t>[167]</w:t>
        </w:r>
      </w:hyperlink>
      <w:r>
        <w:rPr>
          <w:rFonts w:ascii="Times New Roman" w:eastAsia="Times New Roman" w:hAnsi="Times New Roman" w:cs="Times New Roman"/>
          <w:color w:val="000000"/>
          <w:sz w:val="24"/>
          <w:szCs w:val="24"/>
        </w:rPr>
        <w:t xml:space="preserve"> Equity considerations are also becoming more embedded in regulatory design. For example, California’s Advanced Clean Cars II (ACC II) framework incorporates equity-focused governance mechanisms, including dedicated advisory structures and monitoring provisions aimed at ensuring broader participation in zero-emission vehicle markets (CARB, 2022–2025 program materials). </w:t>
      </w:r>
      <w:hyperlink r:id="rId335">
        <w:r>
          <w:rPr>
            <w:rFonts w:ascii="Times New Roman" w:eastAsia="Times New Roman" w:hAnsi="Times New Roman" w:cs="Times New Roman"/>
            <w:sz w:val="24"/>
            <w:szCs w:val="24"/>
          </w:rPr>
          <w:t>[192]</w:t>
        </w:r>
      </w:hyperlink>
      <w:r>
        <w:rPr>
          <w:rFonts w:ascii="Times New Roman" w:eastAsia="Times New Roman" w:hAnsi="Times New Roman" w:cs="Times New Roman"/>
          <w:color w:val="000000"/>
          <w:sz w:val="24"/>
          <w:szCs w:val="24"/>
        </w:rPr>
        <w:t xml:space="preserve"> </w:t>
      </w:r>
    </w:p>
    <w:p w14:paraId="2C8ABC93" w14:textId="77777777" w:rsidR="006D0435" w:rsidRDefault="00000000">
      <w:pPr>
        <w:spacing w:after="257"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From an ethical, legal, and compliance perspective, policy evaluation frameworks increasingly consider distributional impacts alongside adoption metrics. This includes examining adoption patterns across income groups and housing types, assessing cost differences between home and public charging, and </w:t>
      </w:r>
      <w:proofErr w:type="spellStart"/>
      <w:r>
        <w:rPr>
          <w:rFonts w:ascii="Times New Roman" w:eastAsia="Times New Roman" w:hAnsi="Times New Roman" w:cs="Times New Roman"/>
          <w:color w:val="000000"/>
          <w:sz w:val="24"/>
          <w:szCs w:val="24"/>
        </w:rPr>
        <w:t>analysing</w:t>
      </w:r>
      <w:proofErr w:type="spellEnd"/>
      <w:r>
        <w:rPr>
          <w:rFonts w:ascii="Times New Roman" w:eastAsia="Times New Roman" w:hAnsi="Times New Roman" w:cs="Times New Roman"/>
          <w:color w:val="000000"/>
          <w:sz w:val="24"/>
          <w:szCs w:val="24"/>
        </w:rPr>
        <w:t xml:space="preserve"> geographic disparities between urban and rural regions. Such measures are not peripheral social considerations; rather, they influence long-term policy legitimacy and the durability of regulatory mandates. </w:t>
      </w:r>
    </w:p>
    <w:p w14:paraId="61711556" w14:textId="77777777" w:rsidR="006D0435" w:rsidRDefault="00000000">
      <w:pPr>
        <w:pStyle w:val="Heading2"/>
        <w:spacing w:line="360" w:lineRule="auto"/>
        <w:ind w:left="8"/>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lastRenderedPageBreak/>
        <w:t xml:space="preserve">9.4.2 </w:t>
      </w:r>
      <w:r>
        <w:rPr>
          <w:rFonts w:ascii="Times New Roman" w:eastAsia="Times New Roman" w:hAnsi="Times New Roman" w:cs="Times New Roman"/>
          <w:color w:val="000000"/>
          <w:sz w:val="24"/>
          <w:szCs w:val="24"/>
        </w:rPr>
        <w:t xml:space="preserve">Legal and compliance: safety, cybersecurity, and software update governance </w:t>
      </w:r>
    </w:p>
    <w:p w14:paraId="4A4C7E73" w14:textId="77777777" w:rsidR="006D0435" w:rsidRDefault="00000000">
      <w:pPr>
        <w:spacing w:after="0"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road vehicles become increasingly software-defined and connected, electric mobility policy is expanding beyond traditional transport regulation into cybersecurity and digital governance. United Nations Regulation No. 155 introduces cybersecurity requirements through a Cyber Security Management System (CSMS) framework for vehicle type approval, while also clarifying that such measures operate alongside existing privacy and personal-data protection rules (UN Regulation No. 155, consolidated to 2025). </w:t>
      </w:r>
      <w:hyperlink r:id="rId336">
        <w:r>
          <w:rPr>
            <w:rFonts w:ascii="Times New Roman" w:eastAsia="Times New Roman" w:hAnsi="Times New Roman" w:cs="Times New Roman"/>
            <w:sz w:val="24"/>
            <w:szCs w:val="24"/>
          </w:rPr>
          <w:t>[179]</w:t>
        </w:r>
      </w:hyperlink>
      <w:r>
        <w:rPr>
          <w:rFonts w:ascii="Times New Roman" w:eastAsia="Times New Roman" w:hAnsi="Times New Roman" w:cs="Times New Roman"/>
          <w:color w:val="000000"/>
          <w:sz w:val="24"/>
          <w:szCs w:val="24"/>
        </w:rPr>
        <w:t xml:space="preserve"> Complementing this, UN Regulation No. 156 establishes provisions for Software Update Management Systems (SUMS), defining approval pathways for vehicles that rely on over-the-air software updates and continuous digital maintenance (UN Regulation No. </w:t>
      </w:r>
    </w:p>
    <w:p w14:paraId="739BE56E"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156, 2021). </w:t>
      </w:r>
      <w:hyperlink r:id="rId337">
        <w:r>
          <w:rPr>
            <w:rFonts w:ascii="Times New Roman" w:eastAsia="Times New Roman" w:hAnsi="Times New Roman" w:cs="Times New Roman"/>
            <w:sz w:val="24"/>
            <w:szCs w:val="24"/>
          </w:rPr>
          <w:t>[193]</w:t>
        </w:r>
      </w:hyperlink>
      <w:r>
        <w:rPr>
          <w:rFonts w:ascii="Times New Roman" w:eastAsia="Times New Roman" w:hAnsi="Times New Roman" w:cs="Times New Roman"/>
          <w:color w:val="000000"/>
          <w:sz w:val="24"/>
          <w:szCs w:val="24"/>
        </w:rPr>
        <w:t xml:space="preserve"> </w:t>
      </w:r>
    </w:p>
    <w:p w14:paraId="3EBD9D21"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Electrical safety remains another critical regulatory pillar. UN Regulation No. 100 sets requirements for electric powertrain systems and rechargeable energy storage safety, including protections against electrical shock and unintended contact (UN Regulation No. 100, 2021). </w:t>
      </w:r>
      <w:hyperlink r:id="rId338">
        <w:r>
          <w:rPr>
            <w:rFonts w:ascii="Times New Roman" w:eastAsia="Times New Roman" w:hAnsi="Times New Roman" w:cs="Times New Roman"/>
            <w:sz w:val="24"/>
            <w:szCs w:val="24"/>
          </w:rPr>
          <w:t>[181]</w:t>
        </w:r>
      </w:hyperlink>
      <w:r>
        <w:rPr>
          <w:rFonts w:ascii="Times New Roman" w:eastAsia="Times New Roman" w:hAnsi="Times New Roman" w:cs="Times New Roman"/>
          <w:color w:val="000000"/>
          <w:sz w:val="24"/>
          <w:szCs w:val="24"/>
        </w:rPr>
        <w:t xml:space="preserve"> Together, these frameworks shape certification pathways, compliance costs, and the conditions for cross-border vehicle trade, illustrating how technical regulation increasingly influences global adoption dynamics. </w:t>
      </w:r>
    </w:p>
    <w:p w14:paraId="0B41D1AF" w14:textId="77777777" w:rsidR="006D0435" w:rsidRDefault="00000000">
      <w:pPr>
        <w:spacing w:after="256"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Infrastructure governance is also evolving to address consumer data responsibilities. Under the U.S. National Electric Vehicle Infrastructure (NEVI) program, minimum standards for federally funded chargers include provisions on payment accessibility, interoperability, and customer data privacy. These rules require that personal information be collected only when necessary and protected through appropriate safeguards, reflecting a broader shift toward privacy-by-design principles within charging policy (Federal Register, 2023). </w:t>
      </w:r>
      <w:hyperlink r:id="rId339">
        <w:r>
          <w:rPr>
            <w:rFonts w:ascii="Times New Roman" w:eastAsia="Times New Roman" w:hAnsi="Times New Roman" w:cs="Times New Roman"/>
            <w:sz w:val="24"/>
            <w:szCs w:val="24"/>
          </w:rPr>
          <w:t>[173]</w:t>
        </w:r>
      </w:hyperlink>
      <w:r>
        <w:rPr>
          <w:rFonts w:ascii="Times New Roman" w:eastAsia="Times New Roman" w:hAnsi="Times New Roman" w:cs="Times New Roman"/>
          <w:color w:val="000000"/>
          <w:sz w:val="24"/>
          <w:szCs w:val="24"/>
        </w:rPr>
        <w:t xml:space="preserve"> </w:t>
      </w:r>
    </w:p>
    <w:p w14:paraId="7715E01E" w14:textId="77777777" w:rsidR="006D0435" w:rsidRDefault="00000000">
      <w:pPr>
        <w:pStyle w:val="Heading2"/>
        <w:spacing w:line="360" w:lineRule="auto"/>
        <w:ind w:left="8"/>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9.4.3 </w:t>
      </w:r>
      <w:r>
        <w:rPr>
          <w:rFonts w:ascii="Times New Roman" w:eastAsia="Times New Roman" w:hAnsi="Times New Roman" w:cs="Times New Roman"/>
          <w:color w:val="000000"/>
          <w:sz w:val="24"/>
          <w:szCs w:val="24"/>
        </w:rPr>
        <w:t xml:space="preserve">Environmental and circular-economy compliance: batteries and supply chains </w:t>
      </w:r>
    </w:p>
    <w:p w14:paraId="1D43CBEC" w14:textId="77777777" w:rsidR="006D0435" w:rsidRDefault="00000000">
      <w:pPr>
        <w:spacing w:after="249"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EU Battery Regulation (Regulation (EU) 2023/1542) explicitly aims to reduce environmental impacts and ensure a sustainable battery value chain, considering carbon footprint, ethical sourcing, and facilitating reuse/repurposing/recycling—making battery due diligence and circularity part of regulatory compliance, not voluntary ESG (Regulation (EU) 2023/1542). </w:t>
      </w:r>
      <w:hyperlink r:id="rId340">
        <w:r>
          <w:rPr>
            <w:rFonts w:ascii="Times New Roman" w:eastAsia="Times New Roman" w:hAnsi="Times New Roman" w:cs="Times New Roman"/>
            <w:sz w:val="24"/>
            <w:szCs w:val="24"/>
          </w:rPr>
          <w:t>[185]</w:t>
        </w:r>
      </w:hyperlink>
      <w:r>
        <w:rPr>
          <w:rFonts w:ascii="Times New Roman" w:eastAsia="Times New Roman" w:hAnsi="Times New Roman" w:cs="Times New Roman"/>
          <w:color w:val="000000"/>
          <w:sz w:val="24"/>
          <w:szCs w:val="24"/>
        </w:rPr>
        <w:t xml:space="preserve"> This is directly relevant to global adoption because battery sustainability requirements can (a) raise near-term compliance costs, (b) reduce long-term supply chain risk, and (c) influence where battery manufacturing locates. </w:t>
      </w:r>
    </w:p>
    <w:p w14:paraId="4CF2DB4D" w14:textId="77777777" w:rsidR="006D0435" w:rsidRDefault="00000000">
      <w:pPr>
        <w:pStyle w:val="Heading1"/>
        <w:spacing w:after="137" w:line="360" w:lineRule="auto"/>
        <w:ind w:left="8"/>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lastRenderedPageBreak/>
        <w:t xml:space="preserve">9.5 </w:t>
      </w:r>
      <w:r>
        <w:rPr>
          <w:rFonts w:ascii="Times New Roman" w:eastAsia="Times New Roman" w:hAnsi="Times New Roman" w:cs="Times New Roman"/>
          <w:color w:val="000000"/>
          <w:sz w:val="24"/>
          <w:szCs w:val="24"/>
        </w:rPr>
        <w:t xml:space="preserve">Conclusions and policy recommendations </w:t>
      </w:r>
    </w:p>
    <w:p w14:paraId="1BD3E627" w14:textId="77777777" w:rsidR="006D0435" w:rsidRDefault="00000000">
      <w:pPr>
        <w:pStyle w:val="Heading2"/>
        <w:spacing w:line="360" w:lineRule="auto"/>
        <w:ind w:left="8"/>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9.5.1 </w:t>
      </w:r>
      <w:r>
        <w:rPr>
          <w:rFonts w:ascii="Times New Roman" w:eastAsia="Times New Roman" w:hAnsi="Times New Roman" w:cs="Times New Roman"/>
          <w:color w:val="000000"/>
          <w:sz w:val="24"/>
          <w:szCs w:val="24"/>
        </w:rPr>
        <w:t xml:space="preserve">Synthesis of findings </w:t>
      </w:r>
    </w:p>
    <w:p w14:paraId="2B311D18"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Evidence across 2015–2025 indicates that EV adoption scales fastest when three policy layers align: (1) a credible regulatory trajectory (CO₂ standards/ZEV mandates), (2) consumer-facing affordability measures that are stable and well targeted, and (3) infrastructure rules that guarantee interoperability, price transparency, and adequate charging coverage. </w:t>
      </w:r>
      <w:hyperlink r:id="rId341">
        <w:r>
          <w:rPr>
            <w:rFonts w:ascii="Times New Roman" w:eastAsia="Times New Roman" w:hAnsi="Times New Roman" w:cs="Times New Roman"/>
            <w:sz w:val="24"/>
            <w:szCs w:val="24"/>
          </w:rPr>
          <w:t>[163]</w:t>
        </w:r>
      </w:hyperlink>
      <w:r>
        <w:rPr>
          <w:rFonts w:ascii="Times New Roman" w:eastAsia="Times New Roman" w:hAnsi="Times New Roman" w:cs="Times New Roman"/>
          <w:color w:val="000000"/>
          <w:sz w:val="24"/>
          <w:szCs w:val="24"/>
        </w:rPr>
        <w:t xml:space="preserve"> </w:t>
      </w:r>
    </w:p>
    <w:p w14:paraId="1635DAAB" w14:textId="77777777" w:rsidR="006D0435" w:rsidRDefault="00000000">
      <w:pPr>
        <w:spacing w:line="360" w:lineRule="auto"/>
        <w:ind w:left="19" w:right="16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literature also shows that “more incentives” is not automatically better: effects vary by context, and policy mixes can crowd out effectiveness when layered without coherence (e.g., mature-market evidence from China; heterogeneity in Europe). </w:t>
      </w:r>
      <w:hyperlink r:id="rId342">
        <w:r>
          <w:rPr>
            <w:rFonts w:ascii="Times New Roman" w:eastAsia="Times New Roman" w:hAnsi="Times New Roman" w:cs="Times New Roman"/>
            <w:sz w:val="24"/>
            <w:szCs w:val="24"/>
          </w:rPr>
          <w:t>[178]</w:t>
        </w:r>
      </w:hyperlink>
      <w:r>
        <w:rPr>
          <w:rFonts w:ascii="Times New Roman" w:eastAsia="Times New Roman" w:hAnsi="Times New Roman" w:cs="Times New Roman"/>
          <w:color w:val="000000"/>
          <w:sz w:val="24"/>
          <w:szCs w:val="24"/>
        </w:rPr>
        <w:t xml:space="preserve">  </w:t>
      </w:r>
    </w:p>
    <w:p w14:paraId="2B128766" w14:textId="77777777" w:rsidR="006D0435" w:rsidRDefault="00000000">
      <w:pPr>
        <w:pStyle w:val="Heading2"/>
        <w:spacing w:line="360" w:lineRule="auto"/>
        <w:ind w:left="8"/>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9.5.2 </w:t>
      </w:r>
      <w:r>
        <w:rPr>
          <w:rFonts w:ascii="Times New Roman" w:eastAsia="Times New Roman" w:hAnsi="Times New Roman" w:cs="Times New Roman"/>
          <w:color w:val="000000"/>
          <w:sz w:val="24"/>
          <w:szCs w:val="24"/>
        </w:rPr>
        <w:t xml:space="preserve">Policy recommendations grounded in the evidence </w:t>
      </w:r>
    </w:p>
    <w:p w14:paraId="00E10D27" w14:textId="77777777" w:rsidR="006D0435" w:rsidRDefault="00000000">
      <w:pPr>
        <w:numPr>
          <w:ilvl w:val="0"/>
          <w:numId w:val="6"/>
        </w:numPr>
        <w:spacing w:after="13" w:line="360" w:lineRule="auto"/>
      </w:pPr>
      <w:r>
        <w:rPr>
          <w:rFonts w:ascii="Times New Roman" w:eastAsia="Times New Roman" w:hAnsi="Times New Roman" w:cs="Times New Roman"/>
          <w:color w:val="000000"/>
          <w:sz w:val="24"/>
          <w:szCs w:val="24"/>
        </w:rPr>
        <w:t xml:space="preserve">Use mandates/standards as the anchor; align timelines with implementation capacity </w:t>
      </w:r>
    </w:p>
    <w:p w14:paraId="54C25461"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Fleet standards and ZEV mandates provide long-term certainty (EU CO₂ targets; UK ZEV mandate; California ACC II). The key is to pair them with measurable infrastructure obligations and compliance monitoring to avoid “mandate without means.” </w:t>
      </w:r>
      <w:hyperlink r:id="rId343">
        <w:r>
          <w:rPr>
            <w:rFonts w:ascii="Times New Roman" w:eastAsia="Times New Roman" w:hAnsi="Times New Roman" w:cs="Times New Roman"/>
            <w:sz w:val="24"/>
            <w:szCs w:val="24"/>
          </w:rPr>
          <w:t>[164]</w:t>
        </w:r>
      </w:hyperlink>
      <w:r>
        <w:rPr>
          <w:rFonts w:ascii="Times New Roman" w:eastAsia="Times New Roman" w:hAnsi="Times New Roman" w:cs="Times New Roman"/>
          <w:color w:val="000000"/>
          <w:sz w:val="24"/>
          <w:szCs w:val="24"/>
        </w:rPr>
        <w:t xml:space="preserve"> </w:t>
      </w:r>
    </w:p>
    <w:p w14:paraId="3E2BE475" w14:textId="77777777" w:rsidR="006D0435" w:rsidRDefault="00000000">
      <w:pPr>
        <w:numPr>
          <w:ilvl w:val="0"/>
          <w:numId w:val="6"/>
        </w:numPr>
        <w:spacing w:after="13" w:line="360" w:lineRule="auto"/>
      </w:pPr>
      <w:r>
        <w:rPr>
          <w:rFonts w:ascii="Times New Roman" w:eastAsia="Times New Roman" w:hAnsi="Times New Roman" w:cs="Times New Roman"/>
          <w:color w:val="000000"/>
          <w:sz w:val="24"/>
          <w:szCs w:val="24"/>
        </w:rPr>
        <w:t xml:space="preserve">Prioritize charging coverage, interoperability, and payment simplicity as adoption multipliers </w:t>
      </w:r>
    </w:p>
    <w:p w14:paraId="34E82BEE"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AFIR’s focus on interoperability and payment options and the NEVI rule’s requirements on payment methods, uptime, and data reporting reflect a best-practice model: regulators should standardize user experience to reduce perceived risk and transaction costs. </w:t>
      </w:r>
      <w:hyperlink r:id="rId344">
        <w:r>
          <w:rPr>
            <w:rFonts w:ascii="Times New Roman" w:eastAsia="Times New Roman" w:hAnsi="Times New Roman" w:cs="Times New Roman"/>
            <w:sz w:val="24"/>
            <w:szCs w:val="24"/>
          </w:rPr>
          <w:t>[167]</w:t>
        </w:r>
      </w:hyperlink>
      <w:r>
        <w:rPr>
          <w:rFonts w:ascii="Times New Roman" w:eastAsia="Times New Roman" w:hAnsi="Times New Roman" w:cs="Times New Roman"/>
          <w:color w:val="000000"/>
          <w:sz w:val="24"/>
          <w:szCs w:val="24"/>
        </w:rPr>
        <w:t xml:space="preserve"> IEA evidence suggests charging buildout must keep pace with vehicle deployment to avoid rising EV-per-public-charger ratios (IEA, 2025). </w:t>
      </w:r>
      <w:hyperlink r:id="rId345">
        <w:r>
          <w:rPr>
            <w:rFonts w:ascii="Times New Roman" w:eastAsia="Times New Roman" w:hAnsi="Times New Roman" w:cs="Times New Roman"/>
            <w:sz w:val="24"/>
            <w:szCs w:val="24"/>
          </w:rPr>
          <w:t>[174]</w:t>
        </w:r>
      </w:hyperlink>
      <w:r>
        <w:rPr>
          <w:rFonts w:ascii="Times New Roman" w:eastAsia="Times New Roman" w:hAnsi="Times New Roman" w:cs="Times New Roman"/>
          <w:color w:val="000000"/>
          <w:sz w:val="24"/>
          <w:szCs w:val="24"/>
        </w:rPr>
        <w:t xml:space="preserve"> </w:t>
      </w:r>
    </w:p>
    <w:p w14:paraId="49EA119E" w14:textId="77777777" w:rsidR="006D0435" w:rsidRDefault="00000000">
      <w:pPr>
        <w:numPr>
          <w:ilvl w:val="0"/>
          <w:numId w:val="6"/>
        </w:numPr>
        <w:spacing w:after="13" w:line="360" w:lineRule="auto"/>
      </w:pPr>
      <w:r>
        <w:rPr>
          <w:rFonts w:ascii="Times New Roman" w:eastAsia="Times New Roman" w:hAnsi="Times New Roman" w:cs="Times New Roman"/>
          <w:color w:val="000000"/>
          <w:sz w:val="24"/>
          <w:szCs w:val="24"/>
        </w:rPr>
        <w:t xml:space="preserve">Shift from broad purchase subsidies to targeted affordability and high-leverage segments as markets mature </w:t>
      </w:r>
    </w:p>
    <w:p w14:paraId="33B2B12B"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Meta-review evidence suggests subsidies are most effective early, but later-stage markets can sustain adoption with infrastructure support and supply-side policies while rationalizing fiscal exposure (Anilan &amp; Vij, 2024). </w:t>
      </w:r>
      <w:hyperlink r:id="rId346">
        <w:r>
          <w:rPr>
            <w:rFonts w:ascii="Times New Roman" w:eastAsia="Times New Roman" w:hAnsi="Times New Roman" w:cs="Times New Roman"/>
            <w:sz w:val="24"/>
            <w:szCs w:val="24"/>
          </w:rPr>
          <w:t>[163]</w:t>
        </w:r>
      </w:hyperlink>
      <w:r>
        <w:rPr>
          <w:rFonts w:ascii="Times New Roman" w:eastAsia="Times New Roman" w:hAnsi="Times New Roman" w:cs="Times New Roman"/>
          <w:color w:val="000000"/>
          <w:sz w:val="24"/>
          <w:szCs w:val="24"/>
        </w:rPr>
        <w:t xml:space="preserve"> Empirical studies show purchase incentives can work (Europe) but may become less effective or heterogeneous, implying the need for targeting by income, vehicle segment, and market maturity (Martins et al., 2024; Zhao et al., 2024). </w:t>
      </w:r>
      <w:hyperlink r:id="rId347">
        <w:r>
          <w:rPr>
            <w:rFonts w:ascii="Times New Roman" w:eastAsia="Times New Roman" w:hAnsi="Times New Roman" w:cs="Times New Roman"/>
            <w:sz w:val="24"/>
            <w:szCs w:val="24"/>
          </w:rPr>
          <w:t>[169]</w:t>
        </w:r>
      </w:hyperlink>
      <w:r>
        <w:rPr>
          <w:rFonts w:ascii="Times New Roman" w:eastAsia="Times New Roman" w:hAnsi="Times New Roman" w:cs="Times New Roman"/>
          <w:color w:val="000000"/>
          <w:sz w:val="24"/>
          <w:szCs w:val="24"/>
        </w:rPr>
        <w:t xml:space="preserve"> </w:t>
      </w:r>
    </w:p>
    <w:p w14:paraId="69437F22" w14:textId="77777777" w:rsidR="006D0435" w:rsidRDefault="00000000">
      <w:pPr>
        <w:numPr>
          <w:ilvl w:val="0"/>
          <w:numId w:val="6"/>
        </w:numPr>
        <w:spacing w:after="176" w:line="360" w:lineRule="auto"/>
      </w:pPr>
      <w:r>
        <w:rPr>
          <w:rFonts w:ascii="Times New Roman" w:eastAsia="Times New Roman" w:hAnsi="Times New Roman" w:cs="Times New Roman"/>
          <w:color w:val="000000"/>
          <w:sz w:val="24"/>
          <w:szCs w:val="24"/>
        </w:rPr>
        <w:t xml:space="preserve">Design industrial-policy conditionality to minimize equity and compliance burdens Credits tied to assembly and mineral content can stimulate domestic supply chains but increase consumer confusion and administrative complexity (IRS; Treasury; CRS). </w:t>
      </w:r>
      <w:hyperlink r:id="rId348">
        <w:r>
          <w:rPr>
            <w:rFonts w:ascii="Times New Roman" w:eastAsia="Times New Roman" w:hAnsi="Times New Roman" w:cs="Times New Roman"/>
            <w:color w:val="000000"/>
            <w:sz w:val="24"/>
            <w:szCs w:val="24"/>
          </w:rPr>
          <w:t>[</w:t>
        </w:r>
      </w:hyperlink>
      <w:hyperlink r:id="rId349">
        <w:r>
          <w:rPr>
            <w:rFonts w:ascii="Times New Roman" w:eastAsia="Times New Roman" w:hAnsi="Times New Roman" w:cs="Times New Roman"/>
            <w:sz w:val="24"/>
            <w:szCs w:val="24"/>
          </w:rPr>
          <w:t>165</w:t>
        </w:r>
      </w:hyperlink>
      <w:hyperlink r:id="rId350">
        <w:r>
          <w:rPr>
            <w:rFonts w:ascii="Times New Roman" w:eastAsia="Times New Roman" w:hAnsi="Times New Roman" w:cs="Times New Roman"/>
            <w:color w:val="000000"/>
            <w:sz w:val="24"/>
            <w:szCs w:val="24"/>
          </w:rPr>
          <w:t>]</w:t>
        </w:r>
      </w:hyperlink>
      <w:r>
        <w:rPr>
          <w:rFonts w:ascii="Times New Roman" w:eastAsia="Times New Roman" w:hAnsi="Times New Roman" w:cs="Times New Roman"/>
          <w:color w:val="000000"/>
          <w:sz w:val="24"/>
          <w:szCs w:val="24"/>
        </w:rPr>
        <w:t xml:space="preserve"> Recommended practice is to publish machine-readable eligibility lists, adopt clear transitional rules, and monitor distributional outcomes (who can actually claim credits). </w:t>
      </w:r>
    </w:p>
    <w:p w14:paraId="5D712440" w14:textId="77777777" w:rsidR="006D0435" w:rsidRDefault="00000000">
      <w:pPr>
        <w:numPr>
          <w:ilvl w:val="0"/>
          <w:numId w:val="6"/>
        </w:numPr>
        <w:spacing w:after="13" w:line="360" w:lineRule="auto"/>
      </w:pPr>
      <w:r>
        <w:rPr>
          <w:rFonts w:ascii="Times New Roman" w:eastAsia="Times New Roman" w:hAnsi="Times New Roman" w:cs="Times New Roman"/>
          <w:color w:val="000000"/>
          <w:sz w:val="24"/>
          <w:szCs w:val="24"/>
        </w:rPr>
        <w:lastRenderedPageBreak/>
        <w:t xml:space="preserve">Embed ELC as a first-class dimension of adoption policy </w:t>
      </w:r>
    </w:p>
    <w:p w14:paraId="5888907A" w14:textId="77777777" w:rsidR="006D0435" w:rsidRDefault="00000000">
      <w:pPr>
        <w:spacing w:after="256"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Adoption policy should be co-designed with battery sustainability and due diligence requirements (EU Battery Regulation), vehicle cybersecurity and software update governance (UN R155/R156), and safety/type approval rules (UN R100). </w:t>
      </w:r>
      <w:hyperlink r:id="rId351">
        <w:r>
          <w:rPr>
            <w:rFonts w:ascii="Times New Roman" w:eastAsia="Times New Roman" w:hAnsi="Times New Roman" w:cs="Times New Roman"/>
            <w:sz w:val="24"/>
            <w:szCs w:val="24"/>
          </w:rPr>
          <w:t>[185]</w:t>
        </w:r>
      </w:hyperlink>
      <w:r>
        <w:rPr>
          <w:rFonts w:ascii="Times New Roman" w:eastAsia="Times New Roman" w:hAnsi="Times New Roman" w:cs="Times New Roman"/>
          <w:color w:val="000000"/>
          <w:sz w:val="24"/>
          <w:szCs w:val="24"/>
        </w:rPr>
        <w:t xml:space="preserve"> This reduces systemic risk, supports consumer trust, and promotes cross-border interoperability. </w:t>
      </w:r>
    </w:p>
    <w:p w14:paraId="0A1B8160" w14:textId="77777777" w:rsidR="006D0435" w:rsidRDefault="00000000">
      <w:pPr>
        <w:pStyle w:val="Heading2"/>
        <w:spacing w:line="360" w:lineRule="auto"/>
        <w:ind w:left="8"/>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9.5.3 </w:t>
      </w:r>
      <w:r>
        <w:rPr>
          <w:rFonts w:ascii="Times New Roman" w:eastAsia="Times New Roman" w:hAnsi="Times New Roman" w:cs="Times New Roman"/>
          <w:color w:val="000000"/>
          <w:sz w:val="24"/>
          <w:szCs w:val="24"/>
        </w:rPr>
        <w:t xml:space="preserve">Limitations and future research directions </w:t>
      </w:r>
    </w:p>
    <w:p w14:paraId="5C3EE650" w14:textId="77777777" w:rsidR="006D0435" w:rsidRDefault="00000000">
      <w:pPr>
        <w:spacing w:line="36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report is a structured scoping synthesis, not a full PRISMA systematic review with exhaustive database export, de-duplication logs, and meta-analysis. Evidence quality varies across study designs (</w:t>
      </w:r>
      <w:proofErr w:type="spellStart"/>
      <w:r>
        <w:rPr>
          <w:rFonts w:ascii="Times New Roman" w:eastAsia="Times New Roman" w:hAnsi="Times New Roman" w:cs="Times New Roman"/>
          <w:color w:val="000000"/>
          <w:sz w:val="24"/>
          <w:szCs w:val="24"/>
        </w:rPr>
        <w:t>DiD</w:t>
      </w:r>
      <w:proofErr w:type="spellEnd"/>
      <w:r>
        <w:rPr>
          <w:rFonts w:ascii="Times New Roman" w:eastAsia="Times New Roman" w:hAnsi="Times New Roman" w:cs="Times New Roman"/>
          <w:color w:val="000000"/>
          <w:sz w:val="24"/>
          <w:szCs w:val="24"/>
        </w:rPr>
        <w:t xml:space="preserve"> vs correlational), and cross-country comparisons are complicated by differing definitions (BEV vs PHEV; car sales vs all vehicle types) and by policy bundling that makes single-instrument attribution difficult. </w:t>
      </w:r>
      <w:hyperlink r:id="rId352">
        <w:r>
          <w:rPr>
            <w:rFonts w:ascii="Times New Roman" w:eastAsia="Times New Roman" w:hAnsi="Times New Roman" w:cs="Times New Roman"/>
            <w:sz w:val="24"/>
            <w:szCs w:val="24"/>
          </w:rPr>
          <w:t>[163]</w:t>
        </w:r>
      </w:hyperlink>
      <w:r>
        <w:rPr>
          <w:rFonts w:ascii="Times New Roman" w:eastAsia="Times New Roman" w:hAnsi="Times New Roman" w:cs="Times New Roman"/>
          <w:color w:val="000000"/>
          <w:sz w:val="24"/>
          <w:szCs w:val="24"/>
        </w:rPr>
        <w:t xml:space="preserve"> </w:t>
      </w:r>
    </w:p>
    <w:p w14:paraId="74166BDE" w14:textId="77777777" w:rsidR="006D0435" w:rsidRDefault="00000000">
      <w:pPr>
        <w:spacing w:line="360" w:lineRule="auto"/>
        <w:ind w:left="19"/>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Future research priorities include (a) causal evaluation of infrastructure mandates (not only incentive programs), (b) distributional and spatial equity analysis at neighborhood scale, (c) policy–trade interactions (tariffs, local content) and their net adoption effects, and (d) compliance cost quantification for cybersecurity and battery due diligence regimes. </w:t>
      </w:r>
      <w:hyperlink r:id="rId353">
        <w:r>
          <w:rPr>
            <w:rFonts w:ascii="Times New Roman" w:eastAsia="Times New Roman" w:hAnsi="Times New Roman" w:cs="Times New Roman"/>
            <w:sz w:val="24"/>
            <w:szCs w:val="24"/>
          </w:rPr>
          <w:t>[167]</w:t>
        </w:r>
      </w:hyperlink>
      <w:r>
        <w:rPr>
          <w:rFonts w:ascii="Times New Roman" w:eastAsia="Times New Roman" w:hAnsi="Times New Roman" w:cs="Times New Roman"/>
          <w:color w:val="000000"/>
          <w:sz w:val="24"/>
          <w:szCs w:val="24"/>
        </w:rPr>
        <w:t xml:space="preserve"> </w:t>
      </w:r>
    </w:p>
    <w:p w14:paraId="1B351791" w14:textId="77777777" w:rsidR="006D0435" w:rsidRDefault="00000000">
      <w:pPr>
        <w:spacing w:line="360" w:lineRule="auto"/>
        <w:ind w:left="19"/>
        <w:rPr>
          <w:rFonts w:ascii="Times New Roman" w:eastAsia="Times New Roman" w:hAnsi="Times New Roman" w:cs="Times New Roman"/>
          <w:sz w:val="24"/>
          <w:szCs w:val="24"/>
        </w:rPr>
      </w:pPr>
      <w:r>
        <w:rPr>
          <w:rFonts w:ascii="Times New Roman" w:eastAsia="Times New Roman" w:hAnsi="Times New Roman" w:cs="Times New Roman"/>
          <w:sz w:val="24"/>
          <w:szCs w:val="24"/>
        </w:rPr>
        <w:t>10.Challenges, Future Trends:</w:t>
      </w:r>
    </w:p>
    <w:p w14:paraId="5ED5C926" w14:textId="77777777" w:rsidR="006D0435" w:rsidRDefault="00000000">
      <w:pPr>
        <w:pStyle w:val="Heading3"/>
        <w:keepNext w:val="0"/>
        <w:keepLines w:val="0"/>
        <w:spacing w:before="280"/>
        <w:rPr>
          <w:rFonts w:ascii="Times New Roman" w:eastAsia="Times New Roman" w:hAnsi="Times New Roman" w:cs="Times New Roman"/>
          <w:sz w:val="24"/>
          <w:szCs w:val="24"/>
        </w:rPr>
      </w:pPr>
      <w:bookmarkStart w:id="11" w:name="_2q452oqwjcew" w:colFirst="0" w:colLast="0"/>
      <w:bookmarkEnd w:id="11"/>
      <w:r>
        <w:rPr>
          <w:rFonts w:ascii="Times New Roman" w:eastAsia="Times New Roman" w:hAnsi="Times New Roman" w:cs="Times New Roman"/>
          <w:sz w:val="24"/>
          <w:szCs w:val="24"/>
        </w:rPr>
        <w:t>10.1 Technical Challenges</w:t>
      </w:r>
    </w:p>
    <w:p w14:paraId="4A92AED7" w14:textId="77777777" w:rsidR="006D0435" w:rsidRDefault="006D0435"/>
    <w:p w14:paraId="784A477E" w14:textId="77777777" w:rsidR="006D0435" w:rsidRDefault="00000000">
      <w:r>
        <w:rPr>
          <w:noProof/>
        </w:rPr>
        <w:lastRenderedPageBreak/>
        <w:drawing>
          <wp:inline distT="114300" distB="114300" distL="114300" distR="114300" wp14:anchorId="33402790" wp14:editId="3F3A8226">
            <wp:extent cx="6858000" cy="48387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54"/>
                    <a:srcRect t="5850" b="1280"/>
                    <a:stretch>
                      <a:fillRect/>
                    </a:stretch>
                  </pic:blipFill>
                  <pic:spPr>
                    <a:xfrm>
                      <a:off x="0" y="0"/>
                      <a:ext cx="6858000" cy="4838700"/>
                    </a:xfrm>
                    <a:prstGeom prst="rect">
                      <a:avLst/>
                    </a:prstGeom>
                    <a:ln/>
                  </pic:spPr>
                </pic:pic>
              </a:graphicData>
            </a:graphic>
          </wp:inline>
        </w:drawing>
      </w:r>
    </w:p>
    <w:p w14:paraId="54A5A15C" w14:textId="77777777" w:rsidR="006D0435"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4"/>
          <w:szCs w:val="24"/>
        </w:rPr>
        <w:t>Figure 1: Overview of Technical Challenges in Lithium-Ion Batteries for Electric Vehicles (created by the author)</w:t>
      </w:r>
    </w:p>
    <w:p w14:paraId="712C3889" w14:textId="77777777" w:rsidR="006D0435" w:rsidRDefault="00000000">
      <w:pPr>
        <w:spacing w:before="2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10.1.1 Energy Density vs Safety Trade-offs</w:t>
      </w:r>
    </w:p>
    <w:p w14:paraId="4881D21C"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Lithium-ion batteries are now used in practically all electric vehicles because they can store great quantities of energy in small forms, therefore enabling longer distances between charges. Although little, these units are progressively under pressure since engineers seek packing in more charge heat builds quicker if something fails. Fully loaded, they release more heat during operation or refill, so forcing cooling systems to go over their usual duty just to keep equilibrium. Stretching materials too far brings greater risks: tiny metal threads may develop within, cutting durability and unexpectedly increasing fire risk. Although recent blends claim more output, shortcomings of this kind presently preclude actual usage. Trade-offs are evident in a quick look across modern battery designs. NCA–graphite units they provide high energy relative to mass but ignite faster when heated, implying lower safety margins [194]</w:t>
      </w:r>
      <w:r>
        <w:rPr>
          <w:rFonts w:ascii="Times New Roman" w:eastAsia="Times New Roman" w:hAnsi="Times New Roman" w:cs="Times New Roman"/>
        </w:rPr>
        <w:t>.</w:t>
      </w:r>
      <w:r>
        <w:rPr>
          <w:rFonts w:ascii="Times New Roman" w:eastAsia="Times New Roman" w:hAnsi="Times New Roman" w:cs="Times New Roman"/>
          <w:sz w:val="24"/>
          <w:szCs w:val="24"/>
        </w:rPr>
        <w:t xml:space="preserve"> The electrodes lie close together with dense interior packing, therefore increasing breakdown hazards during temperature rises particularly when immersed in combustible liquid </w:t>
      </w:r>
      <w:proofErr w:type="gramStart"/>
      <w:r>
        <w:rPr>
          <w:rFonts w:ascii="Times New Roman" w:eastAsia="Times New Roman" w:hAnsi="Times New Roman" w:cs="Times New Roman"/>
          <w:sz w:val="24"/>
          <w:szCs w:val="24"/>
        </w:rPr>
        <w:t>electrolytes  [</w:t>
      </w:r>
      <w:proofErr w:type="gramEnd"/>
      <w:r>
        <w:rPr>
          <w:rFonts w:ascii="Times New Roman" w:eastAsia="Times New Roman" w:hAnsi="Times New Roman" w:cs="Times New Roman"/>
          <w:sz w:val="24"/>
          <w:szCs w:val="24"/>
        </w:rPr>
        <w:t>195</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interrelationship between the major technical challenges in lithium-ion batteries is illustrated in Figure 1.</w:t>
      </w:r>
    </w:p>
    <w:p w14:paraId="37665D34"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Beginning with battery development, advancement mimics processes found in living cells. Motor systems face comparable obstacles. High-voltage circuits, perhaps 800 volts, or rotors with fast spin rates provide benefits but need better thermal management and thicker insulation </w:t>
      </w:r>
      <w:proofErr w:type="gramStart"/>
      <w:r>
        <w:rPr>
          <w:rFonts w:ascii="Times New Roman" w:eastAsia="Times New Roman" w:hAnsi="Times New Roman" w:cs="Times New Roman"/>
          <w:sz w:val="24"/>
          <w:szCs w:val="24"/>
        </w:rPr>
        <w:t>materials  [</w:t>
      </w:r>
      <w:proofErr w:type="gramEnd"/>
      <w:r>
        <w:rPr>
          <w:rFonts w:ascii="Times New Roman" w:eastAsia="Times New Roman" w:hAnsi="Times New Roman" w:cs="Times New Roman"/>
          <w:sz w:val="24"/>
          <w:szCs w:val="24"/>
        </w:rPr>
        <w:t xml:space="preserve">196]. Rather than harmony, conflicting </w:t>
      </w:r>
      <w:r>
        <w:rPr>
          <w:rFonts w:ascii="Times New Roman" w:eastAsia="Times New Roman" w:hAnsi="Times New Roman" w:cs="Times New Roman"/>
          <w:sz w:val="24"/>
          <w:szCs w:val="24"/>
        </w:rPr>
        <w:lastRenderedPageBreak/>
        <w:t xml:space="preserve">requirements between material constraints and system goals complicate safety when raising capacity. Experts look for more energy inside tighter risk margins by means of changes in cell architecture and pack coordination [197]. Shifting fluid electrolytes to solid forms removes certain combustion dangers; such solid matrices support lithium-metal anodes, providing greater storage while fostering even current flow to lower damaging </w:t>
      </w:r>
      <w:proofErr w:type="gramStart"/>
      <w:r>
        <w:rPr>
          <w:rFonts w:ascii="Times New Roman" w:eastAsia="Times New Roman" w:hAnsi="Times New Roman" w:cs="Times New Roman"/>
          <w:sz w:val="24"/>
          <w:szCs w:val="24"/>
        </w:rPr>
        <w:t>peaks  [</w:t>
      </w:r>
      <w:proofErr w:type="gramEnd"/>
      <w:r>
        <w:rPr>
          <w:rFonts w:ascii="Times New Roman" w:eastAsia="Times New Roman" w:hAnsi="Times New Roman" w:cs="Times New Roman"/>
          <w:sz w:val="24"/>
          <w:szCs w:val="24"/>
        </w:rPr>
        <w:t>195], [198]. Approaches like this point toward solutions not perfect, yet closer to balanced outcomes where durability rises alongside protection.</w:t>
      </w:r>
    </w:p>
    <w:p w14:paraId="6D127658" w14:textId="77777777" w:rsidR="006D0435" w:rsidRDefault="00000000">
      <w:pPr>
        <w:spacing w:before="2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10.1.2 Battery Degradation &amp; Cycle Life</w:t>
      </w:r>
    </w:p>
    <w:p w14:paraId="785301BB"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Beginning with usage patterns helps one see why lithium-ion batteries lose capacity over time. Important roles are played by elements including operating temperature, discharge depth, and filling rate. With chill, ion flow slows, internal pushback rises, and minute metallic particles fall on the negative side; excessive heat quickens unwanted reactions, so damaging core structures and diminishing conductive </w:t>
      </w:r>
      <w:proofErr w:type="gramStart"/>
      <w:r>
        <w:rPr>
          <w:rFonts w:ascii="Times New Roman" w:eastAsia="Times New Roman" w:hAnsi="Times New Roman" w:cs="Times New Roman"/>
          <w:sz w:val="24"/>
          <w:szCs w:val="24"/>
        </w:rPr>
        <w:t>liquids  [</w:t>
      </w:r>
      <w:proofErr w:type="gramEnd"/>
      <w:r>
        <w:rPr>
          <w:rFonts w:ascii="Times New Roman" w:eastAsia="Times New Roman" w:hAnsi="Times New Roman" w:cs="Times New Roman"/>
          <w:sz w:val="24"/>
          <w:szCs w:val="24"/>
        </w:rPr>
        <w:t>199</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194]. Much as fast refills do they strip active compounds faster, decreasing </w:t>
      </w:r>
      <w:proofErr w:type="gramStart"/>
      <w:r>
        <w:rPr>
          <w:rFonts w:ascii="Times New Roman" w:eastAsia="Times New Roman" w:hAnsi="Times New Roman" w:cs="Times New Roman"/>
          <w:sz w:val="24"/>
          <w:szCs w:val="24"/>
        </w:rPr>
        <w:t>efficiency  [</w:t>
      </w:r>
      <w:proofErr w:type="gramEnd"/>
      <w:r>
        <w:rPr>
          <w:rFonts w:ascii="Times New Roman" w:eastAsia="Times New Roman" w:hAnsi="Times New Roman" w:cs="Times New Roman"/>
          <w:sz w:val="24"/>
          <w:szCs w:val="24"/>
        </w:rPr>
        <w:t>194], remaining near maximum or minimum levels accelerates damage. Wear reveals itself slowly: trapped ions disappear, external films thicken, sections split open, current channels rust, internal friction rises [200], [201</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Often breaking sooner, high-capacity materials one case demonstrates silicon expanding swiftly till pressure splits it; sulfur types battle weak positive sides and early drop in output [200]. Although converting such resistance into real life span remains </w:t>
      </w:r>
      <w:proofErr w:type="gramStart"/>
      <w:r>
        <w:rPr>
          <w:rFonts w:ascii="Times New Roman" w:eastAsia="Times New Roman" w:hAnsi="Times New Roman" w:cs="Times New Roman"/>
          <w:sz w:val="24"/>
          <w:szCs w:val="24"/>
        </w:rPr>
        <w:t>unclear  [</w:t>
      </w:r>
      <w:proofErr w:type="gramEnd"/>
      <w:r>
        <w:rPr>
          <w:rFonts w:ascii="Times New Roman" w:eastAsia="Times New Roman" w:hAnsi="Times New Roman" w:cs="Times New Roman"/>
          <w:sz w:val="24"/>
          <w:szCs w:val="24"/>
        </w:rPr>
        <w:t xml:space="preserve">194], changes in how a battery resists flow provide hints about its years. Though many lithium-ion cells maintain great performance throughout over a thousand charging cycles covering almost ten years, their drop toward eighty percent capacity signals a turning point; early detection of decline lets for improved energy use control and longer function [202].  </w:t>
      </w:r>
    </w:p>
    <w:p w14:paraId="23765534"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Though worn-out batteries cannot drive vehicles, remaining capacity permits repurpose in less demanding uses before disassembly. Understanding degradation patterns guides better recycling methods especially those conserving components yet in good condition. Solid-state designs have trouble at interior contacts even if they have great chemical and thermal stability. Surface resistance develops at layer connections; solid structures impede consistent bonding under ongoing strain. Gradual loss of efficiency results in a fall in total performance over time as well as in power delivery rate. With every swell and contraction of the electrode, stress accumulates inside the structure, progressively loosening bonds and thereby speeding deterioration most obvious in alloy or lithium-metal anodes expanding considerably when charged [198]. Although solid electrolytes decrease dendrite development more than liquids do, hazards remain; resolving interfacial instability will probably determine if future solid-state batteries achieve longevity and consistent </w:t>
      </w:r>
      <w:proofErr w:type="gramStart"/>
      <w:r>
        <w:rPr>
          <w:rFonts w:ascii="Times New Roman" w:eastAsia="Times New Roman" w:hAnsi="Times New Roman" w:cs="Times New Roman"/>
          <w:sz w:val="24"/>
          <w:szCs w:val="24"/>
        </w:rPr>
        <w:t>performance  [</w:t>
      </w:r>
      <w:proofErr w:type="gramEnd"/>
      <w:r>
        <w:rPr>
          <w:rFonts w:ascii="Times New Roman" w:eastAsia="Times New Roman" w:hAnsi="Times New Roman" w:cs="Times New Roman"/>
          <w:sz w:val="24"/>
          <w:szCs w:val="24"/>
        </w:rPr>
        <w:t>195], [198].</w:t>
      </w:r>
    </w:p>
    <w:p w14:paraId="0DAF5F85"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10.1.3 Thermal Runaway &amp; Safety Risks</w:t>
      </w:r>
    </w:p>
    <w:p w14:paraId="1BF02A90"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Carrying an intrinsic thermal runaway risk a chain reaction triggered by overheating, lithium-ion batteries have the capacity to cause internal shorts, fire, or perhaps explosions [199</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200]. High temperature hastens exothermic reactions within the cell because organic electrolytes burn readily, made worse by oxygen escaping from metal oxide cathodes along with carbon-based components such graphite and silicon that readily catch flame [200]. Electrodes touch directly as these reactions erode the separator layer, producing more warmth; leaked electrolyte and gas buildup increase likelihood of burning and physical collapse [200]. Cold environments generate their own hazards: lithium forms needle-like structures capable of cutting through separators, hence producing inner defects when charging is done too chilly [199]. Some battery types that store a lot of energy, like those using nickel cobalt aluminum with graphite, start failing at lower temperatures, </w:t>
      </w:r>
      <w:r>
        <w:rPr>
          <w:rFonts w:ascii="Times New Roman" w:eastAsia="Times New Roman" w:hAnsi="Times New Roman" w:cs="Times New Roman"/>
          <w:sz w:val="24"/>
          <w:szCs w:val="24"/>
        </w:rPr>
        <w:lastRenderedPageBreak/>
        <w:t xml:space="preserve">making them more likely to overheat when exposed to heat or physical damage This highlights the need of temperature </w:t>
      </w:r>
      <w:proofErr w:type="gramStart"/>
      <w:r>
        <w:rPr>
          <w:rFonts w:ascii="Times New Roman" w:eastAsia="Times New Roman" w:hAnsi="Times New Roman" w:cs="Times New Roman"/>
          <w:sz w:val="24"/>
          <w:szCs w:val="24"/>
        </w:rPr>
        <w:t>monitoring  [</w:t>
      </w:r>
      <w:proofErr w:type="gramEnd"/>
      <w:r>
        <w:rPr>
          <w:rFonts w:ascii="Times New Roman" w:eastAsia="Times New Roman" w:hAnsi="Times New Roman" w:cs="Times New Roman"/>
          <w:sz w:val="24"/>
          <w:szCs w:val="24"/>
        </w:rPr>
        <w:t>194]. If workers do not handle them carefully while moving, disposing of, or dismantling outdated equipment, flames could start, explosions might happen, and hazardous chemicals might contaminate the air or come in contact with skin [201], [202]. These power cells also contain dangerous compounds that burn readily and poison people.</w:t>
      </w:r>
    </w:p>
    <w:p w14:paraId="679DA775"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Heat-related hazards impact connected parts like motors and electronics in addition to battery units since insufficient heat dissipation together with great heat output jeopardizes constant performance. Hotspots sometimes result from materials resisting heat flow, sensitive capacitors, or magnetic imperfections in quick spinning devices, increasing opportunities for abrupt temperature spikes or part failure [196]. New methods including solid-electrolyte batteries replace unstable liquids for stable solids, hence lowering fire risk while keeping utility under greater thermal </w:t>
      </w:r>
      <w:proofErr w:type="gramStart"/>
      <w:r>
        <w:rPr>
          <w:rFonts w:ascii="Times New Roman" w:eastAsia="Times New Roman" w:hAnsi="Times New Roman" w:cs="Times New Roman"/>
          <w:sz w:val="24"/>
          <w:szCs w:val="24"/>
        </w:rPr>
        <w:t>needs  [</w:t>
      </w:r>
      <w:proofErr w:type="gramEnd"/>
      <w:r>
        <w:rPr>
          <w:rFonts w:ascii="Times New Roman" w:eastAsia="Times New Roman" w:hAnsi="Times New Roman" w:cs="Times New Roman"/>
          <w:sz w:val="24"/>
          <w:szCs w:val="24"/>
        </w:rPr>
        <w:t>195]. Such changes lessen tendencies toward breakdown or ignition when heated, therefore demonstrating how advancements in materials, cooling techniques, and shielding designs contribute to a safer next-gen energy storage.</w:t>
      </w:r>
    </w:p>
    <w:p w14:paraId="262E28D8" w14:textId="77777777" w:rsidR="006D0435" w:rsidRDefault="00000000">
      <w:pPr>
        <w:spacing w:before="2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10.1.4 Fast Charging Limitations</w:t>
      </w:r>
    </w:p>
    <w:p w14:paraId="53E1AB2D"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Faster charging generates more heat inside the battery unit even if it requires more electrical current. In larger or more dense cells, warmer temperatures from fast charge cycles may compromise general thermal balance. Applying external heat to hasten charging can cause hotspots to develop, which results in erratic internal temperatures across the cell structure. Such inconsistent warming increases hazards connected to both function and safety, therefore strong current-based heating is difficult to use safely in daily electric cars. Keeping consistent heat levels during quick recharge is difficult under real driving circumstances as driver behavior influences the quantity of energy an EV consumes at any given moment [199].</w:t>
      </w:r>
    </w:p>
    <w:p w14:paraId="1370CCD8"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Getting ultra-fast charging ranging from 200 to 300 miles in under a quarter-hour requires systems producing more than 350 kilowatts at over 400 volts. Lithium-ion batteries heat up dramatically when strained this much; temperatures exceed the safe range of 50 to 60 degrees Celsius without adequate cooling. Since most mass-market cells were not meant to handle such high loads, pushing for rapid recharging sometimes causes lithium metal to build up on graphite-based negative electrodes. During several quick sessions, this unwelcome plating becomes worse when silicon mixes with those same anodes, which shortens shelf life even more quickly. Behind every charge pulse is a delicate balance: raw power, what materials the cell is made of, and how well heat is taken away all </w:t>
      </w:r>
      <w:proofErr w:type="gramStart"/>
      <w:r>
        <w:rPr>
          <w:rFonts w:ascii="Times New Roman" w:eastAsia="Times New Roman" w:hAnsi="Times New Roman" w:cs="Times New Roman"/>
          <w:sz w:val="24"/>
          <w:szCs w:val="24"/>
        </w:rPr>
        <w:t>affect</w:t>
      </w:r>
      <w:proofErr w:type="gramEnd"/>
      <w:r>
        <w:rPr>
          <w:rFonts w:ascii="Times New Roman" w:eastAsia="Times New Roman" w:hAnsi="Times New Roman" w:cs="Times New Roman"/>
          <w:sz w:val="24"/>
          <w:szCs w:val="24"/>
        </w:rPr>
        <w:t xml:space="preserve"> how long something will last and how likely it is to catch fire [200].</w:t>
      </w:r>
    </w:p>
    <w:p w14:paraId="696F38BB"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Though these challenges require solutions to enable consistent grid operation together with increasing EV usage [197], a growing number of rapid charging stations raises issues including peak load spikes and changing voltages.</w:t>
      </w:r>
    </w:p>
    <w:p w14:paraId="6AE05BF6"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Relying too much on ultra-fast charging over time usually degrades battery life. Higher charge speeds drive more current, which causes more internal stress and makes cells break down faster because they make them get hotter. This slow deterioration frequently causes less usable capacity for daily use. Though fast recharging initially saves time, frequent exposure could compromise endurance unless properly </w:t>
      </w:r>
      <w:proofErr w:type="gramStart"/>
      <w:r>
        <w:rPr>
          <w:rFonts w:ascii="Times New Roman" w:eastAsia="Times New Roman" w:hAnsi="Times New Roman" w:cs="Times New Roman"/>
          <w:sz w:val="24"/>
          <w:szCs w:val="24"/>
        </w:rPr>
        <w:t>balanced  [</w:t>
      </w:r>
      <w:proofErr w:type="gramEnd"/>
      <w:r>
        <w:rPr>
          <w:rFonts w:ascii="Times New Roman" w:eastAsia="Times New Roman" w:hAnsi="Times New Roman" w:cs="Times New Roman"/>
          <w:sz w:val="24"/>
          <w:szCs w:val="24"/>
        </w:rPr>
        <w:t>194].</w:t>
      </w:r>
    </w:p>
    <w:p w14:paraId="3C34DA23"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new types of batteries addresses issues that arise while operating electric cars, improves their performance, lifespan, and consistency, therefore assisting to solve them. Charging systems have to adapt effectively to various conditions like extremely hot or cold surroundings in order to maximize these developments, hence influencing both cost and performance. The technique mostly determines how long it takes </w:t>
      </w:r>
      <w:r>
        <w:rPr>
          <w:rFonts w:ascii="Times New Roman" w:eastAsia="Times New Roman" w:hAnsi="Times New Roman" w:cs="Times New Roman"/>
          <w:sz w:val="24"/>
          <w:szCs w:val="24"/>
        </w:rPr>
        <w:lastRenderedPageBreak/>
        <w:t>to recharge: older, simple stations could require two entire days; modern home style models often complete between four and ten hours; and high-speed direct current variants may reach eighty percent charge in less than an hour, sometimes even in as little as twenty minutes [202].</w:t>
      </w:r>
    </w:p>
    <w:p w14:paraId="52A14E99"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 changes in electrode thickness can lower ion mobility, which restricts the amount of energy that these flat, layered batteries can hold. Designers aiming for more capacity usually find that a longer time is required to charge completely. Such trade-offs expose basic limitations in particular solid-state arrangements when size increases and speed of recharge decreases. Improvements in one area usually bring with them costs in other parts of the system.</w:t>
      </w:r>
    </w:p>
    <w:p w14:paraId="11513447" w14:textId="77777777" w:rsidR="006D0435" w:rsidRDefault="00000000">
      <w:pPr>
        <w:spacing w:before="2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10.1.5 Manufacturing &amp; Scalability Barriers</w:t>
      </w:r>
    </w:p>
    <w:p w14:paraId="734F4276"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Making batteries on a large scale causes major issues when sophisticated heat management methods are put to use in them. Adding phase-change materials, heat pipes, or spray cooling starts stacking more pieces to denote more volume and tougher assembly lines. Although liquid approaches transfer heat effectively, they raise concerns about leaks and demand rigorous design criteria for fluid pathways that function consistently. Extra layers stack on when heaters composed of PTC devices warm cells themselves, therefore boosting mass and confusing designs. Taken together, these difficulties make it difficult to produce slim, lightweight packs quickly enough for millions of electric vehicles [199].</w:t>
      </w:r>
    </w:p>
    <w:p w14:paraId="42B58B53"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Energy-intensive steps, include initial charging, resting stages, then assembling components in procedures often failing to increase relevant weakening market strength and deepen ecological stress. Manufacturing's thirst for electricity is strong, and every kilowatt-hour produces a significant amount of carbon. Increasing production enough to meet goals for cleaner energy requires careful management of resource draw and planet-level impacts as global output nears thousands of gigawatt-hours before decade's end [197].</w:t>
      </w:r>
    </w:p>
    <w:p w14:paraId="49AEBCB4"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Scaling battery reuse presents challenges despite the techniques at hand because of dispersed sources and fractured systems. Though current capacity can manage more volume, infrastructure development trails. As technological complexity slows down recovery procedures, economic hurdles impede progress. Handling discarded power units from transport calls for supply chain consolidation. There is still limited impetus without organized funding or clear paths </w:t>
      </w:r>
      <w:proofErr w:type="gramStart"/>
      <w:r>
        <w:rPr>
          <w:rFonts w:ascii="Times New Roman" w:eastAsia="Times New Roman" w:hAnsi="Times New Roman" w:cs="Times New Roman"/>
          <w:sz w:val="24"/>
          <w:szCs w:val="24"/>
        </w:rPr>
        <w:t>ahead  [</w:t>
      </w:r>
      <w:proofErr w:type="gramEnd"/>
      <w:r>
        <w:rPr>
          <w:rFonts w:ascii="Times New Roman" w:eastAsia="Times New Roman" w:hAnsi="Times New Roman" w:cs="Times New Roman"/>
          <w:sz w:val="24"/>
          <w:szCs w:val="24"/>
        </w:rPr>
        <w:t>201].</w:t>
      </w:r>
    </w:p>
    <w:p w14:paraId="4F8A1F27"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Direct regeneration has promise but is hard to scale since it's hard to rebuild the exact same material structures. Getting the clean, well-arranged crystals required by battery manufacturers is still not always possible. These practical hurdles cast question on widespread use. Meeting strict criteria for quality gets more difficult under such circumstances [203].</w:t>
      </w:r>
    </w:p>
    <w:p w14:paraId="00DA0C3D"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Especially in stages like drying air in regulated chambers or removing solvents, manufacturing batteries calls for a lot of energy, which has a big influence on a plant's total energy consumption. Researchers' definition of systems, choice of different metrics, dependence on different datasets, or use of different approaches explains the wide variations in numbers on energy consumption across studies. A factory's size also counts; larger facilities operating near their maximum capacity sometimes consume less energy per battery manufactured. The way a plant runs also influences results: local grids using coal versus solar significantly change emissions. Upcoming lifecycle assessments include numerous standard-sized facilities when estimating production effects, which makes comparing results </w:t>
      </w:r>
      <w:proofErr w:type="gramStart"/>
      <w:r>
        <w:rPr>
          <w:rFonts w:ascii="Times New Roman" w:eastAsia="Times New Roman" w:hAnsi="Times New Roman" w:cs="Times New Roman"/>
          <w:sz w:val="24"/>
          <w:szCs w:val="24"/>
        </w:rPr>
        <w:t>simpler  [</w:t>
      </w:r>
      <w:proofErr w:type="gramEnd"/>
      <w:r>
        <w:rPr>
          <w:rFonts w:ascii="Times New Roman" w:eastAsia="Times New Roman" w:hAnsi="Times New Roman" w:cs="Times New Roman"/>
          <w:sz w:val="24"/>
          <w:szCs w:val="24"/>
        </w:rPr>
        <w:t>194].</w:t>
      </w:r>
    </w:p>
    <w:p w14:paraId="4814374F"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Electric cars are initially costly, which slows the rate at which people convert, despite their higher efficiency. Building an EV early on often releases more climate-warming gases than producing gasoline-powered cars since batteries use a lot of energy. Meeting future demand like hitting 35% of car sales worldwide by 2030 is tough when factories must quickly grow output while managing raw material flows and environmental impact, especially in key regions such China, the U.S., and areas of Western Europe.</w:t>
      </w:r>
    </w:p>
    <w:p w14:paraId="4A9A9F8D"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Punching, stamping, or pushing on core materials sometimes changes how they behave, which can make FEA estimates about how much energy is lost wrong. Though sealing the ends improves heat control, doing it frequently in large electric motors causes actual construction difficulties. Although high-silicon steel is great at preventing energy loss, it breaks too easily when shaped, which makes it difficult to work with in large quantities. Expensive </w:t>
      </w:r>
      <w:proofErr w:type="spellStart"/>
      <w:r>
        <w:rPr>
          <w:rFonts w:ascii="Times New Roman" w:eastAsia="Times New Roman" w:hAnsi="Times New Roman" w:cs="Times New Roman"/>
          <w:sz w:val="24"/>
          <w:szCs w:val="24"/>
        </w:rPr>
        <w:t>GaN</w:t>
      </w:r>
      <w:proofErr w:type="spellEnd"/>
      <w:r>
        <w:rPr>
          <w:rFonts w:ascii="Times New Roman" w:eastAsia="Times New Roman" w:hAnsi="Times New Roman" w:cs="Times New Roman"/>
          <w:sz w:val="24"/>
          <w:szCs w:val="24"/>
        </w:rPr>
        <w:t xml:space="preserve"> base layers keep vertical power units from becoming common in markets, even though they have a lot of </w:t>
      </w:r>
      <w:proofErr w:type="gramStart"/>
      <w:r>
        <w:rPr>
          <w:rFonts w:ascii="Times New Roman" w:eastAsia="Times New Roman" w:hAnsi="Times New Roman" w:cs="Times New Roman"/>
          <w:sz w:val="24"/>
          <w:szCs w:val="24"/>
        </w:rPr>
        <w:t>potential  [</w:t>
      </w:r>
      <w:proofErr w:type="gramEnd"/>
      <w:r>
        <w:rPr>
          <w:rFonts w:ascii="Times New Roman" w:eastAsia="Times New Roman" w:hAnsi="Times New Roman" w:cs="Times New Roman"/>
          <w:sz w:val="24"/>
          <w:szCs w:val="24"/>
        </w:rPr>
        <w:t>196].</w:t>
      </w:r>
    </w:p>
    <w:p w14:paraId="28E7BEF6"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Because they react quickly when exposed to ambient air, certain solid electrolytes are challenging to manufacture and utilize. These substances have to be handled in an oxygen-free environment since exposure to air causes undesired chemical reactions brought on by moisture or gases. Working in sealed, oxygen-free chambers becomes crucial since it complicates and delays experimentations. Such limitations hamper initiatives to reliably grow production. These difficulties directly cause delays in getting more widely used sophisticated solid-state </w:t>
      </w:r>
      <w:proofErr w:type="gramStart"/>
      <w:r>
        <w:rPr>
          <w:rFonts w:ascii="Times New Roman" w:eastAsia="Times New Roman" w:hAnsi="Times New Roman" w:cs="Times New Roman"/>
          <w:sz w:val="24"/>
          <w:szCs w:val="24"/>
        </w:rPr>
        <w:t>batteries  [</w:t>
      </w:r>
      <w:proofErr w:type="gramEnd"/>
      <w:r>
        <w:rPr>
          <w:rFonts w:ascii="Times New Roman" w:eastAsia="Times New Roman" w:hAnsi="Times New Roman" w:cs="Times New Roman"/>
          <w:sz w:val="24"/>
          <w:szCs w:val="24"/>
        </w:rPr>
        <w:t>195].</w:t>
      </w:r>
    </w:p>
    <w:p w14:paraId="5D95BBEE"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Making solid-state batteries has problems because it takes a lot of steps to make perfect, very thin films of electrolyte and also make sure the interfaces between the electrodes are stable. Though promising, some sophisticated solid electrolytes are costly or challenging to create in big quantities, such as garnet compounds needing very high heat or </w:t>
      </w:r>
      <w:proofErr w:type="spellStart"/>
      <w:r>
        <w:rPr>
          <w:rFonts w:ascii="Times New Roman" w:eastAsia="Times New Roman" w:hAnsi="Times New Roman" w:cs="Times New Roman"/>
          <w:sz w:val="24"/>
          <w:szCs w:val="24"/>
        </w:rPr>
        <w:t>LiPON</w:t>
      </w:r>
      <w:proofErr w:type="spellEnd"/>
      <w:r>
        <w:rPr>
          <w:rFonts w:ascii="Times New Roman" w:eastAsia="Times New Roman" w:hAnsi="Times New Roman" w:cs="Times New Roman"/>
          <w:sz w:val="24"/>
          <w:szCs w:val="24"/>
        </w:rPr>
        <w:t xml:space="preserve"> thin films made via delicate processes. Since they are brittle, ceramic electrolytes present difficulties during assembly and degrade more quickly when exposed to repeated physical tension. Keeping consistency among millions of units without compromising performance remains the main hurdle in launching them to market; But advances in coating technology, firing techniques, patterning techniques, and bulk preparation using liquid-phase reactions or ball-milling routes point to possible future solutions for practical large-scale production [198]. A simplified representation of the electric vehicle battery system architecture is shown in Figure 3.</w:t>
      </w:r>
    </w:p>
    <w:p w14:paraId="54578E20"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29FC68B" wp14:editId="06909B11">
            <wp:extent cx="6858000" cy="3190875"/>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55"/>
                    <a:srcRect t="16250" b="13958"/>
                    <a:stretch>
                      <a:fillRect/>
                    </a:stretch>
                  </pic:blipFill>
                  <pic:spPr>
                    <a:xfrm>
                      <a:off x="0" y="0"/>
                      <a:ext cx="6858000" cy="3190875"/>
                    </a:xfrm>
                    <a:prstGeom prst="rect">
                      <a:avLst/>
                    </a:prstGeom>
                    <a:ln/>
                  </pic:spPr>
                </pic:pic>
              </a:graphicData>
            </a:graphic>
          </wp:inline>
        </w:drawing>
      </w:r>
    </w:p>
    <w:p w14:paraId="3DF43459" w14:textId="77777777" w:rsidR="006D0435" w:rsidRDefault="00000000">
      <w:pPr>
        <w:spacing w:before="240" w:after="2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3: Simplified Architecture of an Electric Vehicle Battery System (created by the author)</w:t>
      </w:r>
    </w:p>
    <w:p w14:paraId="5C890230" w14:textId="77777777" w:rsidR="006D0435" w:rsidRDefault="00000000">
      <w:pPr>
        <w:spacing w:before="240" w:after="240" w:line="276" w:lineRule="auto"/>
        <w:rPr>
          <w:rFonts w:ascii="Times New Roman" w:eastAsia="Times New Roman" w:hAnsi="Times New Roman" w:cs="Times New Roman"/>
          <w:i/>
          <w:iCs/>
          <w:sz w:val="20"/>
          <w:szCs w:val="20"/>
        </w:rPr>
      </w:pPr>
      <w:r>
        <w:rPr>
          <w:rFonts w:ascii="Times New Roman" w:eastAsia="Times New Roman" w:hAnsi="Times New Roman" w:cs="Times New Roman"/>
          <w:sz w:val="24"/>
          <w:szCs w:val="24"/>
        </w:rPr>
        <w:t>A consolidated overview of the major technical challenges discussed in this section is presented in Table 1.</w:t>
      </w:r>
    </w:p>
    <w:p w14:paraId="0F25CCB3" w14:textId="77777777" w:rsidR="006D0435" w:rsidRDefault="00000000">
      <w:pPr>
        <w:spacing w:before="240" w:after="2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i/>
          <w:iCs/>
          <w:sz w:val="20"/>
          <w:szCs w:val="20"/>
        </w:rPr>
        <w:t>Table 1. Summary of key technical challenges in lithium-ion batteries for electric vehicles (created by the author).</w:t>
      </w:r>
    </w:p>
    <w:tbl>
      <w:tblPr>
        <w:tblStyle w:val="af4"/>
        <w:tblW w:w="97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15"/>
        <w:gridCol w:w="2160"/>
        <w:gridCol w:w="2990"/>
        <w:gridCol w:w="2285"/>
      </w:tblGrid>
      <w:tr w:rsidR="006D0435" w14:paraId="3D019B79" w14:textId="77777777">
        <w:trPr>
          <w:trHeight w:val="889"/>
        </w:trPr>
        <w:tc>
          <w:tcPr>
            <w:tcW w:w="2315" w:type="dxa"/>
            <w:tcBorders>
              <w:top w:val="single" w:sz="8" w:space="0" w:color="000000"/>
              <w:left w:val="nil"/>
              <w:bottom w:val="single" w:sz="8" w:space="0" w:color="000000"/>
              <w:right w:val="nil"/>
            </w:tcBorders>
            <w:tcMar>
              <w:top w:w="100" w:type="dxa"/>
              <w:left w:w="100" w:type="dxa"/>
              <w:bottom w:w="100" w:type="dxa"/>
              <w:right w:w="100" w:type="dxa"/>
            </w:tcMar>
          </w:tcPr>
          <w:p w14:paraId="382A99AA" w14:textId="77777777" w:rsidR="006D0435" w:rsidRDefault="00000000">
            <w:pPr>
              <w:spacing w:before="240" w:after="2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Subsection</w:t>
            </w:r>
          </w:p>
        </w:tc>
        <w:tc>
          <w:tcPr>
            <w:tcW w:w="2160" w:type="dxa"/>
            <w:tcBorders>
              <w:top w:val="single" w:sz="8" w:space="0" w:color="000000"/>
              <w:left w:val="nil"/>
              <w:bottom w:val="single" w:sz="8" w:space="0" w:color="000000"/>
              <w:right w:val="nil"/>
            </w:tcBorders>
            <w:tcMar>
              <w:top w:w="100" w:type="dxa"/>
              <w:left w:w="100" w:type="dxa"/>
              <w:bottom w:w="100" w:type="dxa"/>
              <w:right w:w="100" w:type="dxa"/>
            </w:tcMar>
          </w:tcPr>
          <w:p w14:paraId="5555CFCB" w14:textId="77777777" w:rsidR="006D0435" w:rsidRDefault="00000000">
            <w:pPr>
              <w:spacing w:before="240" w:after="2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 Challenge</w:t>
            </w:r>
          </w:p>
        </w:tc>
        <w:tc>
          <w:tcPr>
            <w:tcW w:w="2990" w:type="dxa"/>
            <w:tcBorders>
              <w:top w:val="single" w:sz="8" w:space="0" w:color="000000"/>
              <w:left w:val="nil"/>
              <w:bottom w:val="single" w:sz="8" w:space="0" w:color="000000"/>
              <w:right w:val="nil"/>
            </w:tcBorders>
            <w:tcMar>
              <w:top w:w="100" w:type="dxa"/>
              <w:left w:w="100" w:type="dxa"/>
              <w:bottom w:w="100" w:type="dxa"/>
              <w:right w:w="100" w:type="dxa"/>
            </w:tcMar>
          </w:tcPr>
          <w:p w14:paraId="5811920F" w14:textId="77777777" w:rsidR="006D0435" w:rsidRDefault="00000000">
            <w:pPr>
              <w:spacing w:before="240" w:after="2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Core Issue</w:t>
            </w:r>
          </w:p>
        </w:tc>
        <w:tc>
          <w:tcPr>
            <w:tcW w:w="2285" w:type="dxa"/>
            <w:tcBorders>
              <w:top w:val="single" w:sz="8" w:space="0" w:color="000000"/>
              <w:left w:val="nil"/>
              <w:bottom w:val="single" w:sz="8" w:space="0" w:color="000000"/>
              <w:right w:val="nil"/>
            </w:tcBorders>
            <w:tcMar>
              <w:top w:w="100" w:type="dxa"/>
              <w:left w:w="100" w:type="dxa"/>
              <w:bottom w:w="100" w:type="dxa"/>
              <w:right w:w="100" w:type="dxa"/>
            </w:tcMar>
          </w:tcPr>
          <w:p w14:paraId="351D3832" w14:textId="77777777" w:rsidR="006D0435" w:rsidRDefault="00000000">
            <w:pPr>
              <w:spacing w:before="240" w:after="2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Impact on EV Performance</w:t>
            </w:r>
          </w:p>
        </w:tc>
      </w:tr>
      <w:tr w:rsidR="006D0435" w14:paraId="7CD97DDC" w14:textId="77777777">
        <w:trPr>
          <w:trHeight w:val="1040"/>
        </w:trPr>
        <w:tc>
          <w:tcPr>
            <w:tcW w:w="2315" w:type="dxa"/>
            <w:tcBorders>
              <w:top w:val="single" w:sz="8" w:space="0" w:color="000000"/>
              <w:left w:val="nil"/>
              <w:bottom w:val="nil"/>
              <w:right w:val="nil"/>
            </w:tcBorders>
            <w:tcMar>
              <w:top w:w="100" w:type="dxa"/>
              <w:left w:w="100" w:type="dxa"/>
              <w:bottom w:w="100" w:type="dxa"/>
              <w:right w:w="100" w:type="dxa"/>
            </w:tcMar>
          </w:tcPr>
          <w:p w14:paraId="01B64B79"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10.1.1 Energy Density vs Safety</w:t>
            </w:r>
          </w:p>
        </w:tc>
        <w:tc>
          <w:tcPr>
            <w:tcW w:w="2160" w:type="dxa"/>
            <w:tcBorders>
              <w:top w:val="single" w:sz="8" w:space="0" w:color="000000"/>
              <w:left w:val="nil"/>
              <w:bottom w:val="nil"/>
              <w:right w:val="nil"/>
            </w:tcBorders>
            <w:tcMar>
              <w:top w:w="100" w:type="dxa"/>
              <w:left w:w="100" w:type="dxa"/>
              <w:bottom w:w="100" w:type="dxa"/>
              <w:right w:w="100" w:type="dxa"/>
            </w:tcMar>
          </w:tcPr>
          <w:p w14:paraId="497A249E"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energy storage</w:t>
            </w:r>
          </w:p>
        </w:tc>
        <w:tc>
          <w:tcPr>
            <w:tcW w:w="2990" w:type="dxa"/>
            <w:tcBorders>
              <w:top w:val="single" w:sz="8" w:space="0" w:color="000000"/>
              <w:left w:val="nil"/>
              <w:bottom w:val="nil"/>
              <w:right w:val="nil"/>
            </w:tcBorders>
            <w:tcMar>
              <w:top w:w="100" w:type="dxa"/>
              <w:left w:w="100" w:type="dxa"/>
              <w:bottom w:w="100" w:type="dxa"/>
              <w:right w:w="100" w:type="dxa"/>
            </w:tcMar>
          </w:tcPr>
          <w:p w14:paraId="6DDB9C10"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Thermal instability increases with energy density</w:t>
            </w:r>
          </w:p>
        </w:tc>
        <w:tc>
          <w:tcPr>
            <w:tcW w:w="2285" w:type="dxa"/>
            <w:tcBorders>
              <w:top w:val="single" w:sz="8" w:space="0" w:color="000000"/>
              <w:left w:val="nil"/>
              <w:bottom w:val="nil"/>
              <w:right w:val="nil"/>
            </w:tcBorders>
            <w:tcMar>
              <w:top w:w="100" w:type="dxa"/>
              <w:left w:w="100" w:type="dxa"/>
              <w:bottom w:w="100" w:type="dxa"/>
              <w:right w:w="100" w:type="dxa"/>
            </w:tcMar>
          </w:tcPr>
          <w:p w14:paraId="1CFEFA6A"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Safety risks, overheating</w:t>
            </w:r>
          </w:p>
        </w:tc>
      </w:tr>
      <w:tr w:rsidR="006D0435" w14:paraId="5F833A63" w14:textId="77777777">
        <w:trPr>
          <w:trHeight w:val="770"/>
        </w:trPr>
        <w:tc>
          <w:tcPr>
            <w:tcW w:w="2315" w:type="dxa"/>
            <w:tcBorders>
              <w:top w:val="nil"/>
              <w:left w:val="nil"/>
              <w:bottom w:val="nil"/>
              <w:right w:val="nil"/>
            </w:tcBorders>
            <w:tcMar>
              <w:top w:w="100" w:type="dxa"/>
              <w:left w:w="100" w:type="dxa"/>
              <w:bottom w:w="100" w:type="dxa"/>
              <w:right w:w="100" w:type="dxa"/>
            </w:tcMar>
          </w:tcPr>
          <w:p w14:paraId="3EBE5A75"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10.1.2 Battery Degradation</w:t>
            </w:r>
          </w:p>
        </w:tc>
        <w:tc>
          <w:tcPr>
            <w:tcW w:w="2160" w:type="dxa"/>
            <w:tcBorders>
              <w:top w:val="nil"/>
              <w:left w:val="nil"/>
              <w:bottom w:val="nil"/>
              <w:right w:val="nil"/>
            </w:tcBorders>
            <w:tcMar>
              <w:top w:w="100" w:type="dxa"/>
              <w:left w:w="100" w:type="dxa"/>
              <w:bottom w:w="100" w:type="dxa"/>
              <w:right w:w="100" w:type="dxa"/>
            </w:tcMar>
          </w:tcPr>
          <w:p w14:paraId="27A105F5"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Temperature &amp; cycling stress</w:t>
            </w:r>
          </w:p>
        </w:tc>
        <w:tc>
          <w:tcPr>
            <w:tcW w:w="2990" w:type="dxa"/>
            <w:tcBorders>
              <w:top w:val="nil"/>
              <w:left w:val="nil"/>
              <w:bottom w:val="nil"/>
              <w:right w:val="nil"/>
            </w:tcBorders>
            <w:tcMar>
              <w:top w:w="100" w:type="dxa"/>
              <w:left w:w="100" w:type="dxa"/>
              <w:bottom w:w="100" w:type="dxa"/>
              <w:right w:w="100" w:type="dxa"/>
            </w:tcMar>
          </w:tcPr>
          <w:p w14:paraId="676E5E78"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fade and internal damage</w:t>
            </w:r>
          </w:p>
        </w:tc>
        <w:tc>
          <w:tcPr>
            <w:tcW w:w="2285" w:type="dxa"/>
            <w:tcBorders>
              <w:top w:val="nil"/>
              <w:left w:val="nil"/>
              <w:bottom w:val="nil"/>
              <w:right w:val="nil"/>
            </w:tcBorders>
            <w:tcMar>
              <w:top w:w="100" w:type="dxa"/>
              <w:left w:w="100" w:type="dxa"/>
              <w:bottom w:w="100" w:type="dxa"/>
              <w:right w:w="100" w:type="dxa"/>
            </w:tcMar>
          </w:tcPr>
          <w:p w14:paraId="102B12F7"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Reduced lifespan</w:t>
            </w:r>
          </w:p>
        </w:tc>
      </w:tr>
      <w:tr w:rsidR="006D0435" w14:paraId="386E7696" w14:textId="77777777">
        <w:trPr>
          <w:trHeight w:val="770"/>
        </w:trPr>
        <w:tc>
          <w:tcPr>
            <w:tcW w:w="2315" w:type="dxa"/>
            <w:tcBorders>
              <w:top w:val="nil"/>
              <w:left w:val="nil"/>
              <w:bottom w:val="nil"/>
              <w:right w:val="nil"/>
            </w:tcBorders>
            <w:tcMar>
              <w:top w:w="100" w:type="dxa"/>
              <w:left w:w="100" w:type="dxa"/>
              <w:bottom w:w="100" w:type="dxa"/>
              <w:right w:w="100" w:type="dxa"/>
            </w:tcMar>
          </w:tcPr>
          <w:p w14:paraId="4863CBB2"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10.1.3 Thermal Runaway</w:t>
            </w:r>
          </w:p>
        </w:tc>
        <w:tc>
          <w:tcPr>
            <w:tcW w:w="2160" w:type="dxa"/>
            <w:tcBorders>
              <w:top w:val="nil"/>
              <w:left w:val="nil"/>
              <w:bottom w:val="nil"/>
              <w:right w:val="nil"/>
            </w:tcBorders>
            <w:tcMar>
              <w:top w:w="100" w:type="dxa"/>
              <w:left w:w="100" w:type="dxa"/>
              <w:bottom w:w="100" w:type="dxa"/>
              <w:right w:w="100" w:type="dxa"/>
            </w:tcMar>
          </w:tcPr>
          <w:p w14:paraId="378A3C70"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Heat-triggered reactions</w:t>
            </w:r>
          </w:p>
        </w:tc>
        <w:tc>
          <w:tcPr>
            <w:tcW w:w="2990" w:type="dxa"/>
            <w:tcBorders>
              <w:top w:val="nil"/>
              <w:left w:val="nil"/>
              <w:bottom w:val="nil"/>
              <w:right w:val="nil"/>
            </w:tcBorders>
            <w:tcMar>
              <w:top w:w="100" w:type="dxa"/>
              <w:left w:w="100" w:type="dxa"/>
              <w:bottom w:w="100" w:type="dxa"/>
              <w:right w:w="100" w:type="dxa"/>
            </w:tcMar>
          </w:tcPr>
          <w:p w14:paraId="4D3D672F"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Chain reactions leading to fire/explosion</w:t>
            </w:r>
          </w:p>
        </w:tc>
        <w:tc>
          <w:tcPr>
            <w:tcW w:w="2285" w:type="dxa"/>
            <w:tcBorders>
              <w:top w:val="nil"/>
              <w:left w:val="nil"/>
              <w:bottom w:val="nil"/>
              <w:right w:val="nil"/>
            </w:tcBorders>
            <w:tcMar>
              <w:top w:w="100" w:type="dxa"/>
              <w:left w:w="100" w:type="dxa"/>
              <w:bottom w:w="100" w:type="dxa"/>
              <w:right w:w="100" w:type="dxa"/>
            </w:tcMar>
          </w:tcPr>
          <w:p w14:paraId="47AC4F63"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Critical safety hazard</w:t>
            </w:r>
          </w:p>
        </w:tc>
      </w:tr>
      <w:tr w:rsidR="006D0435" w14:paraId="4D4EF12A" w14:textId="77777777">
        <w:trPr>
          <w:trHeight w:val="770"/>
        </w:trPr>
        <w:tc>
          <w:tcPr>
            <w:tcW w:w="2315" w:type="dxa"/>
            <w:tcBorders>
              <w:top w:val="nil"/>
              <w:left w:val="nil"/>
              <w:bottom w:val="nil"/>
              <w:right w:val="nil"/>
            </w:tcBorders>
            <w:tcMar>
              <w:top w:w="100" w:type="dxa"/>
              <w:left w:w="100" w:type="dxa"/>
              <w:bottom w:w="100" w:type="dxa"/>
              <w:right w:w="100" w:type="dxa"/>
            </w:tcMar>
          </w:tcPr>
          <w:p w14:paraId="00C8285F"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10.1.4 Fast Charging</w:t>
            </w:r>
          </w:p>
        </w:tc>
        <w:tc>
          <w:tcPr>
            <w:tcW w:w="2160" w:type="dxa"/>
            <w:tcBorders>
              <w:top w:val="nil"/>
              <w:left w:val="nil"/>
              <w:bottom w:val="nil"/>
              <w:right w:val="nil"/>
            </w:tcBorders>
            <w:tcMar>
              <w:top w:w="100" w:type="dxa"/>
              <w:left w:w="100" w:type="dxa"/>
              <w:bottom w:w="100" w:type="dxa"/>
              <w:right w:w="100" w:type="dxa"/>
            </w:tcMar>
          </w:tcPr>
          <w:p w14:paraId="19C169C1"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current input</w:t>
            </w:r>
          </w:p>
        </w:tc>
        <w:tc>
          <w:tcPr>
            <w:tcW w:w="2990" w:type="dxa"/>
            <w:tcBorders>
              <w:top w:val="nil"/>
              <w:left w:val="nil"/>
              <w:bottom w:val="nil"/>
              <w:right w:val="nil"/>
            </w:tcBorders>
            <w:tcMar>
              <w:top w:w="100" w:type="dxa"/>
              <w:left w:w="100" w:type="dxa"/>
              <w:bottom w:w="100" w:type="dxa"/>
              <w:right w:w="100" w:type="dxa"/>
            </w:tcMar>
          </w:tcPr>
          <w:p w14:paraId="2C02CF28"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Excessive heat and lithium plating</w:t>
            </w:r>
          </w:p>
        </w:tc>
        <w:tc>
          <w:tcPr>
            <w:tcW w:w="2285" w:type="dxa"/>
            <w:tcBorders>
              <w:top w:val="nil"/>
              <w:left w:val="nil"/>
              <w:bottom w:val="nil"/>
              <w:right w:val="nil"/>
            </w:tcBorders>
            <w:tcMar>
              <w:top w:w="100" w:type="dxa"/>
              <w:left w:w="100" w:type="dxa"/>
              <w:bottom w:w="100" w:type="dxa"/>
              <w:right w:w="100" w:type="dxa"/>
            </w:tcMar>
          </w:tcPr>
          <w:p w14:paraId="02D1FFCC"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Faster degradation</w:t>
            </w:r>
          </w:p>
        </w:tc>
      </w:tr>
      <w:tr w:rsidR="006D0435" w14:paraId="22C662CF" w14:textId="77777777">
        <w:trPr>
          <w:trHeight w:val="770"/>
        </w:trPr>
        <w:tc>
          <w:tcPr>
            <w:tcW w:w="2315" w:type="dxa"/>
            <w:tcBorders>
              <w:top w:val="nil"/>
              <w:left w:val="nil"/>
              <w:bottom w:val="single" w:sz="8" w:space="0" w:color="000000"/>
              <w:right w:val="nil"/>
            </w:tcBorders>
            <w:tcMar>
              <w:top w:w="100" w:type="dxa"/>
              <w:left w:w="100" w:type="dxa"/>
              <w:bottom w:w="100" w:type="dxa"/>
              <w:right w:w="100" w:type="dxa"/>
            </w:tcMar>
          </w:tcPr>
          <w:p w14:paraId="6886B55B"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10.1.1 Manufacturing</w:t>
            </w:r>
          </w:p>
        </w:tc>
        <w:tc>
          <w:tcPr>
            <w:tcW w:w="2160" w:type="dxa"/>
            <w:tcBorders>
              <w:top w:val="nil"/>
              <w:left w:val="nil"/>
              <w:bottom w:val="single" w:sz="8" w:space="0" w:color="000000"/>
              <w:right w:val="nil"/>
            </w:tcBorders>
            <w:tcMar>
              <w:top w:w="100" w:type="dxa"/>
              <w:left w:w="100" w:type="dxa"/>
              <w:bottom w:w="100" w:type="dxa"/>
              <w:right w:w="100" w:type="dxa"/>
            </w:tcMar>
          </w:tcPr>
          <w:p w14:paraId="12E85C19"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Complex systems</w:t>
            </w:r>
          </w:p>
        </w:tc>
        <w:tc>
          <w:tcPr>
            <w:tcW w:w="2990" w:type="dxa"/>
            <w:tcBorders>
              <w:top w:val="nil"/>
              <w:left w:val="nil"/>
              <w:bottom w:val="single" w:sz="8" w:space="0" w:color="000000"/>
              <w:right w:val="nil"/>
            </w:tcBorders>
            <w:tcMar>
              <w:top w:w="100" w:type="dxa"/>
              <w:left w:w="100" w:type="dxa"/>
              <w:bottom w:w="100" w:type="dxa"/>
              <w:right w:w="100" w:type="dxa"/>
            </w:tcMar>
          </w:tcPr>
          <w:p w14:paraId="7721DE1B"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cost and design difficulty</w:t>
            </w:r>
          </w:p>
        </w:tc>
        <w:tc>
          <w:tcPr>
            <w:tcW w:w="2285" w:type="dxa"/>
            <w:tcBorders>
              <w:top w:val="nil"/>
              <w:left w:val="nil"/>
              <w:bottom w:val="single" w:sz="8" w:space="0" w:color="000000"/>
              <w:right w:val="nil"/>
            </w:tcBorders>
            <w:tcMar>
              <w:top w:w="100" w:type="dxa"/>
              <w:left w:w="100" w:type="dxa"/>
              <w:bottom w:w="100" w:type="dxa"/>
              <w:right w:w="100" w:type="dxa"/>
            </w:tcMar>
          </w:tcPr>
          <w:p w14:paraId="6952A665"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Limits scalability</w:t>
            </w:r>
          </w:p>
        </w:tc>
      </w:tr>
    </w:tbl>
    <w:p w14:paraId="2FC96B2E" w14:textId="77777777" w:rsidR="006D0435" w:rsidRDefault="00000000">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10.2 Environmental Implications</w:t>
      </w:r>
    </w:p>
    <w:p w14:paraId="5D217E3A" w14:textId="77777777" w:rsidR="006D043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overall lifecycle of lithium-ion batteries and its associated environmental impacts are presented in Figure 2.</w:t>
      </w:r>
    </w:p>
    <w:p w14:paraId="68F471F3" w14:textId="77777777" w:rsidR="006D0435" w:rsidRDefault="00000000">
      <w:r>
        <w:rPr>
          <w:noProof/>
        </w:rPr>
        <w:drawing>
          <wp:inline distT="114300" distB="114300" distL="114300" distR="114300" wp14:anchorId="7499831C" wp14:editId="4047C242">
            <wp:extent cx="6858000" cy="608629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6"/>
                    <a:srcRect t="4772"/>
                    <a:stretch>
                      <a:fillRect/>
                    </a:stretch>
                  </pic:blipFill>
                  <pic:spPr>
                    <a:xfrm>
                      <a:off x="0" y="0"/>
                      <a:ext cx="6858000" cy="6086292"/>
                    </a:xfrm>
                    <a:prstGeom prst="rect">
                      <a:avLst/>
                    </a:prstGeom>
                    <a:ln/>
                  </pic:spPr>
                </pic:pic>
              </a:graphicData>
            </a:graphic>
          </wp:inline>
        </w:drawing>
      </w:r>
    </w:p>
    <w:p w14:paraId="04C4734A" w14:textId="77777777" w:rsidR="006D0435" w:rsidRDefault="00000000">
      <w:pPr>
        <w:jc w:val="center"/>
      </w:pPr>
      <w:r>
        <w:rPr>
          <w:rFonts w:ascii="Times New Roman" w:eastAsia="Times New Roman" w:hAnsi="Times New Roman" w:cs="Times New Roman"/>
          <w:sz w:val="24"/>
          <w:szCs w:val="24"/>
        </w:rPr>
        <w:t>Figure 2: Lifecycle of Lithium-Ion Batteries in Electric Vehicles (created by the author)</w:t>
      </w:r>
    </w:p>
    <w:p w14:paraId="7F878298" w14:textId="77777777" w:rsidR="006D0435" w:rsidRDefault="00000000">
      <w:pPr>
        <w:spacing w:before="2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10.2.1 Raw Material Extraction Impacts</w:t>
      </w:r>
    </w:p>
    <w:p w14:paraId="0CAA0193"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Gathering resources for batteries raises difficult moral and environmental issues. Key component lithium increases significantly in water usage during retrieval. In Congo, cobalt comes at great human cost since it is often linked to juvenile workers and bad working circumstances. America needs more graphite, lithium, nickel, </w:t>
      </w:r>
      <w:r>
        <w:rPr>
          <w:rFonts w:ascii="Times New Roman" w:eastAsia="Times New Roman" w:hAnsi="Times New Roman" w:cs="Times New Roman"/>
          <w:sz w:val="24"/>
          <w:szCs w:val="24"/>
        </w:rPr>
        <w:lastRenderedPageBreak/>
        <w:t xml:space="preserve">and cobalt among other crucial minerals. That gap makes one rely more on outside vendors, especially China, which produces most electrodes. Overlapping demands access to resources, care for the environment, and fairness in labor now put strain on supply networks all around as each shapes the </w:t>
      </w:r>
      <w:proofErr w:type="gramStart"/>
      <w:r>
        <w:rPr>
          <w:rFonts w:ascii="Times New Roman" w:eastAsia="Times New Roman" w:hAnsi="Times New Roman" w:cs="Times New Roman"/>
          <w:sz w:val="24"/>
          <w:szCs w:val="24"/>
        </w:rPr>
        <w:t>others  [</w:t>
      </w:r>
      <w:proofErr w:type="gramEnd"/>
      <w:r>
        <w:rPr>
          <w:rFonts w:ascii="Times New Roman" w:eastAsia="Times New Roman" w:hAnsi="Times New Roman" w:cs="Times New Roman"/>
          <w:sz w:val="24"/>
          <w:szCs w:val="24"/>
        </w:rPr>
        <w:t>200].</w:t>
      </w:r>
    </w:p>
    <w:p w14:paraId="710B1DB8"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Though attempts to fulfill net-zero targets are speeding, lithium, cobalt, nickel, and graphite are projected to see fast increased reliance in the next years. Getting enough raw materials is now a big problem since electric cars and renewable technologies rely a lot on them. Where governance is poor, mining operations frequently cause community damage together with environmental damage. Lithium should be extracted from the ground because doing so often contaminates nearby water supplies. Large volumes of water are also needed for this process, it uses a lot of energy, and it creates a lot of waste that reflects more serious problems in how these resources are </w:t>
      </w:r>
      <w:proofErr w:type="gramStart"/>
      <w:r>
        <w:rPr>
          <w:rFonts w:ascii="Times New Roman" w:eastAsia="Times New Roman" w:hAnsi="Times New Roman" w:cs="Times New Roman"/>
          <w:sz w:val="24"/>
          <w:szCs w:val="24"/>
        </w:rPr>
        <w:t>acquired  [</w:t>
      </w:r>
      <w:proofErr w:type="gramEnd"/>
      <w:r>
        <w:rPr>
          <w:rFonts w:ascii="Times New Roman" w:eastAsia="Times New Roman" w:hAnsi="Times New Roman" w:cs="Times New Roman"/>
          <w:sz w:val="24"/>
          <w:szCs w:val="24"/>
        </w:rPr>
        <w:t>197].</w:t>
      </w:r>
    </w:p>
    <w:p w14:paraId="52801A52"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Lithium-ion battery production mostly relies on lithium, cobalt, and nickel. However, concerns rise about the environmental impact of mining and refining these resources. Moving toward recycled sources, often known as urban mining, can help to alleviate some of the damage while also using resources more sustainably [201].</w:t>
      </w:r>
    </w:p>
    <w:p w14:paraId="177EAD02"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Contrary to popular belief, electric vehicles' power sources need a lot of certain raw materials, which raises questions about material usage and health risks when compared to conventional fuel-powered models. Making important parts like positive electrodes and lightweight structural parts is how emissions mostly come from, especially in places where fossil fuels are the main source of electricity. Rather than consistent results, local mining techniques and how cleanly industrial plants run their equipment determine the ecological effects. Processes requiring a lot of heat or a lot of power, like refining ores or getting rid of moisture from coating layers, put extra strain on a lot of different environmental indicators. Though mining lithium and cobalt hurts communities and ecosystems, all-solid-state designs lower the amount of harmful chemicals found in batteries. These modern systems offer better environmental performance by eliminating dangerous compounds included in conventional varieties. Still, some depend on lanthanum, a rare element confined to a small number of areas, therefore raising fresh concerns about accessibility and long-term </w:t>
      </w:r>
      <w:proofErr w:type="gramStart"/>
      <w:r>
        <w:rPr>
          <w:rFonts w:ascii="Times New Roman" w:eastAsia="Times New Roman" w:hAnsi="Times New Roman" w:cs="Times New Roman"/>
          <w:sz w:val="24"/>
          <w:szCs w:val="24"/>
        </w:rPr>
        <w:t>viability  [</w:t>
      </w:r>
      <w:proofErr w:type="gramEnd"/>
      <w:r>
        <w:rPr>
          <w:rFonts w:ascii="Times New Roman" w:eastAsia="Times New Roman" w:hAnsi="Times New Roman" w:cs="Times New Roman"/>
          <w:sz w:val="24"/>
          <w:szCs w:val="24"/>
        </w:rPr>
        <w:t>198].</w:t>
      </w:r>
    </w:p>
    <w:p w14:paraId="71BFEACF"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Lithium-ion battery manufacturing is challenged by limited raw materials, raising concerns about long-term availability. Key elements like cobalt and lithium are sourced from a few regions, creating supply vulnerabilities that are often overlooked in standard life-cycle analyses. Cobalt mining in places like the Democratic Republic of Congo leads to ecological damage and human rights issues, including the use of child labor and toxic metal poisoning. The processes of refining aluminum and extracting lithium also produce significant carbon emissions, particularly when reliant on coal power. Future life cycle assessments should incorporate a variety of resource draw models and examine responses to changes. Furthermore, electric cars generate more waste than traditional vehicles due to the rare minerals required for batteries, highlighting the importance of recycling old batteries to reduce mining pressure. Despite their advantages, rare-earth elements in magnets increase production costs and supply chain risks, prompting scientists to seek alternatives that minimize these components for greater stability.</w:t>
      </w:r>
    </w:p>
    <w:p w14:paraId="6A9FF32B" w14:textId="77777777" w:rsidR="006D0435" w:rsidRDefault="00000000">
      <w:pPr>
        <w:spacing w:before="2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10.2.2 Carbon Footprint &amp; Life Cycle Assessment</w:t>
      </w:r>
    </w:p>
    <w:p w14:paraId="1540AF16"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battery production adds much to greenhouse gases, how that power is made shapes its full climate effect. Where mines pull materials matters, because dirty grids boost pollution during early steps. Cell building stands out as especially emission-heavy across the entire timeline. Charging habits later on play a role too, yet origins of the electricity supply weigh heavily at every stage. Factories placed where renewables dominate tend to lower harm more than those tied to coal-heavy networks [197].</w:t>
      </w:r>
    </w:p>
    <w:p w14:paraId="6D899922"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Built during production, batteries tie closely to high greenhouse gas outputs, especially where power grids rely on fossil fuels mining raw minerals adds heavily to this burden. Instead of new digging, reprocessing old units might slash climate impacts nearly 50 percent. Still, breaking down used batteries demands considerable power, sometimes releasing harmful fumes, dirtying water supplies, leaving behind stubborn waste. Even so, recycled pathways must stay cleaner overall compared to fresh resource extraction. Lasting gains depend on balancing these trade-offs without shifting harm elsewhere Fewer harmful materials show up in all-solid-state batteries because solids tend to stay put, behave predictably, mostly avoid dangerous reactions unlike the easily vaporized organics inside conventional cells. Since these units last longer under regular use, swapping them out happens far less often, which slowly cuts down on waste tied to power storage [198]. Few realize how much battery making affects Earth electric cars often carry heavier ecological footprints early on compared to gasoline models. That footprint comes mostly from crafting their large storage units, responsible for most carbon released up front. Once driving begins, pollution levels usually drop off, yet the actual gain hinges critically on whether local grids burn coal or harness cleaner sources instead. If power plants rely heavily on fossil fuels, any edge electric machines seemed to have may vanish entirely or worse, disappear upside down. Beyond climate metrics, mining materials and assembling packs intensifies risks tied to poisoning people and overloading water with nutrients. Even so, when stacked against outdated types like lead-acid or nickel-cadmium designs, today's lithium cells still come out ahead across major sustainability checks [203].</w:t>
      </w:r>
    </w:p>
    <w:p w14:paraId="52C4ABC1"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Though Life Cycle Assessment helps gauge how lithium-ion batteries affect the environment, ways of measuring and sharing results still lack uniformity. Because studies define system limits differently alongside mismatched functional units, databases, and selected impact types it becomes tough to line up findings. One paper might count twice as much manufacturing energy as another, simply due to methodological choices. Emissions tied to global warming over a century mostly stem from fossil-fuel-based carbon dioxide released when making cells. Progress hinges on separating effects caused by power demand from those linked to material extraction or transport. When analysts split these factors apart, updates reflecting cleaner grids become easier to integrate. Clarity grows if assumptions shift away from averaged inputs toward transparent source </w:t>
      </w:r>
      <w:proofErr w:type="gramStart"/>
      <w:r>
        <w:rPr>
          <w:rFonts w:ascii="Times New Roman" w:eastAsia="Times New Roman" w:hAnsi="Times New Roman" w:cs="Times New Roman"/>
          <w:sz w:val="24"/>
          <w:szCs w:val="24"/>
        </w:rPr>
        <w:t>tracing  [</w:t>
      </w:r>
      <w:proofErr w:type="gramEnd"/>
      <w:r>
        <w:rPr>
          <w:rFonts w:ascii="Times New Roman" w:eastAsia="Times New Roman" w:hAnsi="Times New Roman" w:cs="Times New Roman"/>
          <w:sz w:val="24"/>
          <w:szCs w:val="24"/>
        </w:rPr>
        <w:t>194].</w:t>
      </w:r>
    </w:p>
    <w:p w14:paraId="5DFDF56F"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Despite cleaner operation, electric cars carry an initial climate cost due to battery production. Their total footprint hinges on how local power grids generate electricity. Where wind or solar dominate supply, these vehicles emit less CO₂ over time. In contrast, areas burning large amounts of coal might see electric models outpace gasoline counterparts in emissions. Lifecycle advantages shift sharply based on energy sources used during both manufacturing and driving.</w:t>
      </w:r>
    </w:p>
    <w:p w14:paraId="72BD99DC" w14:textId="77777777" w:rsidR="006D0435" w:rsidRDefault="00000000">
      <w:pPr>
        <w:spacing w:before="2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10.2.3 Recycling &amp; End-of-Life Challenges</w:t>
      </w:r>
    </w:p>
    <w:p w14:paraId="6EC47465"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electric vehicles gain popularity, used batteries pile up fast creating pressure to find smart ways forward. When cars retire, their power packs still hold close to 70% function, making reuse a practical option. Grid support or emergency energy supply can give them new purpose, cutting down trash and sparing raw materials at once. Still, moving many of these units into fresh roles hits snags notably money demands across handling, checking, rebuilding, linking systems, certifying safety, setting up operations, storing parts, shifting locations, and putting pieces together again. Each step adds complexity; none fit neatly into today’s infrastructure without effort. Value stays locked unless both innovation and investment rise hand in hand. Sustainability gains remain partial so long as hurdles block smooth transitions from car to next </w:t>
      </w:r>
      <w:proofErr w:type="gramStart"/>
      <w:r>
        <w:rPr>
          <w:rFonts w:ascii="Times New Roman" w:eastAsia="Times New Roman" w:hAnsi="Times New Roman" w:cs="Times New Roman"/>
          <w:sz w:val="24"/>
          <w:szCs w:val="24"/>
        </w:rPr>
        <w:t>phase .</w:t>
      </w:r>
      <w:proofErr w:type="gramEnd"/>
      <w:r>
        <w:rPr>
          <w:rFonts w:ascii="Times New Roman" w:eastAsia="Times New Roman" w:hAnsi="Times New Roman" w:cs="Times New Roman"/>
          <w:sz w:val="24"/>
          <w:szCs w:val="24"/>
        </w:rPr>
        <w:t xml:space="preserve"> Using recycled materials from old lithium-ion batteries helps ease demand on raw resources while lowering ecological harm. Though common, traditional smelting approaches require large amounts of power and release harmful </w:t>
      </w:r>
      <w:r>
        <w:rPr>
          <w:rFonts w:ascii="Times New Roman" w:eastAsia="Times New Roman" w:hAnsi="Times New Roman" w:cs="Times New Roman"/>
          <w:sz w:val="24"/>
          <w:szCs w:val="24"/>
        </w:rPr>
        <w:lastRenderedPageBreak/>
        <w:t xml:space="preserve">fumes problems likely to grow as discarded batteries pile up. Chemical-based extraction methods recover more material efficiently; however, they bring complicated steps alongside steep expenses for reagents and cleaning polluted water. Newer ideas like restoring damaged parts directly struggle with measuring real-world feasibility when factoring in energy use, manpower needs, and broader ecosystem effects across wide deployment. Physical laws limit total reuse, meaning complete recycling loops cannot exist under current understanding. Often, the worth of reclaimed substances fails to balance out the energy invested and environmental toll taken during </w:t>
      </w:r>
      <w:proofErr w:type="gramStart"/>
      <w:r>
        <w:rPr>
          <w:rFonts w:ascii="Times New Roman" w:eastAsia="Times New Roman" w:hAnsi="Times New Roman" w:cs="Times New Roman"/>
          <w:sz w:val="24"/>
          <w:szCs w:val="24"/>
        </w:rPr>
        <w:t>recovery  [</w:t>
      </w:r>
      <w:proofErr w:type="gramEnd"/>
      <w:r>
        <w:rPr>
          <w:rFonts w:ascii="Times New Roman" w:eastAsia="Times New Roman" w:hAnsi="Times New Roman" w:cs="Times New Roman"/>
          <w:sz w:val="24"/>
          <w:szCs w:val="24"/>
        </w:rPr>
        <w:t>197].</w:t>
      </w:r>
    </w:p>
    <w:p w14:paraId="01B2410E"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Sometimes buried away, used lithium-ion cells can leak harmful substances into dirt and water supplies. Even though they harm nature, a large number end up thrown out instead of recovered, because gathering them is still rare especially tiny ones from personal gadgets, since their small scale plus minimal financial return makes reuse hard [201].</w:t>
      </w:r>
    </w:p>
    <w:p w14:paraId="2E765B07"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Battery recycling might lower harm to nature along with cutting down on raw resource needs yet it's unclear whether it cancels pollution tied to making new batteries. When recovering and rebuilding materials takes too much power, gains shrink fast. High-heat techniques already in use demand heavy energy, release dangerous fumes, and often miss extracting vital components entirely; water-based alternatives bring tangled operations plus messy waste streams to manage. Newer ideas like restoring battery parts directly or using microbes to extract metals still struggle with growing beyond lab size, speed issues, or being simply too fresh to rely upon. Profitability also wobbles under real-world pressures: moving used units around, worker pay, how products are built for disassembly, and just how well current tech handles sorting and </w:t>
      </w:r>
      <w:proofErr w:type="gramStart"/>
      <w:r>
        <w:rPr>
          <w:rFonts w:ascii="Times New Roman" w:eastAsia="Times New Roman" w:hAnsi="Times New Roman" w:cs="Times New Roman"/>
          <w:sz w:val="24"/>
          <w:szCs w:val="24"/>
        </w:rPr>
        <w:t>refining  [</w:t>
      </w:r>
      <w:proofErr w:type="gramEnd"/>
      <w:r>
        <w:rPr>
          <w:rFonts w:ascii="Times New Roman" w:eastAsia="Times New Roman" w:hAnsi="Times New Roman" w:cs="Times New Roman"/>
          <w:sz w:val="24"/>
          <w:szCs w:val="24"/>
        </w:rPr>
        <w:t>203].</w:t>
      </w:r>
    </w:p>
    <w:p w14:paraId="0D8EE414"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Most used ways to recycle lithium-ion batteries rely on closed systems using high-heat methods, liquid-based extraction, or rebuilding parts directly. High-temperature treatments tend to pull out metals like cobalt, nickel, and copper more easily. Liquid-driven reactions along with direct reuse strategies can capture extra elements lithium, for example, plus aluminum. Still, nearly all spent units, around 95 percent worldwide, never enter any recycling path. Regional differences shape how often or thoroughly these steps happen. Evaluating total environmental impact runs into problems when assuming recycled inputs match new ones exactly. Hard data confirming such parity remains sparse. Benefits tied to reprocessing might vanish should reclaimed components shorten battery lifespan or weaken energy return during charge </w:t>
      </w:r>
      <w:proofErr w:type="gramStart"/>
      <w:r>
        <w:rPr>
          <w:rFonts w:ascii="Times New Roman" w:eastAsia="Times New Roman" w:hAnsi="Times New Roman" w:cs="Times New Roman"/>
          <w:sz w:val="24"/>
          <w:szCs w:val="24"/>
        </w:rPr>
        <w:t>cycles  [</w:t>
      </w:r>
      <w:proofErr w:type="gramEnd"/>
      <w:r>
        <w:rPr>
          <w:rFonts w:ascii="Times New Roman" w:eastAsia="Times New Roman" w:hAnsi="Times New Roman" w:cs="Times New Roman"/>
          <w:sz w:val="24"/>
          <w:szCs w:val="24"/>
        </w:rPr>
        <w:t>194].</w:t>
      </w:r>
    </w:p>
    <w:p w14:paraId="3DD09727"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Waste from standard lithium-ion batteries often harms ecosystems when discarded or processed. Even though solid-state versions perform cleaner while operating, questions remain about how they will be handled once retired [198].</w:t>
      </w:r>
    </w:p>
    <w:p w14:paraId="06437C60"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Getting lithium back from used batteries takes serious effort different battery types mean extra steps, plus pulling out metals like cobalt demands precision. Though burning them brings money, it also burns through fuel and releases large amounts of carbon dioxide into the air. Soaking parts in chemicals uses less power yet leaves behind dangerous byproducts that pose risks. Skipping heat altogether could cut pollution sharply; however, most trials stay inside labs for now. Today's approaches often fall short, wasting resources while harming nature, which keeps pushing scientists toward smarter, cleaner ways to reuse what we already have [202</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key environmental impacts associated with lithium-ion batteries across their lifecycle are summarized in Table 2.</w:t>
      </w:r>
    </w:p>
    <w:p w14:paraId="6607341B" w14:textId="77777777" w:rsidR="006D0435" w:rsidRDefault="006D0435">
      <w:pPr>
        <w:spacing w:before="240" w:after="240" w:line="276" w:lineRule="auto"/>
        <w:rPr>
          <w:rFonts w:ascii="Times New Roman" w:eastAsia="Times New Roman" w:hAnsi="Times New Roman" w:cs="Times New Roman"/>
          <w:sz w:val="24"/>
          <w:szCs w:val="24"/>
        </w:rPr>
      </w:pPr>
    </w:p>
    <w:p w14:paraId="3D66E9B8" w14:textId="77777777" w:rsidR="006D0435" w:rsidRDefault="006D0435">
      <w:pPr>
        <w:spacing w:before="240" w:after="240" w:line="276" w:lineRule="auto"/>
        <w:rPr>
          <w:rFonts w:ascii="Times New Roman" w:eastAsia="Times New Roman" w:hAnsi="Times New Roman" w:cs="Times New Roman"/>
          <w:sz w:val="24"/>
          <w:szCs w:val="24"/>
        </w:rPr>
      </w:pPr>
    </w:p>
    <w:p w14:paraId="3020FFA0" w14:textId="77777777" w:rsidR="006D0435" w:rsidRDefault="006D0435">
      <w:pPr>
        <w:spacing w:before="240" w:after="240" w:line="276" w:lineRule="auto"/>
        <w:rPr>
          <w:rFonts w:ascii="Times New Roman" w:eastAsia="Times New Roman" w:hAnsi="Times New Roman" w:cs="Times New Roman"/>
          <w:sz w:val="24"/>
          <w:szCs w:val="24"/>
        </w:rPr>
      </w:pPr>
    </w:p>
    <w:p w14:paraId="7CFB7769" w14:textId="77777777" w:rsidR="006D0435" w:rsidRDefault="00000000">
      <w:pPr>
        <w:spacing w:before="240" w:after="240"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Table 2. Environmental implications associated with lithium-ion battery lifecycle (created by the author).</w:t>
      </w:r>
    </w:p>
    <w:tbl>
      <w:tblPr>
        <w:tblStyle w:val="af5"/>
        <w:tblW w:w="9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65"/>
        <w:gridCol w:w="2285"/>
        <w:gridCol w:w="2930"/>
        <w:gridCol w:w="2720"/>
      </w:tblGrid>
      <w:tr w:rsidR="006D0435" w14:paraId="02CE0D31" w14:textId="77777777">
        <w:trPr>
          <w:trHeight w:val="770"/>
        </w:trPr>
        <w:tc>
          <w:tcPr>
            <w:tcW w:w="1865" w:type="dxa"/>
            <w:tcBorders>
              <w:top w:val="single" w:sz="8" w:space="0" w:color="000000"/>
              <w:left w:val="nil"/>
              <w:bottom w:val="single" w:sz="8" w:space="0" w:color="000000"/>
              <w:right w:val="nil"/>
            </w:tcBorders>
            <w:tcMar>
              <w:top w:w="100" w:type="dxa"/>
              <w:left w:w="100" w:type="dxa"/>
              <w:bottom w:w="100" w:type="dxa"/>
              <w:right w:w="100" w:type="dxa"/>
            </w:tcMar>
          </w:tcPr>
          <w:p w14:paraId="5620F2A0" w14:textId="77777777" w:rsidR="006D0435"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Subsection</w:t>
            </w:r>
          </w:p>
        </w:tc>
        <w:tc>
          <w:tcPr>
            <w:tcW w:w="2285" w:type="dxa"/>
            <w:tcBorders>
              <w:top w:val="single" w:sz="8" w:space="0" w:color="000000"/>
              <w:left w:val="nil"/>
              <w:bottom w:val="single" w:sz="8" w:space="0" w:color="000000"/>
              <w:right w:val="nil"/>
            </w:tcBorders>
            <w:tcMar>
              <w:top w:w="100" w:type="dxa"/>
              <w:left w:w="100" w:type="dxa"/>
              <w:bottom w:w="100" w:type="dxa"/>
              <w:right w:w="100" w:type="dxa"/>
            </w:tcMar>
          </w:tcPr>
          <w:p w14:paraId="4908CB27" w14:textId="77777777" w:rsidR="006D0435"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Environmental Issue</w:t>
            </w:r>
          </w:p>
        </w:tc>
        <w:tc>
          <w:tcPr>
            <w:tcW w:w="2930" w:type="dxa"/>
            <w:tcBorders>
              <w:top w:val="single" w:sz="8" w:space="0" w:color="000000"/>
              <w:left w:val="nil"/>
              <w:bottom w:val="single" w:sz="8" w:space="0" w:color="000000"/>
              <w:right w:val="nil"/>
            </w:tcBorders>
            <w:tcMar>
              <w:top w:w="100" w:type="dxa"/>
              <w:left w:w="100" w:type="dxa"/>
              <w:bottom w:w="100" w:type="dxa"/>
              <w:right w:w="100" w:type="dxa"/>
            </w:tcMar>
          </w:tcPr>
          <w:p w14:paraId="716667A3" w14:textId="77777777" w:rsidR="006D0435"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2720" w:type="dxa"/>
            <w:tcBorders>
              <w:top w:val="single" w:sz="8" w:space="0" w:color="000000"/>
              <w:left w:val="nil"/>
              <w:bottom w:val="single" w:sz="8" w:space="0" w:color="000000"/>
              <w:right w:val="nil"/>
            </w:tcBorders>
            <w:tcMar>
              <w:top w:w="100" w:type="dxa"/>
              <w:left w:w="100" w:type="dxa"/>
              <w:bottom w:w="100" w:type="dxa"/>
              <w:right w:w="100" w:type="dxa"/>
            </w:tcMar>
          </w:tcPr>
          <w:p w14:paraId="00A2DB91" w14:textId="77777777" w:rsidR="006D0435"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Impact</w:t>
            </w:r>
          </w:p>
        </w:tc>
      </w:tr>
      <w:tr w:rsidR="006D0435" w14:paraId="6BED1398" w14:textId="77777777">
        <w:trPr>
          <w:trHeight w:val="770"/>
        </w:trPr>
        <w:tc>
          <w:tcPr>
            <w:tcW w:w="1865" w:type="dxa"/>
            <w:tcBorders>
              <w:top w:val="single" w:sz="8" w:space="0" w:color="000000"/>
              <w:left w:val="nil"/>
              <w:bottom w:val="nil"/>
              <w:right w:val="nil"/>
            </w:tcBorders>
            <w:tcMar>
              <w:top w:w="100" w:type="dxa"/>
              <w:left w:w="100" w:type="dxa"/>
              <w:bottom w:w="100" w:type="dxa"/>
              <w:right w:w="100" w:type="dxa"/>
            </w:tcMar>
          </w:tcPr>
          <w:p w14:paraId="35DCB72B" w14:textId="77777777" w:rsidR="006D0435"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10.2.1 Raw Materials</w:t>
            </w:r>
          </w:p>
        </w:tc>
        <w:tc>
          <w:tcPr>
            <w:tcW w:w="2285" w:type="dxa"/>
            <w:tcBorders>
              <w:top w:val="single" w:sz="8" w:space="0" w:color="000000"/>
              <w:left w:val="nil"/>
              <w:bottom w:val="nil"/>
              <w:right w:val="nil"/>
            </w:tcBorders>
            <w:tcMar>
              <w:top w:w="100" w:type="dxa"/>
              <w:left w:w="100" w:type="dxa"/>
              <w:bottom w:w="100" w:type="dxa"/>
              <w:right w:w="100" w:type="dxa"/>
            </w:tcMar>
          </w:tcPr>
          <w:p w14:paraId="6F6BAB98" w14:textId="77777777" w:rsidR="006D0435"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Resource extraction</w:t>
            </w:r>
          </w:p>
        </w:tc>
        <w:tc>
          <w:tcPr>
            <w:tcW w:w="2930" w:type="dxa"/>
            <w:tcBorders>
              <w:top w:val="single" w:sz="8" w:space="0" w:color="000000"/>
              <w:left w:val="nil"/>
              <w:bottom w:val="nil"/>
              <w:right w:val="nil"/>
            </w:tcBorders>
            <w:tcMar>
              <w:top w:w="100" w:type="dxa"/>
              <w:left w:w="100" w:type="dxa"/>
              <w:bottom w:w="100" w:type="dxa"/>
              <w:right w:w="100" w:type="dxa"/>
            </w:tcMar>
          </w:tcPr>
          <w:p w14:paraId="10A2D5F1" w14:textId="77777777" w:rsidR="006D0435"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Mining of lithium, cobalt, nickel</w:t>
            </w:r>
          </w:p>
        </w:tc>
        <w:tc>
          <w:tcPr>
            <w:tcW w:w="2720" w:type="dxa"/>
            <w:tcBorders>
              <w:top w:val="single" w:sz="8" w:space="0" w:color="000000"/>
              <w:left w:val="nil"/>
              <w:bottom w:val="nil"/>
              <w:right w:val="nil"/>
            </w:tcBorders>
            <w:tcMar>
              <w:top w:w="100" w:type="dxa"/>
              <w:left w:w="100" w:type="dxa"/>
              <w:bottom w:w="100" w:type="dxa"/>
              <w:right w:w="100" w:type="dxa"/>
            </w:tcMar>
          </w:tcPr>
          <w:p w14:paraId="51F62B6F" w14:textId="77777777" w:rsidR="006D0435"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Environmental &amp; ethical concerns</w:t>
            </w:r>
          </w:p>
        </w:tc>
      </w:tr>
      <w:tr w:rsidR="006D0435" w14:paraId="7D0A19B9" w14:textId="77777777">
        <w:trPr>
          <w:trHeight w:val="770"/>
        </w:trPr>
        <w:tc>
          <w:tcPr>
            <w:tcW w:w="1865" w:type="dxa"/>
            <w:tcBorders>
              <w:top w:val="nil"/>
              <w:left w:val="nil"/>
              <w:bottom w:val="nil"/>
              <w:right w:val="nil"/>
            </w:tcBorders>
            <w:tcMar>
              <w:top w:w="100" w:type="dxa"/>
              <w:left w:w="100" w:type="dxa"/>
              <w:bottom w:w="100" w:type="dxa"/>
              <w:right w:w="100" w:type="dxa"/>
            </w:tcMar>
          </w:tcPr>
          <w:p w14:paraId="011598FF" w14:textId="77777777" w:rsidR="006D0435"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10.2.2 Carbon Footprint</w:t>
            </w:r>
          </w:p>
        </w:tc>
        <w:tc>
          <w:tcPr>
            <w:tcW w:w="2285" w:type="dxa"/>
            <w:tcBorders>
              <w:top w:val="nil"/>
              <w:left w:val="nil"/>
              <w:bottom w:val="nil"/>
              <w:right w:val="nil"/>
            </w:tcBorders>
            <w:tcMar>
              <w:top w:w="100" w:type="dxa"/>
              <w:left w:w="100" w:type="dxa"/>
              <w:bottom w:w="100" w:type="dxa"/>
              <w:right w:w="100" w:type="dxa"/>
            </w:tcMar>
          </w:tcPr>
          <w:p w14:paraId="349B1BF8" w14:textId="77777777" w:rsidR="006D0435"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Manufacturing emissions</w:t>
            </w:r>
          </w:p>
        </w:tc>
        <w:tc>
          <w:tcPr>
            <w:tcW w:w="2930" w:type="dxa"/>
            <w:tcBorders>
              <w:top w:val="nil"/>
              <w:left w:val="nil"/>
              <w:bottom w:val="nil"/>
              <w:right w:val="nil"/>
            </w:tcBorders>
            <w:tcMar>
              <w:top w:w="100" w:type="dxa"/>
              <w:left w:w="100" w:type="dxa"/>
              <w:bottom w:w="100" w:type="dxa"/>
              <w:right w:w="100" w:type="dxa"/>
            </w:tcMar>
          </w:tcPr>
          <w:p w14:paraId="3D8CCED0" w14:textId="77777777" w:rsidR="006D0435"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CO₂ during production</w:t>
            </w:r>
          </w:p>
        </w:tc>
        <w:tc>
          <w:tcPr>
            <w:tcW w:w="2720" w:type="dxa"/>
            <w:tcBorders>
              <w:top w:val="nil"/>
              <w:left w:val="nil"/>
              <w:bottom w:val="nil"/>
              <w:right w:val="nil"/>
            </w:tcBorders>
            <w:tcMar>
              <w:top w:w="100" w:type="dxa"/>
              <w:left w:w="100" w:type="dxa"/>
              <w:bottom w:w="100" w:type="dxa"/>
              <w:right w:w="100" w:type="dxa"/>
            </w:tcMar>
          </w:tcPr>
          <w:p w14:paraId="5DE6DF1C" w14:textId="77777777" w:rsidR="006D0435"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Climate impact</w:t>
            </w:r>
          </w:p>
        </w:tc>
      </w:tr>
      <w:tr w:rsidR="006D0435" w14:paraId="6E27BEAE" w14:textId="77777777">
        <w:trPr>
          <w:trHeight w:val="770"/>
        </w:trPr>
        <w:tc>
          <w:tcPr>
            <w:tcW w:w="1865" w:type="dxa"/>
            <w:tcBorders>
              <w:top w:val="nil"/>
              <w:left w:val="nil"/>
              <w:bottom w:val="single" w:sz="8" w:space="0" w:color="000000"/>
              <w:right w:val="nil"/>
            </w:tcBorders>
            <w:tcMar>
              <w:top w:w="100" w:type="dxa"/>
              <w:left w:w="100" w:type="dxa"/>
              <w:bottom w:w="100" w:type="dxa"/>
              <w:right w:w="100" w:type="dxa"/>
            </w:tcMar>
          </w:tcPr>
          <w:p w14:paraId="0789C546" w14:textId="77777777" w:rsidR="006D0435"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10.2.3 Recycling</w:t>
            </w:r>
          </w:p>
        </w:tc>
        <w:tc>
          <w:tcPr>
            <w:tcW w:w="2285" w:type="dxa"/>
            <w:tcBorders>
              <w:top w:val="nil"/>
              <w:left w:val="nil"/>
              <w:bottom w:val="single" w:sz="8" w:space="0" w:color="000000"/>
              <w:right w:val="nil"/>
            </w:tcBorders>
            <w:tcMar>
              <w:top w:w="100" w:type="dxa"/>
              <w:left w:w="100" w:type="dxa"/>
              <w:bottom w:w="100" w:type="dxa"/>
              <w:right w:w="100" w:type="dxa"/>
            </w:tcMar>
          </w:tcPr>
          <w:p w14:paraId="4B61B3AB" w14:textId="77777777" w:rsidR="006D0435"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Waste management</w:t>
            </w:r>
          </w:p>
        </w:tc>
        <w:tc>
          <w:tcPr>
            <w:tcW w:w="2930" w:type="dxa"/>
            <w:tcBorders>
              <w:top w:val="nil"/>
              <w:left w:val="nil"/>
              <w:bottom w:val="single" w:sz="8" w:space="0" w:color="000000"/>
              <w:right w:val="nil"/>
            </w:tcBorders>
            <w:tcMar>
              <w:top w:w="100" w:type="dxa"/>
              <w:left w:w="100" w:type="dxa"/>
              <w:bottom w:w="100" w:type="dxa"/>
              <w:right w:w="100" w:type="dxa"/>
            </w:tcMar>
          </w:tcPr>
          <w:p w14:paraId="7E368B86" w14:textId="77777777" w:rsidR="006D0435"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 recycling rates, complex processes</w:t>
            </w:r>
          </w:p>
        </w:tc>
        <w:tc>
          <w:tcPr>
            <w:tcW w:w="2720" w:type="dxa"/>
            <w:tcBorders>
              <w:top w:val="nil"/>
              <w:left w:val="nil"/>
              <w:bottom w:val="single" w:sz="8" w:space="0" w:color="000000"/>
              <w:right w:val="nil"/>
            </w:tcBorders>
            <w:tcMar>
              <w:top w:w="100" w:type="dxa"/>
              <w:left w:w="100" w:type="dxa"/>
              <w:bottom w:w="100" w:type="dxa"/>
              <w:right w:w="100" w:type="dxa"/>
            </w:tcMar>
          </w:tcPr>
          <w:p w14:paraId="0D937CCF" w14:textId="77777777" w:rsidR="006D0435"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Resource loss, pollution</w:t>
            </w:r>
          </w:p>
        </w:tc>
      </w:tr>
    </w:tbl>
    <w:p w14:paraId="05CAFCDF" w14:textId="77777777" w:rsidR="006D0435" w:rsidRDefault="00000000">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10.3 Economic &amp; Supply Chain Barriers</w:t>
      </w:r>
    </w:p>
    <w:p w14:paraId="57539A9A" w14:textId="77777777" w:rsidR="006D0435" w:rsidRDefault="00000000">
      <w:pPr>
        <w:spacing w:before="2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10.3.1 Cost Reduction Challenges</w:t>
      </w:r>
    </w:p>
    <w:p w14:paraId="3D5EEA80"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facing soaring costs, lithium, ion batteries are still the main factor preventing the electric car market from expanding, therefore, researchers are trying to find ways to reduce the cost of both the production and the buying of raw materials [199]. What is more, the reuse of old batteries may result in a cost reduction, primarily for the application of energy storage. However, at the moment, the use of second, life batteries </w:t>
      </w:r>
      <w:proofErr w:type="gramStart"/>
      <w:r>
        <w:rPr>
          <w:rFonts w:ascii="Times New Roman" w:eastAsia="Times New Roman" w:hAnsi="Times New Roman" w:cs="Times New Roman"/>
          <w:sz w:val="24"/>
          <w:szCs w:val="24"/>
        </w:rPr>
        <w:t>has</w:t>
      </w:r>
      <w:proofErr w:type="gramEnd"/>
      <w:r>
        <w:rPr>
          <w:rFonts w:ascii="Times New Roman" w:eastAsia="Times New Roman" w:hAnsi="Times New Roman" w:cs="Times New Roman"/>
          <w:sz w:val="24"/>
          <w:szCs w:val="24"/>
        </w:rPr>
        <w:t xml:space="preserve"> not become popular. Thus, even if saving money with second, life batteries is possible, individuals who prefer purchasing new ones would do so if the price difference is not significant [203].</w:t>
      </w:r>
    </w:p>
    <w:p w14:paraId="7D570132"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true that electric vehicles (EVs) represent a step forward concerning the environment and have the potential to save users money in the long run. Nonetheless, the fact that their initial price is so high is a major barrier for their widespread adoption. Concurrently, the already heavy handling cost of raw materials, like the spent lithium, ion batteries, is getting more and more burdened with additional expenses caused by their processing. If these types of vehicles are to become more widely available and viable for large, scale use, the various problems at both manufacturing and end, of, life stages need to be </w:t>
      </w:r>
      <w:proofErr w:type="gramStart"/>
      <w:r>
        <w:rPr>
          <w:rFonts w:ascii="Times New Roman" w:eastAsia="Times New Roman" w:hAnsi="Times New Roman" w:cs="Times New Roman"/>
          <w:sz w:val="24"/>
          <w:szCs w:val="24"/>
        </w:rPr>
        <w:t>addressed  [</w:t>
      </w:r>
      <w:proofErr w:type="gramEnd"/>
      <w:r>
        <w:rPr>
          <w:rFonts w:ascii="Times New Roman" w:eastAsia="Times New Roman" w:hAnsi="Times New Roman" w:cs="Times New Roman"/>
          <w:sz w:val="24"/>
          <w:szCs w:val="24"/>
        </w:rPr>
        <w:t>202].</w:t>
      </w:r>
    </w:p>
    <w:p w14:paraId="0DD5CD0F"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 ion battery pack prices have plunged significantly over the last few years thus resulting in solid, state batteries becoming one of the most promising technologies in terms of energy density and safety. Nevertheless, it is still not easy to make them cost, effective, especially when it comes to the manufacturing processes. On top of that, the part price has increased even more due to the use of very fine powders. As a result, the performance advantage of solid, state batteries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currently limited by the cost of the materials and the complexity of manufacturing. Therefore, the future of battery technology is likely to be heavily influenced by the constant juggling of demands: the need to innovate while still minimizing </w:t>
      </w:r>
      <w:proofErr w:type="gramStart"/>
      <w:r>
        <w:rPr>
          <w:rFonts w:ascii="Times New Roman" w:eastAsia="Times New Roman" w:hAnsi="Times New Roman" w:cs="Times New Roman"/>
          <w:sz w:val="24"/>
          <w:szCs w:val="24"/>
        </w:rPr>
        <w:t>costs  [</w:t>
      </w:r>
      <w:proofErr w:type="gramEnd"/>
      <w:r>
        <w:rPr>
          <w:rFonts w:ascii="Times New Roman" w:eastAsia="Times New Roman" w:hAnsi="Times New Roman" w:cs="Times New Roman"/>
          <w:sz w:val="24"/>
          <w:szCs w:val="24"/>
        </w:rPr>
        <w:t>T7</w:t>
      </w:r>
      <w:proofErr w:type="gramStart"/>
      <w:r>
        <w:rPr>
          <w:rFonts w:ascii="Times New Roman" w:eastAsia="Times New Roman" w:hAnsi="Times New Roman" w:cs="Times New Roman"/>
          <w:sz w:val="24"/>
          <w:szCs w:val="24"/>
        </w:rPr>
        <w:t>] .</w:t>
      </w:r>
      <w:proofErr w:type="gramEnd"/>
    </w:p>
    <w:p w14:paraId="5E286F85"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Ore features determine how easily battery materials can be removed or reused. They influence the sorting and treatment steps. When lithium occurs with other minerals, separating them becomes more difficult. This sometimes leads to useful substances being discarded as waste. Transforming used materials back into usable forms requires a lot of energy. These processes often harm ecosystems and are more expensive than the value of </w:t>
      </w:r>
      <w:r>
        <w:rPr>
          <w:rFonts w:ascii="Times New Roman" w:eastAsia="Times New Roman" w:hAnsi="Times New Roman" w:cs="Times New Roman"/>
          <w:sz w:val="24"/>
          <w:szCs w:val="24"/>
        </w:rPr>
        <w:lastRenderedPageBreak/>
        <w:t xml:space="preserve">the recycled output. Without better economics, full-cycle reuse is hard to maintain </w:t>
      </w:r>
      <w:proofErr w:type="gramStart"/>
      <w:r>
        <w:rPr>
          <w:rFonts w:ascii="Times New Roman" w:eastAsia="Times New Roman" w:hAnsi="Times New Roman" w:cs="Times New Roman"/>
          <w:sz w:val="24"/>
          <w:szCs w:val="24"/>
        </w:rPr>
        <w:t>financially  [</w:t>
      </w:r>
      <w:proofErr w:type="gramEnd"/>
      <w:r>
        <w:rPr>
          <w:rFonts w:ascii="Times New Roman" w:eastAsia="Times New Roman" w:hAnsi="Times New Roman" w:cs="Times New Roman"/>
          <w:sz w:val="24"/>
          <w:szCs w:val="24"/>
        </w:rPr>
        <w:t xml:space="preserve">197]. One significant cost factor in lithium-ion batteries is raw materials. Using recycled inputs could significantly lower overall pack prices. However, costly reprocessing and uncertain performance after reuse make widespread adoption hard. Concerns about the lifespan of old batteries add to the complexity. Sometimes, processing scrap materials is more expensive than mining new resources. Price fluctuations in global markets also create pressure on whether recycling is financially </w:t>
      </w:r>
      <w:proofErr w:type="gramStart"/>
      <w:r>
        <w:rPr>
          <w:rFonts w:ascii="Times New Roman" w:eastAsia="Times New Roman" w:hAnsi="Times New Roman" w:cs="Times New Roman"/>
          <w:sz w:val="24"/>
          <w:szCs w:val="24"/>
        </w:rPr>
        <w:t>practical  [</w:t>
      </w:r>
      <w:proofErr w:type="gramEnd"/>
      <w:r>
        <w:rPr>
          <w:rFonts w:ascii="Times New Roman" w:eastAsia="Times New Roman" w:hAnsi="Times New Roman" w:cs="Times New Roman"/>
          <w:sz w:val="24"/>
          <w:szCs w:val="24"/>
        </w:rPr>
        <w:t>201].</w:t>
      </w:r>
    </w:p>
    <w:p w14:paraId="504B2E90"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Though solid electrolytes show potential, producing them affordably is challenging due to high component costs. The costs come not only from raw materials like ionic liquids but also from the assembly process. Even with performance improvements, thin-film versions require expensive fabrication steps. These obstacles keep broad use unattainable for </w:t>
      </w:r>
      <w:proofErr w:type="gramStart"/>
      <w:r>
        <w:rPr>
          <w:rFonts w:ascii="Times New Roman" w:eastAsia="Times New Roman" w:hAnsi="Times New Roman" w:cs="Times New Roman"/>
          <w:sz w:val="24"/>
          <w:szCs w:val="24"/>
        </w:rPr>
        <w:t>now  [</w:t>
      </w:r>
      <w:proofErr w:type="gramEnd"/>
      <w:r>
        <w:rPr>
          <w:rFonts w:ascii="Times New Roman" w:eastAsia="Times New Roman" w:hAnsi="Times New Roman" w:cs="Times New Roman"/>
          <w:sz w:val="24"/>
          <w:szCs w:val="24"/>
        </w:rPr>
        <w:t>198].</w:t>
      </w:r>
    </w:p>
    <w:p w14:paraId="6F461DB5"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Reducing costs in electric traction systems drives innovation, especially through lower motor and inverter prices without sacrificing performance. Since interior permanent magnet motors depend heavily on rare-earth elements, their prices remain high, prompting researchers to explore new magnet combinations with less or no heavy rare-earth materials. Even materials like </w:t>
      </w:r>
      <w:proofErr w:type="spellStart"/>
      <w:r>
        <w:rPr>
          <w:rFonts w:ascii="Times New Roman" w:eastAsia="Times New Roman" w:hAnsi="Times New Roman" w:cs="Times New Roman"/>
          <w:sz w:val="24"/>
          <w:szCs w:val="24"/>
        </w:rPr>
        <w:t>Hyperco</w:t>
      </w:r>
      <w:proofErr w:type="spellEnd"/>
      <w:r>
        <w:rPr>
          <w:rFonts w:ascii="Times New Roman" w:eastAsia="Times New Roman" w:hAnsi="Times New Roman" w:cs="Times New Roman"/>
          <w:sz w:val="24"/>
          <w:szCs w:val="24"/>
        </w:rPr>
        <w:t xml:space="preserve"> 50, known for their strong magnetic properties, have not gained much market acceptance because of their high cost. Meanwhile, vertical gallium nitride power devices face challenges in reaching mass markets due to expensive </w:t>
      </w:r>
      <w:proofErr w:type="spellStart"/>
      <w:r>
        <w:rPr>
          <w:rFonts w:ascii="Times New Roman" w:eastAsia="Times New Roman" w:hAnsi="Times New Roman" w:cs="Times New Roman"/>
          <w:sz w:val="24"/>
          <w:szCs w:val="24"/>
        </w:rPr>
        <w:t>GaN</w:t>
      </w:r>
      <w:proofErr w:type="spellEnd"/>
      <w:r>
        <w:rPr>
          <w:rFonts w:ascii="Times New Roman" w:eastAsia="Times New Roman" w:hAnsi="Times New Roman" w:cs="Times New Roman"/>
          <w:sz w:val="24"/>
          <w:szCs w:val="24"/>
        </w:rPr>
        <w:t xml:space="preserve"> base layers. Progress requires smarter approaches to materials and manufacturing methods for broad implementation to become </w:t>
      </w:r>
      <w:proofErr w:type="gramStart"/>
      <w:r>
        <w:rPr>
          <w:rFonts w:ascii="Times New Roman" w:eastAsia="Times New Roman" w:hAnsi="Times New Roman" w:cs="Times New Roman"/>
          <w:sz w:val="24"/>
          <w:szCs w:val="24"/>
        </w:rPr>
        <w:t>possible  [</w:t>
      </w:r>
      <w:proofErr w:type="gramEnd"/>
      <w:r>
        <w:rPr>
          <w:rFonts w:ascii="Times New Roman" w:eastAsia="Times New Roman" w:hAnsi="Times New Roman" w:cs="Times New Roman"/>
          <w:sz w:val="24"/>
          <w:szCs w:val="24"/>
        </w:rPr>
        <w:t>196].</w:t>
      </w:r>
    </w:p>
    <w:p w14:paraId="6FEE88F6"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10.3.2 Critical Material Supply Risks</w:t>
      </w:r>
    </w:p>
    <w:p w14:paraId="2D0927E6"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far behind rising electric vehicle numbers sits a growing need for stable supplies of lithium, cobalt, and nickel, in addition to related elements such as manganese, copper, and aluminum. Supply chains waver where mines exist in areas prone to governance issues or unrest. Even when material exists underground, climbing local demand often means less leaves the country. Without clear backup plans, nations like the United States could face tightening constraints on production down the line. Should materials prove unstable, momentum in electric vehicle uptake may falter, even amid significant technological breakthroughs. The pace of technological spread now hinges on steady access to raw inputs, which remains an unspoken force behind real-world deployment.</w:t>
      </w:r>
    </w:p>
    <w:p w14:paraId="534C76FF"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Pressure mounts on raw materials needed for batteries, stirring concerns about ethical supply chains and environmental costs among shifting geopolitical currents. While lithium flows largely from Australia, Chile, and China, the broader mix, including cobalt, copper, manganese, nickel, tin, and graphite, reveals tighter constraints. These are shaped by limited output, dependence on mined co-products, or control concentrated in a single country. Should diplomatic strains emerge, rules shift, or lead times extend between discovery and production, scarcities will loom larger. In the absence of resilient systems ready to absorb disruption, momentum behind electrified transit and renewable grids may stall without </w:t>
      </w:r>
      <w:proofErr w:type="gramStart"/>
      <w:r>
        <w:rPr>
          <w:rFonts w:ascii="Times New Roman" w:eastAsia="Times New Roman" w:hAnsi="Times New Roman" w:cs="Times New Roman"/>
          <w:sz w:val="24"/>
          <w:szCs w:val="24"/>
        </w:rPr>
        <w:t>warning  [</w:t>
      </w:r>
      <w:proofErr w:type="gramEnd"/>
      <w:r>
        <w:rPr>
          <w:rFonts w:ascii="Times New Roman" w:eastAsia="Times New Roman" w:hAnsi="Times New Roman" w:cs="Times New Roman"/>
          <w:sz w:val="24"/>
          <w:szCs w:val="24"/>
        </w:rPr>
        <w:t>197]. Furthermore, garnet-type solid electrolytes lean on lanthanum; this represents a weak spot, since the availability of this element varies sharply across geographies, leaving few alternatives [198].</w:t>
      </w:r>
    </w:p>
    <w:p w14:paraId="377E09AD"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Electric cars depend on specific raw elements, namely cobalt, lithium, nickel, and manganese, for which demand is expected to climb sharply by 2034. With shocks like pandemics still affecting trade, turning to nearby sources has become more practical. Recovering old batteries offers a path to reduce reliance on distant suppliers. When outbreaks occurred, delivery routes faltered, exposing weak points in overseas procurement systems. Starting with steady sources cuts risk from volatile areas. One reason certain countries lead extraction </w:t>
      </w:r>
      <w:r>
        <w:rPr>
          <w:rFonts w:ascii="Times New Roman" w:eastAsia="Times New Roman" w:hAnsi="Times New Roman" w:cs="Times New Roman"/>
          <w:sz w:val="24"/>
          <w:szCs w:val="24"/>
        </w:rPr>
        <w:lastRenderedPageBreak/>
        <w:t>is light oversight or tough environments; instead of relying on these locations, recycling outdated parts helps reduce dependence. Past disruptions demonstrated that independence in supply chains supports lasting resilience.</w:t>
      </w:r>
    </w:p>
    <w:p w14:paraId="7946010B"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Depending on certain raw materials for rechargeable batteries raises serious environmental issues, along with challenges in sourcing, because early-stage production leaves a heavy footprint. With major deposits controlled by just a few nations like cobalt mostly mined in the Democratic Republic of Congo and lithium largely drawn from Australia, Chile, and Argentina access becomes fragile. Standard ways of evaluating product lifespans often fail to reflect these weaknesses, especially when sudden shortages or market swings occur. Meeting rising needs through faster lithium extraction could slow things down instead, revealing how crucial smart planning and broader supplier networks really </w:t>
      </w:r>
      <w:proofErr w:type="gramStart"/>
      <w:r>
        <w:rPr>
          <w:rFonts w:ascii="Times New Roman" w:eastAsia="Times New Roman" w:hAnsi="Times New Roman" w:cs="Times New Roman"/>
          <w:sz w:val="24"/>
          <w:szCs w:val="24"/>
        </w:rPr>
        <w:t>are  [</w:t>
      </w:r>
      <w:proofErr w:type="gramEnd"/>
      <w:r>
        <w:rPr>
          <w:rFonts w:ascii="Times New Roman" w:eastAsia="Times New Roman" w:hAnsi="Times New Roman" w:cs="Times New Roman"/>
          <w:sz w:val="24"/>
          <w:szCs w:val="24"/>
        </w:rPr>
        <w:t>194].</w:t>
      </w:r>
    </w:p>
    <w:p w14:paraId="0DA302FA"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Cobalt and lithium recovery matters because these elements support ongoing battery manufacturing while reducing dependency on scarce raw </w:t>
      </w:r>
      <w:proofErr w:type="gramStart"/>
      <w:r>
        <w:rPr>
          <w:rFonts w:ascii="Times New Roman" w:eastAsia="Times New Roman" w:hAnsi="Times New Roman" w:cs="Times New Roman"/>
          <w:sz w:val="24"/>
          <w:szCs w:val="24"/>
        </w:rPr>
        <w:t>supplies  [</w:t>
      </w:r>
      <w:proofErr w:type="gramEnd"/>
      <w:r>
        <w:rPr>
          <w:rFonts w:ascii="Times New Roman" w:eastAsia="Times New Roman" w:hAnsi="Times New Roman" w:cs="Times New Roman"/>
          <w:sz w:val="24"/>
          <w:szCs w:val="24"/>
        </w:rPr>
        <w:t>202].</w:t>
      </w:r>
    </w:p>
    <w:p w14:paraId="41B5ED96" w14:textId="77777777" w:rsidR="006D0435" w:rsidRDefault="00000000">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their role in NdFeB magnets, dysprosium and terbium face unstable availability and shifting costs, creating challenges for makers of electric vehicles. Because prices swing unpredictably and sourcing remains uncertain, work has shifted toward developing magnets without heavy rare-earths. Researchers now explore substitute materials, aiming to ease pressure on limited supplies while strengthening long-term material </w:t>
      </w:r>
      <w:proofErr w:type="gramStart"/>
      <w:r>
        <w:rPr>
          <w:rFonts w:ascii="Times New Roman" w:eastAsia="Times New Roman" w:hAnsi="Times New Roman" w:cs="Times New Roman"/>
          <w:sz w:val="24"/>
          <w:szCs w:val="24"/>
        </w:rPr>
        <w:t>access  [</w:t>
      </w:r>
      <w:proofErr w:type="gramEnd"/>
      <w:r>
        <w:rPr>
          <w:rFonts w:ascii="Times New Roman" w:eastAsia="Times New Roman" w:hAnsi="Times New Roman" w:cs="Times New Roman"/>
          <w:sz w:val="24"/>
          <w:szCs w:val="24"/>
        </w:rPr>
        <w:t>196</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summary of the major economic and supply chain challenges is provided in Table 3.</w:t>
      </w:r>
    </w:p>
    <w:p w14:paraId="7B68793E" w14:textId="77777777" w:rsidR="006D0435" w:rsidRDefault="00000000">
      <w:pPr>
        <w:spacing w:before="240" w:after="24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4"/>
          <w:szCs w:val="24"/>
        </w:rPr>
        <w:t>Table 3. Economic and supply chain challenges affecting EV battery deployment (created by the author)</w:t>
      </w:r>
      <w:r>
        <w:rPr>
          <w:rFonts w:ascii="Times New Roman" w:eastAsia="Times New Roman" w:hAnsi="Times New Roman" w:cs="Times New Roman"/>
          <w:i/>
          <w:iCs/>
        </w:rPr>
        <w:t>.</w:t>
      </w:r>
    </w:p>
    <w:tbl>
      <w:tblPr>
        <w:tblStyle w:val="af6"/>
        <w:tblW w:w="10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70"/>
        <w:gridCol w:w="1890"/>
        <w:gridCol w:w="4035"/>
        <w:gridCol w:w="2655"/>
      </w:tblGrid>
      <w:tr w:rsidR="006D0435" w14:paraId="1B2FE0EB" w14:textId="77777777">
        <w:trPr>
          <w:trHeight w:val="500"/>
        </w:trPr>
        <w:tc>
          <w:tcPr>
            <w:tcW w:w="1770" w:type="dxa"/>
            <w:tcBorders>
              <w:top w:val="single" w:sz="8" w:space="0" w:color="000000"/>
              <w:left w:val="nil"/>
              <w:bottom w:val="single" w:sz="8" w:space="0" w:color="000000"/>
              <w:right w:val="nil"/>
            </w:tcBorders>
            <w:tcMar>
              <w:top w:w="100" w:type="dxa"/>
              <w:left w:w="100" w:type="dxa"/>
              <w:bottom w:w="100" w:type="dxa"/>
              <w:right w:w="100" w:type="dxa"/>
            </w:tcMar>
          </w:tcPr>
          <w:p w14:paraId="720032FC" w14:textId="77777777" w:rsidR="006D0435"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Subsection</w:t>
            </w:r>
          </w:p>
        </w:tc>
        <w:tc>
          <w:tcPr>
            <w:tcW w:w="1890" w:type="dxa"/>
            <w:tcBorders>
              <w:top w:val="single" w:sz="8" w:space="0" w:color="000000"/>
              <w:left w:val="nil"/>
              <w:bottom w:val="single" w:sz="8" w:space="0" w:color="000000"/>
              <w:right w:val="nil"/>
            </w:tcBorders>
            <w:tcMar>
              <w:top w:w="100" w:type="dxa"/>
              <w:left w:w="100" w:type="dxa"/>
              <w:bottom w:w="100" w:type="dxa"/>
              <w:right w:w="100" w:type="dxa"/>
            </w:tcMar>
          </w:tcPr>
          <w:p w14:paraId="0CB0EA4E" w14:textId="77777777" w:rsidR="006D0435"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Barrier</w:t>
            </w:r>
          </w:p>
        </w:tc>
        <w:tc>
          <w:tcPr>
            <w:tcW w:w="4035" w:type="dxa"/>
            <w:tcBorders>
              <w:top w:val="single" w:sz="8" w:space="0" w:color="000000"/>
              <w:left w:val="nil"/>
              <w:bottom w:val="single" w:sz="8" w:space="0" w:color="000000"/>
              <w:right w:val="nil"/>
            </w:tcBorders>
            <w:tcMar>
              <w:top w:w="100" w:type="dxa"/>
              <w:left w:w="100" w:type="dxa"/>
              <w:bottom w:w="100" w:type="dxa"/>
              <w:right w:w="100" w:type="dxa"/>
            </w:tcMar>
          </w:tcPr>
          <w:p w14:paraId="7A197671" w14:textId="77777777" w:rsidR="006D0435"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2655" w:type="dxa"/>
            <w:tcBorders>
              <w:top w:val="single" w:sz="8" w:space="0" w:color="000000"/>
              <w:left w:val="nil"/>
              <w:bottom w:val="single" w:sz="8" w:space="0" w:color="000000"/>
              <w:right w:val="nil"/>
            </w:tcBorders>
            <w:tcMar>
              <w:top w:w="100" w:type="dxa"/>
              <w:left w:w="100" w:type="dxa"/>
              <w:bottom w:w="100" w:type="dxa"/>
              <w:right w:w="100" w:type="dxa"/>
            </w:tcMar>
          </w:tcPr>
          <w:p w14:paraId="3DE1D186" w14:textId="77777777" w:rsidR="006D0435"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Consequence</w:t>
            </w:r>
          </w:p>
        </w:tc>
      </w:tr>
      <w:tr w:rsidR="006D0435" w14:paraId="0408AC67" w14:textId="77777777">
        <w:trPr>
          <w:trHeight w:val="500"/>
        </w:trPr>
        <w:tc>
          <w:tcPr>
            <w:tcW w:w="1770" w:type="dxa"/>
            <w:tcBorders>
              <w:top w:val="single" w:sz="8" w:space="0" w:color="000000"/>
              <w:left w:val="nil"/>
              <w:bottom w:val="nil"/>
              <w:right w:val="nil"/>
            </w:tcBorders>
            <w:tcMar>
              <w:top w:w="100" w:type="dxa"/>
              <w:left w:w="100" w:type="dxa"/>
              <w:bottom w:w="100" w:type="dxa"/>
              <w:right w:w="100" w:type="dxa"/>
            </w:tcMar>
          </w:tcPr>
          <w:p w14:paraId="16D445AE" w14:textId="77777777" w:rsidR="006D0435"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10.3.1 Cost</w:t>
            </w:r>
          </w:p>
        </w:tc>
        <w:tc>
          <w:tcPr>
            <w:tcW w:w="1890" w:type="dxa"/>
            <w:tcBorders>
              <w:top w:val="single" w:sz="8" w:space="0" w:color="000000"/>
              <w:left w:val="nil"/>
              <w:bottom w:val="nil"/>
              <w:right w:val="nil"/>
            </w:tcBorders>
            <w:tcMar>
              <w:top w:w="100" w:type="dxa"/>
              <w:left w:w="100" w:type="dxa"/>
              <w:bottom w:w="100" w:type="dxa"/>
              <w:right w:w="100" w:type="dxa"/>
            </w:tcMar>
          </w:tcPr>
          <w:p w14:paraId="6881E16D" w14:textId="77777777" w:rsidR="006D0435"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battery cost</w:t>
            </w:r>
          </w:p>
        </w:tc>
        <w:tc>
          <w:tcPr>
            <w:tcW w:w="4035" w:type="dxa"/>
            <w:tcBorders>
              <w:top w:val="single" w:sz="8" w:space="0" w:color="000000"/>
              <w:left w:val="nil"/>
              <w:bottom w:val="nil"/>
              <w:right w:val="nil"/>
            </w:tcBorders>
            <w:tcMar>
              <w:top w:w="100" w:type="dxa"/>
              <w:left w:w="100" w:type="dxa"/>
              <w:bottom w:w="100" w:type="dxa"/>
              <w:right w:w="100" w:type="dxa"/>
            </w:tcMar>
          </w:tcPr>
          <w:p w14:paraId="59B1FBCC" w14:textId="77777777" w:rsidR="006D0435"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Expensive materials and manufacturing</w:t>
            </w:r>
          </w:p>
        </w:tc>
        <w:tc>
          <w:tcPr>
            <w:tcW w:w="2655" w:type="dxa"/>
            <w:tcBorders>
              <w:top w:val="single" w:sz="8" w:space="0" w:color="000000"/>
              <w:left w:val="nil"/>
              <w:bottom w:val="nil"/>
              <w:right w:val="nil"/>
            </w:tcBorders>
            <w:tcMar>
              <w:top w:w="100" w:type="dxa"/>
              <w:left w:w="100" w:type="dxa"/>
              <w:bottom w:w="100" w:type="dxa"/>
              <w:right w:w="100" w:type="dxa"/>
            </w:tcMar>
          </w:tcPr>
          <w:p w14:paraId="1C159BDA" w14:textId="77777777" w:rsidR="006D0435"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Limits adoption</w:t>
            </w:r>
          </w:p>
        </w:tc>
      </w:tr>
      <w:tr w:rsidR="006D0435" w14:paraId="610C9BD4" w14:textId="77777777">
        <w:trPr>
          <w:trHeight w:val="500"/>
        </w:trPr>
        <w:tc>
          <w:tcPr>
            <w:tcW w:w="1770" w:type="dxa"/>
            <w:tcBorders>
              <w:top w:val="nil"/>
              <w:left w:val="nil"/>
              <w:bottom w:val="single" w:sz="8" w:space="0" w:color="000000"/>
              <w:right w:val="nil"/>
            </w:tcBorders>
            <w:tcMar>
              <w:top w:w="100" w:type="dxa"/>
              <w:left w:w="100" w:type="dxa"/>
              <w:bottom w:w="100" w:type="dxa"/>
              <w:right w:w="100" w:type="dxa"/>
            </w:tcMar>
          </w:tcPr>
          <w:p w14:paraId="5BCA935A" w14:textId="77777777" w:rsidR="006D0435"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10.3.2 Supply Risk</w:t>
            </w:r>
          </w:p>
        </w:tc>
        <w:tc>
          <w:tcPr>
            <w:tcW w:w="1890" w:type="dxa"/>
            <w:tcBorders>
              <w:top w:val="nil"/>
              <w:left w:val="nil"/>
              <w:bottom w:val="single" w:sz="8" w:space="0" w:color="000000"/>
              <w:right w:val="nil"/>
            </w:tcBorders>
            <w:tcMar>
              <w:top w:w="100" w:type="dxa"/>
              <w:left w:w="100" w:type="dxa"/>
              <w:bottom w:w="100" w:type="dxa"/>
              <w:right w:w="100" w:type="dxa"/>
            </w:tcMar>
          </w:tcPr>
          <w:p w14:paraId="0583DCC9" w14:textId="77777777" w:rsidR="006D0435"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Critical materials</w:t>
            </w:r>
          </w:p>
        </w:tc>
        <w:tc>
          <w:tcPr>
            <w:tcW w:w="4035" w:type="dxa"/>
            <w:tcBorders>
              <w:top w:val="nil"/>
              <w:left w:val="nil"/>
              <w:bottom w:val="single" w:sz="8" w:space="0" w:color="000000"/>
              <w:right w:val="nil"/>
            </w:tcBorders>
            <w:tcMar>
              <w:top w:w="100" w:type="dxa"/>
              <w:left w:w="100" w:type="dxa"/>
              <w:bottom w:w="100" w:type="dxa"/>
              <w:right w:w="100" w:type="dxa"/>
            </w:tcMar>
          </w:tcPr>
          <w:p w14:paraId="2EB9AC84" w14:textId="77777777" w:rsidR="006D0435"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Geographical concentration</w:t>
            </w:r>
          </w:p>
        </w:tc>
        <w:tc>
          <w:tcPr>
            <w:tcW w:w="2655" w:type="dxa"/>
            <w:tcBorders>
              <w:top w:val="nil"/>
              <w:left w:val="nil"/>
              <w:bottom w:val="single" w:sz="8" w:space="0" w:color="000000"/>
              <w:right w:val="nil"/>
            </w:tcBorders>
            <w:tcMar>
              <w:top w:w="100" w:type="dxa"/>
              <w:left w:w="100" w:type="dxa"/>
              <w:bottom w:w="100" w:type="dxa"/>
              <w:right w:w="100" w:type="dxa"/>
            </w:tcMar>
          </w:tcPr>
          <w:p w14:paraId="241BFED9" w14:textId="77777777" w:rsidR="006D0435"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Supply instability</w:t>
            </w:r>
          </w:p>
        </w:tc>
      </w:tr>
    </w:tbl>
    <w:p w14:paraId="3BC2FB6B" w14:textId="77777777" w:rsidR="006D0435" w:rsidRDefault="00000000">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10.4 Policy &amp; Regulatory Landscape</w:t>
      </w:r>
    </w:p>
    <w:p w14:paraId="423404D3" w14:textId="77777777" w:rsidR="006D0435" w:rsidRDefault="00000000">
      <w:pPr>
        <w:spacing w:before="2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10.4.1 Government Incentives &amp; Support</w:t>
      </w:r>
    </w:p>
    <w:p w14:paraId="60A9DB08"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Starting in 2030, some nations and American states begin phasing out new petrol and diesel car sales this shift speeds up electric vehicle uptake. Funding flows into battery-related activities: study, raw material handling, production, along with logistics networks not just from governments but also firms. Backed by laws passed in 2021 and 2022, Washington channels large amounts of money toward extracting critical minerals and refining components like cathodes and anodes. Support from state programs becomes a key force behind industrial </w:t>
      </w:r>
      <w:proofErr w:type="gramStart"/>
      <w:r>
        <w:rPr>
          <w:rFonts w:ascii="Times New Roman" w:eastAsia="Times New Roman" w:hAnsi="Times New Roman" w:cs="Times New Roman"/>
          <w:sz w:val="24"/>
          <w:szCs w:val="24"/>
        </w:rPr>
        <w:t>expansion  [</w:t>
      </w:r>
      <w:proofErr w:type="gramEnd"/>
      <w:r>
        <w:rPr>
          <w:rFonts w:ascii="Times New Roman" w:eastAsia="Times New Roman" w:hAnsi="Times New Roman" w:cs="Times New Roman"/>
          <w:sz w:val="24"/>
          <w:szCs w:val="24"/>
        </w:rPr>
        <w:t>197].</w:t>
      </w:r>
    </w:p>
    <w:p w14:paraId="6F44AD93"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differing national approaches, efforts to boost battery electric vehicle uptake often center on homegrown manufacturing alongside broader supply chain adjustments. Shifting supplier bases occurs while nations simultaneously upgrade safety protocols and refine raw material processing. Recycling systems grow more robust at the same time innovation receives steady support through targeted funding streams. Ethical procurement practices emerge as a priority, with attention paid to reducing harm across ecosystems and </w:t>
      </w:r>
      <w:r>
        <w:rPr>
          <w:rFonts w:ascii="Times New Roman" w:eastAsia="Times New Roman" w:hAnsi="Times New Roman" w:cs="Times New Roman"/>
          <w:sz w:val="24"/>
          <w:szCs w:val="24"/>
        </w:rPr>
        <w:lastRenderedPageBreak/>
        <w:t xml:space="preserve">communities. Regulatory improvements proceed hand-in-hand with tighter oversight structures meant to ensure accountability. Economic levers like Europe's carbon-linked import fees and America’s sweeping climate-related spending law encourage cleaner industrial output. Local assembly of emission-free transport benefits from financial perks embedded within these policy designs. Facing growth pressures, officials also shape how land gets used aiming to reduce friction while guiding tech rollout and handling local effects. Questions remain about hidden costs or side outcomes, making continuous study </w:t>
      </w:r>
      <w:proofErr w:type="gramStart"/>
      <w:r>
        <w:rPr>
          <w:rFonts w:ascii="Times New Roman" w:eastAsia="Times New Roman" w:hAnsi="Times New Roman" w:cs="Times New Roman"/>
          <w:sz w:val="24"/>
          <w:szCs w:val="24"/>
        </w:rPr>
        <w:t>essential  [</w:t>
      </w:r>
      <w:proofErr w:type="gramEnd"/>
      <w:r>
        <w:rPr>
          <w:rFonts w:ascii="Times New Roman" w:eastAsia="Times New Roman" w:hAnsi="Times New Roman" w:cs="Times New Roman"/>
          <w:sz w:val="24"/>
          <w:szCs w:val="24"/>
        </w:rPr>
        <w:t>197].</w:t>
      </w:r>
    </w:p>
    <w:p w14:paraId="38C3E148"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Without strong financial rewards and clear rules, building reliable systems for reusing electric car batteries stays out of reach. Support from public authorities helps spark regional growth, drive new ideas, fuel trial programs, while shaping fair markets and regulations at once. Efforts focused on gathering used units must go hand-in-hand with better treatment methods, stronger facilities, lower expenses across the cycle.</w:t>
      </w:r>
    </w:p>
    <w:p w14:paraId="4DA64AD1"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Across nations, officials push transport electrification using tailored rules and schemes meant to boost electric vehicle uptake. Because cleaner mobility depends on structural change, many administrations back charger networks alongside fiscal perks like rebates or tax reductions. Shifts away from fossil-powered cars gain speed when laws nudge buyers toward EVs instead. While technology evolves, steady public intervention helps lower expenses linked to switching fleets. Only with consistent guidance can large-scale adoption clear hurdles tied to cost and access. Goals around emissions and energy use rely heavily on these moves within urban and rural corridors alike [203].</w:t>
      </w:r>
    </w:p>
    <w:p w14:paraId="7F910E96"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Starting off differently each time helps clarify how rules and money-related pushes influence electric car use. Where one area sets tough fuel targets, another might force sellers to move more EVs both build trust slowly among buyers and makers alike. These tools work better in some places than others, depending on what the market can handle right now. Looking at nations such as Brazil shows that mixing cash rewards with practical benefits often leads to longer-term success. A blend of supports tends to stick when shaped around real local needs [202].</w:t>
      </w:r>
    </w:p>
    <w:p w14:paraId="7AE98873"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Support from public institutions shapes how electric cars evolve, mainly by setting goals around efficiency and pricing. By working together, the U.S. Department of Energy and the automotive research council outlined key benchmarks for passenger EVs expected by 2025 these shape expectations across companies and push progress tied to regulations. When agencies coordinate on milestones like these, science projects, production plans, and market rollouts tend to follow broader aims related to travel systems and power usage </w:t>
      </w:r>
      <w:proofErr w:type="gramStart"/>
      <w:r>
        <w:rPr>
          <w:rFonts w:ascii="Times New Roman" w:eastAsia="Times New Roman" w:hAnsi="Times New Roman" w:cs="Times New Roman"/>
          <w:sz w:val="24"/>
          <w:szCs w:val="24"/>
        </w:rPr>
        <w:t>nationwide  [</w:t>
      </w:r>
      <w:proofErr w:type="gramEnd"/>
      <w:r>
        <w:rPr>
          <w:rFonts w:ascii="Times New Roman" w:eastAsia="Times New Roman" w:hAnsi="Times New Roman" w:cs="Times New Roman"/>
          <w:sz w:val="24"/>
          <w:szCs w:val="24"/>
        </w:rPr>
        <w:t>196].</w:t>
      </w:r>
    </w:p>
    <w:p w14:paraId="6C249CA2" w14:textId="77777777" w:rsidR="006D0435" w:rsidRDefault="00000000">
      <w:pPr>
        <w:spacing w:before="2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10.4.2 Safety Standards &amp; Regulations</w:t>
      </w:r>
    </w:p>
    <w:p w14:paraId="5399F29A"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Getting rid of old </w:t>
      </w:r>
      <w:proofErr w:type="gramStart"/>
      <w:r>
        <w:rPr>
          <w:rFonts w:ascii="Times New Roman" w:eastAsia="Times New Roman" w:hAnsi="Times New Roman" w:cs="Times New Roman"/>
          <w:sz w:val="24"/>
          <w:szCs w:val="24"/>
        </w:rPr>
        <w:t>batteries</w:t>
      </w:r>
      <w:proofErr w:type="gramEnd"/>
      <w:r>
        <w:rPr>
          <w:rFonts w:ascii="Times New Roman" w:eastAsia="Times New Roman" w:hAnsi="Times New Roman" w:cs="Times New Roman"/>
          <w:sz w:val="24"/>
          <w:szCs w:val="24"/>
        </w:rPr>
        <w:t xml:space="preserve"> the right way protects people's health, which pushes governments to build strong rules. In places like China, companies that make or bring in batteries must handle how they are collected, reused, or recycled. Clear labels on each unit along with a digital record showing what it’s made of, where it came from, its condition, and who owned it help manage them safely once their life ends. This kind of system improves sorting accuracy while boosting recovery rates during recycling processes [201].</w:t>
      </w:r>
    </w:p>
    <w:p w14:paraId="53FCF29C"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Nowhere is change more evident than in how electric car makers adjust to shifting rules that redefine their daily operations. Because policies evolve, company plans shift often in ways unanticipated just years before. One clear case emerges from Europe, where a rule about batteries forces firms to recycle old units. This directive sets exact goals: certain metals must be pulled back from used cells. As a result, manufacturing choices now tie closely to what happens when vehicles retire. How things begin links firmly to how they end</w:t>
      </w:r>
    </w:p>
    <w:p w14:paraId="29F41D65"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Rules and safety rules shape how safely electric car power parts and </w:t>
      </w:r>
      <w:proofErr w:type="gramStart"/>
      <w:r>
        <w:rPr>
          <w:rFonts w:ascii="Times New Roman" w:eastAsia="Times New Roman" w:hAnsi="Times New Roman" w:cs="Times New Roman"/>
          <w:sz w:val="24"/>
          <w:szCs w:val="24"/>
        </w:rPr>
        <w:t>chargers</w:t>
      </w:r>
      <w:proofErr w:type="gramEnd"/>
      <w:r>
        <w:rPr>
          <w:rFonts w:ascii="Times New Roman" w:eastAsia="Times New Roman" w:hAnsi="Times New Roman" w:cs="Times New Roman"/>
          <w:sz w:val="24"/>
          <w:szCs w:val="24"/>
        </w:rPr>
        <w:t xml:space="preserve"> work. Instead of just listing tests, groups like JEDEC, AEC-Q101, and AQG 324 set clear checks for tough silicon carbide parts used in vehicles. Because </w:t>
      </w:r>
      <w:proofErr w:type="spellStart"/>
      <w:r>
        <w:rPr>
          <w:rFonts w:ascii="Times New Roman" w:eastAsia="Times New Roman" w:hAnsi="Times New Roman" w:cs="Times New Roman"/>
          <w:sz w:val="24"/>
          <w:szCs w:val="24"/>
        </w:rPr>
        <w:t>SiC</w:t>
      </w:r>
      <w:proofErr w:type="spellEnd"/>
      <w:r>
        <w:rPr>
          <w:rFonts w:ascii="Times New Roman" w:eastAsia="Times New Roman" w:hAnsi="Times New Roman" w:cs="Times New Roman"/>
          <w:sz w:val="24"/>
          <w:szCs w:val="24"/>
        </w:rPr>
        <w:t xml:space="preserve"> MOSFETs react quickly under stress, they need quicker safeguards along with better resistance to interference. Under SAE J1772, limits on certain magnetic and storage elements in DC circuits affect both layout choices and signal clarity during charge cycles. For boards handling high voltage, meeting UL-796 and IPC-2221a isn’t optional it keeps insulation strong and risks </w:t>
      </w:r>
      <w:proofErr w:type="gramStart"/>
      <w:r>
        <w:rPr>
          <w:rFonts w:ascii="Times New Roman" w:eastAsia="Times New Roman" w:hAnsi="Times New Roman" w:cs="Times New Roman"/>
          <w:sz w:val="24"/>
          <w:szCs w:val="24"/>
        </w:rPr>
        <w:t>low  [</w:t>
      </w:r>
      <w:proofErr w:type="gramEnd"/>
      <w:r>
        <w:rPr>
          <w:rFonts w:ascii="Times New Roman" w:eastAsia="Times New Roman" w:hAnsi="Times New Roman" w:cs="Times New Roman"/>
          <w:sz w:val="24"/>
          <w:szCs w:val="24"/>
        </w:rPr>
        <w:t>196</w:t>
      </w:r>
      <w:proofErr w:type="gramStart"/>
      <w:r>
        <w:rPr>
          <w:rFonts w:ascii="Times New Roman" w:eastAsia="Times New Roman" w:hAnsi="Times New Roman" w:cs="Times New Roman"/>
          <w:sz w:val="24"/>
          <w:szCs w:val="24"/>
        </w:rPr>
        <w:t>].Table</w:t>
      </w:r>
      <w:proofErr w:type="gramEnd"/>
      <w:r>
        <w:rPr>
          <w:rFonts w:ascii="Times New Roman" w:eastAsia="Times New Roman" w:hAnsi="Times New Roman" w:cs="Times New Roman"/>
          <w:sz w:val="24"/>
          <w:szCs w:val="24"/>
        </w:rPr>
        <w:t xml:space="preserve"> 4 summarizes the key policy measures and regulatory frameworks influencing EV development.</w:t>
      </w:r>
    </w:p>
    <w:p w14:paraId="1518738D" w14:textId="77777777" w:rsidR="006D0435" w:rsidRDefault="00000000">
      <w:pPr>
        <w:spacing w:before="240" w:after="2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Table 4. Policy and regulatory frameworks influencing electric vehicle development (created by the author)</w:t>
      </w:r>
      <w:r>
        <w:rPr>
          <w:rFonts w:ascii="Times New Roman" w:eastAsia="Times New Roman" w:hAnsi="Times New Roman" w:cs="Times New Roman"/>
          <w:i/>
          <w:iCs/>
          <w:sz w:val="20"/>
          <w:szCs w:val="20"/>
        </w:rPr>
        <w:t>.</w:t>
      </w:r>
    </w:p>
    <w:tbl>
      <w:tblPr>
        <w:tblStyle w:val="af7"/>
        <w:tblW w:w="100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25"/>
        <w:gridCol w:w="2205"/>
        <w:gridCol w:w="3300"/>
        <w:gridCol w:w="2775"/>
      </w:tblGrid>
      <w:tr w:rsidR="006D0435" w14:paraId="51B0BA5D" w14:textId="77777777">
        <w:trPr>
          <w:trHeight w:val="500"/>
        </w:trPr>
        <w:tc>
          <w:tcPr>
            <w:tcW w:w="1725" w:type="dxa"/>
            <w:tcBorders>
              <w:top w:val="single" w:sz="8" w:space="0" w:color="000000"/>
              <w:left w:val="nil"/>
              <w:bottom w:val="single" w:sz="8" w:space="0" w:color="000000"/>
              <w:right w:val="nil"/>
            </w:tcBorders>
            <w:tcMar>
              <w:top w:w="100" w:type="dxa"/>
              <w:left w:w="100" w:type="dxa"/>
              <w:bottom w:w="100" w:type="dxa"/>
              <w:right w:w="100" w:type="dxa"/>
            </w:tcMar>
          </w:tcPr>
          <w:p w14:paraId="6615A31D" w14:textId="77777777" w:rsidR="006D0435"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Subsection</w:t>
            </w:r>
          </w:p>
        </w:tc>
        <w:tc>
          <w:tcPr>
            <w:tcW w:w="2205" w:type="dxa"/>
            <w:tcBorders>
              <w:top w:val="single" w:sz="8" w:space="0" w:color="000000"/>
              <w:left w:val="nil"/>
              <w:bottom w:val="single" w:sz="8" w:space="0" w:color="000000"/>
              <w:right w:val="nil"/>
            </w:tcBorders>
            <w:tcMar>
              <w:top w:w="100" w:type="dxa"/>
              <w:left w:w="100" w:type="dxa"/>
              <w:bottom w:w="100" w:type="dxa"/>
              <w:right w:w="100" w:type="dxa"/>
            </w:tcMar>
          </w:tcPr>
          <w:p w14:paraId="671F86E5" w14:textId="77777777" w:rsidR="006D0435"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Policy Area</w:t>
            </w:r>
          </w:p>
        </w:tc>
        <w:tc>
          <w:tcPr>
            <w:tcW w:w="3300" w:type="dxa"/>
            <w:tcBorders>
              <w:top w:val="single" w:sz="8" w:space="0" w:color="000000"/>
              <w:left w:val="nil"/>
              <w:bottom w:val="single" w:sz="8" w:space="0" w:color="000000"/>
              <w:right w:val="nil"/>
            </w:tcBorders>
            <w:tcMar>
              <w:top w:w="100" w:type="dxa"/>
              <w:left w:w="100" w:type="dxa"/>
              <w:bottom w:w="100" w:type="dxa"/>
              <w:right w:w="100" w:type="dxa"/>
            </w:tcMar>
          </w:tcPr>
          <w:p w14:paraId="3F86E698" w14:textId="77777777" w:rsidR="006D0435"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2775" w:type="dxa"/>
            <w:tcBorders>
              <w:top w:val="single" w:sz="8" w:space="0" w:color="000000"/>
              <w:left w:val="nil"/>
              <w:bottom w:val="single" w:sz="8" w:space="0" w:color="000000"/>
              <w:right w:val="nil"/>
            </w:tcBorders>
            <w:tcMar>
              <w:top w:w="100" w:type="dxa"/>
              <w:left w:w="100" w:type="dxa"/>
              <w:bottom w:w="100" w:type="dxa"/>
              <w:right w:w="100" w:type="dxa"/>
            </w:tcMar>
          </w:tcPr>
          <w:p w14:paraId="3549222C" w14:textId="77777777" w:rsidR="006D0435" w:rsidRDefault="00000000">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Role</w:t>
            </w:r>
          </w:p>
        </w:tc>
      </w:tr>
      <w:tr w:rsidR="006D0435" w14:paraId="0B0EB64C" w14:textId="77777777">
        <w:trPr>
          <w:trHeight w:val="500"/>
        </w:trPr>
        <w:tc>
          <w:tcPr>
            <w:tcW w:w="1725" w:type="dxa"/>
            <w:tcBorders>
              <w:top w:val="single" w:sz="8" w:space="0" w:color="000000"/>
              <w:left w:val="nil"/>
              <w:bottom w:val="nil"/>
              <w:right w:val="nil"/>
            </w:tcBorders>
            <w:tcMar>
              <w:top w:w="100" w:type="dxa"/>
              <w:left w:w="100" w:type="dxa"/>
              <w:bottom w:w="100" w:type="dxa"/>
              <w:right w:w="100" w:type="dxa"/>
            </w:tcMar>
          </w:tcPr>
          <w:p w14:paraId="03EA6D76" w14:textId="77777777" w:rsidR="006D0435"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7.1 Incentives</w:t>
            </w:r>
          </w:p>
        </w:tc>
        <w:tc>
          <w:tcPr>
            <w:tcW w:w="2205" w:type="dxa"/>
            <w:tcBorders>
              <w:top w:val="single" w:sz="8" w:space="0" w:color="000000"/>
              <w:left w:val="nil"/>
              <w:bottom w:val="nil"/>
              <w:right w:val="nil"/>
            </w:tcBorders>
            <w:tcMar>
              <w:top w:w="100" w:type="dxa"/>
              <w:left w:w="100" w:type="dxa"/>
              <w:bottom w:w="100" w:type="dxa"/>
              <w:right w:w="100" w:type="dxa"/>
            </w:tcMar>
          </w:tcPr>
          <w:p w14:paraId="5375FC04" w14:textId="77777777" w:rsidR="006D0435"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Government support</w:t>
            </w:r>
          </w:p>
        </w:tc>
        <w:tc>
          <w:tcPr>
            <w:tcW w:w="3300" w:type="dxa"/>
            <w:tcBorders>
              <w:top w:val="single" w:sz="8" w:space="0" w:color="000000"/>
              <w:left w:val="nil"/>
              <w:bottom w:val="nil"/>
              <w:right w:val="nil"/>
            </w:tcBorders>
            <w:tcMar>
              <w:top w:w="100" w:type="dxa"/>
              <w:left w:w="100" w:type="dxa"/>
              <w:bottom w:w="100" w:type="dxa"/>
              <w:right w:w="100" w:type="dxa"/>
            </w:tcMar>
          </w:tcPr>
          <w:p w14:paraId="70520F79" w14:textId="77777777" w:rsidR="006D0435"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Subsidies, investments, laws</w:t>
            </w:r>
          </w:p>
        </w:tc>
        <w:tc>
          <w:tcPr>
            <w:tcW w:w="2775" w:type="dxa"/>
            <w:tcBorders>
              <w:top w:val="single" w:sz="8" w:space="0" w:color="000000"/>
              <w:left w:val="nil"/>
              <w:bottom w:val="nil"/>
              <w:right w:val="nil"/>
            </w:tcBorders>
            <w:tcMar>
              <w:top w:w="100" w:type="dxa"/>
              <w:left w:w="100" w:type="dxa"/>
              <w:bottom w:w="100" w:type="dxa"/>
              <w:right w:w="100" w:type="dxa"/>
            </w:tcMar>
          </w:tcPr>
          <w:p w14:paraId="172895FD" w14:textId="77777777" w:rsidR="006D0435"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Boost EV adoption</w:t>
            </w:r>
          </w:p>
        </w:tc>
      </w:tr>
      <w:tr w:rsidR="006D0435" w14:paraId="6CF8B0C2" w14:textId="77777777">
        <w:trPr>
          <w:trHeight w:val="500"/>
        </w:trPr>
        <w:tc>
          <w:tcPr>
            <w:tcW w:w="1725" w:type="dxa"/>
            <w:tcBorders>
              <w:top w:val="nil"/>
              <w:left w:val="nil"/>
              <w:bottom w:val="single" w:sz="8" w:space="0" w:color="000000"/>
              <w:right w:val="nil"/>
            </w:tcBorders>
            <w:tcMar>
              <w:top w:w="100" w:type="dxa"/>
              <w:left w:w="100" w:type="dxa"/>
              <w:bottom w:w="100" w:type="dxa"/>
              <w:right w:w="100" w:type="dxa"/>
            </w:tcMar>
          </w:tcPr>
          <w:p w14:paraId="4E743B9A" w14:textId="77777777" w:rsidR="006D0435"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7.2 Regulations</w:t>
            </w:r>
          </w:p>
        </w:tc>
        <w:tc>
          <w:tcPr>
            <w:tcW w:w="2205" w:type="dxa"/>
            <w:tcBorders>
              <w:top w:val="nil"/>
              <w:left w:val="nil"/>
              <w:bottom w:val="single" w:sz="8" w:space="0" w:color="000000"/>
              <w:right w:val="nil"/>
            </w:tcBorders>
            <w:tcMar>
              <w:top w:w="100" w:type="dxa"/>
              <w:left w:w="100" w:type="dxa"/>
              <w:bottom w:w="100" w:type="dxa"/>
              <w:right w:w="100" w:type="dxa"/>
            </w:tcMar>
          </w:tcPr>
          <w:p w14:paraId="5C1F7369" w14:textId="77777777" w:rsidR="006D0435"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Safety standards</w:t>
            </w:r>
          </w:p>
        </w:tc>
        <w:tc>
          <w:tcPr>
            <w:tcW w:w="3300" w:type="dxa"/>
            <w:tcBorders>
              <w:top w:val="nil"/>
              <w:left w:val="nil"/>
              <w:bottom w:val="single" w:sz="8" w:space="0" w:color="000000"/>
              <w:right w:val="nil"/>
            </w:tcBorders>
            <w:tcMar>
              <w:top w:w="100" w:type="dxa"/>
              <w:left w:w="100" w:type="dxa"/>
              <w:bottom w:w="100" w:type="dxa"/>
              <w:right w:w="100" w:type="dxa"/>
            </w:tcMar>
          </w:tcPr>
          <w:p w14:paraId="3D9B75A3" w14:textId="77777777" w:rsidR="006D0435"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Battery handling &amp; certification</w:t>
            </w:r>
          </w:p>
        </w:tc>
        <w:tc>
          <w:tcPr>
            <w:tcW w:w="2775" w:type="dxa"/>
            <w:tcBorders>
              <w:top w:val="nil"/>
              <w:left w:val="nil"/>
              <w:bottom w:val="single" w:sz="8" w:space="0" w:color="000000"/>
              <w:right w:val="nil"/>
            </w:tcBorders>
            <w:tcMar>
              <w:top w:w="100" w:type="dxa"/>
              <w:left w:w="100" w:type="dxa"/>
              <w:bottom w:w="100" w:type="dxa"/>
              <w:right w:w="100" w:type="dxa"/>
            </w:tcMar>
          </w:tcPr>
          <w:p w14:paraId="0FFCB6AC" w14:textId="77777777" w:rsidR="006D0435"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Ensure safety</w:t>
            </w:r>
          </w:p>
        </w:tc>
      </w:tr>
    </w:tbl>
    <w:p w14:paraId="1BA1FF3C" w14:textId="77777777" w:rsidR="006D0435" w:rsidRDefault="00000000">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10.5 Future Research Directions &amp; Emerging Solutions</w:t>
      </w:r>
    </w:p>
    <w:p w14:paraId="30C964E8" w14:textId="77777777" w:rsidR="006D043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challenges discussed across technical, environmental, economic, and regulatory domains are highly interconnected rather than isolated. For instance, efforts to increase energy density directly influence safety risks, thermal behavior, and lifecycle degradation, while also impacting manufacturing complexity and cost. Similarly, supply chain constraints and environmental concerns are closely linked to raw material extraction and recycling limitations. These interdependencies highlight that advancements in electric vehicle battery technology cannot rely on single-dimensional improvements, but instead require integrated solutions that simultaneously address performance, safety, sustainability, and scalability.</w:t>
      </w:r>
    </w:p>
    <w:p w14:paraId="3930F664"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future work targets steady temperatures across lithium packs, progress depends heavily on how well heating integrates with a car’s existing climate system. Instead of standalone units, shared cooling loops may cut energy waste especially if tailored to each pack's layout. Electrolyte tweaks might handle winter conditions better, yet questions remain about long-term wear under repeated warming cycles. When batteries warm themselves in bursts, timing matters just as much as total heat delivered. Combining AC and DC currents heats faster but risks plating metal where it shouldn’t form. Peltier devices offer solid-state control, though they often lose more heat than desired. Airflow paths grow uneven when packs scale up, demanding smarter ducting designs. Liquid channels face leaks and pressure drops that reduce reliability over time. Pairing cold plates with materials that absorb excess warmth during melting shows potential not only smoothing hot spots, but supporting longer function without failure [199].</w:t>
      </w:r>
    </w:p>
    <w:p w14:paraId="26693990"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Scientists keep working on better battery materials, trying out new kinds of electrodes like silicon mixed with graphene, cathodes rich in nickel, or anodes made from lithium titanate meanwhile, LFP batteries last longer over time and repeated uses. To store more lithium, researchers shape silicon into tiny structures, wrap it in carbon layers, mix it carefully, yet still face swelling issues during charging cycles. Reaching 350 to 450 watt-hours per kilogram is the goal for nickel-heavy cathodes, pushing how much power fits in a given weight. Some teams explore lithium-sulfur setups instead, drawn by sulfur's low cost and massive energy promise, even though the chemistry tends to break down too fast. Progress comes slowly by binding sulfur to carbon scaffolds or adjusting liquid components inside the cell. Solid-state versions could run safer, hold more charge, live </w:t>
      </w:r>
      <w:r>
        <w:rPr>
          <w:rFonts w:ascii="Times New Roman" w:eastAsia="Times New Roman" w:hAnsi="Times New Roman" w:cs="Times New Roman"/>
          <w:sz w:val="24"/>
          <w:szCs w:val="24"/>
        </w:rPr>
        <w:lastRenderedPageBreak/>
        <w:t>longer, recharge faster but making solids that conduct ions well without cracking or costing too much remains tough. Behind every pack, smart controls track voltage, balance loads, prevent overheating, adjust flow based on real-time feedback. These systems adapt quietly, helping each unit perform steadily under changing conditions. Focusing on recovery, new methods now combine high temperature processing with liquid based extraction and full component reuse, while innovations like machine guided breakdown, sound wave sorting, targeted contaminant breakdown, and metal layer transfer enter testing phases. Together, progress across these areas responds to demands for safer, longer lasting, affordable, and environmentally responsible power storage solutions [200].</w:t>
      </w:r>
    </w:p>
    <w:p w14:paraId="2DD21DFC"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Though often overlooked, transport decarbonization demands more than single solutions it thrives on layered strategies. A resilient battery supply system hinges not only on technology but also smarter use of renewables alongside steady funding flows. Instead of relying solely on breakthroughs, progress comes through blending better materials, cleaner power sources, and forward-looking planning. Lightweight parts made from fiber composites help cut fuel needs;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do trucks built for efficiency rather than speed. Biobased gases now power some fleets, showing promise </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 xml:space="preserve"> electrification lags behind. Rules set by governments like those introduced in recent U.S. legislation shape much of what becomes possible down the road. Evaluating the Inflation Reduction Act requires care when aligning cleaner transportation goals with reliable power access. Battery passports offer one path forward making sourcing clearer through better tracking and ethical manufacturing oversight. Instead of just expanding mining, gaining needed materials may come from novel recycling methods or tapping into alternative deposits. Charging innovations such as vehicle-linked grids help stabilize electricity networks, especially where solar and wind play larger roles. Shifting toward long-term solutions means blending smarter technology use, updated policies, and tighter control over resources. Together, progress hinges on how well engineering advances, rules, and supply chains work at once [197].</w:t>
      </w:r>
    </w:p>
    <w:p w14:paraId="70D509C3"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Moving forward with better recycling methods means looking at every step from gathering old batteries to how they’re stored since these stages often get overlooked even though they affect safety, performance, and expenses. Instead of just focusing on major parts, innovation ought to aim at full reuse cycles, targeting materials once ignored: things like lithium, graphite, aluminum, and liquid components inside cells. One path worth exploring involves pulling lithium selectively out of LFP units; doing so keeps valuable tiny structures intact rather than dissolving everything away. Building batteries with future breakdown in mind through choices like simpler layouts or easier-to-recover substances can turn into an edge over competitors. Testing real-world trials that bring together car makers, scientists, rule setters, recyclers, and producers helps confirm what works financially and technically, fills missing pieces, and uses large batches of used electric vehicle power packs effectively [201].</w:t>
      </w:r>
    </w:p>
    <w:p w14:paraId="37E4670A"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Solid electrolytes need strong mechanical traits so all-solid-state batteries can progress fluoride-rich halides show promise, while mixtures blending solid and liquid elements help reduce resistance at junctions. Materials like silicon or tin go under scrutiny for anodes since they handle swelling better during cycling, though problems remain around layer instability and spike-like metal formations; running cells cooler tends to calm these issues when using pure lithium anodes. Improving contact zones between components plays a big role not just cutting down blockages to ion flow but holding performance steady over time, where computer models reveal how particles move and interact right down to single atoms. Making these batteries widely available demands upgrades in fabrication too: milder heat conditions, faster processing steps, alongside newer methods that fit large-scale output without sacrificing </w:t>
      </w:r>
      <w:proofErr w:type="gramStart"/>
      <w:r>
        <w:rPr>
          <w:rFonts w:ascii="Times New Roman" w:eastAsia="Times New Roman" w:hAnsi="Times New Roman" w:cs="Times New Roman"/>
          <w:sz w:val="24"/>
          <w:szCs w:val="24"/>
        </w:rPr>
        <w:t>quality  [</w:t>
      </w:r>
      <w:proofErr w:type="gramEnd"/>
      <w:r>
        <w:rPr>
          <w:rFonts w:ascii="Times New Roman" w:eastAsia="Times New Roman" w:hAnsi="Times New Roman" w:cs="Times New Roman"/>
          <w:sz w:val="24"/>
          <w:szCs w:val="24"/>
        </w:rPr>
        <w:t>198].</w:t>
      </w:r>
    </w:p>
    <w:p w14:paraId="5051C55F"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Focused work ahead on electric vehicles centers on refining energy systems, pushing forward battery design, because better reuse methods matter for wide usage and lasting ecological balance. Looking closely at how clean EVs really are over their entire lifespan when set against gas-powered cars is still key, especially as grids add more wind and solar power while building stronger markets for old batteries through second-life roles and recovery networks. New kinds of cells, like those packed with extra lithium, sulfur-based types, or oxygen-driven models, try to deliver longer function without harming nature; meanwhile researchers test tiny silicon threads and hollow carbon tubes as parts that hold more charge yet swell less during charging, although making them widely stays hard. Handling used units well demands complete plans: giving worn-out packs new jobs first, then pulling out valuable elements safely before final discard, so pollution drops sharply. Progress hinges on steady investigation that shapes truly responsible growth in transport powered by electrons [203].</w:t>
      </w:r>
    </w:p>
    <w:p w14:paraId="6C0DA613"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Looking ahead, work on lithium-ion batteries needs clearer life-cycle evaluations that match real-world changes in how energy and raw materials are sourced especially when mining strays from standard methods, like small-scale cobalt digging. Instead of broad assumptions, studies ought to compare factories of different sizes, since output volume and physical scale shape environmental footprints in distinct ways. Measuring impact per unit of stored energy or total delivered electricity makes more sense than using battery weight alone. Location matters too: where minerals come from affects both ecological strain and community well-being, especially near unofficial or loosely regulated sites. Breaking down harm caused by power use versus damage from chemical waste helps clarify true costs. Exploring various conditions through adjusted inputs or modeled futures allows room to test new techniques, supply limits, and likely transformations in how these systems operate over time. A single set of testing rules covering how batteries are charged, how hot they run, and how full they stay helps measure wear, performance, and lifespan clearly. To compare results fairly between research efforts, shared frameworks must emerge; these would confirm findings independently while guiding stronger conclusions for long-term battery </w:t>
      </w:r>
      <w:proofErr w:type="gramStart"/>
      <w:r>
        <w:rPr>
          <w:rFonts w:ascii="Times New Roman" w:eastAsia="Times New Roman" w:hAnsi="Times New Roman" w:cs="Times New Roman"/>
          <w:sz w:val="24"/>
          <w:szCs w:val="24"/>
        </w:rPr>
        <w:t>progress  [</w:t>
      </w:r>
      <w:proofErr w:type="gramEnd"/>
      <w:r>
        <w:rPr>
          <w:rFonts w:ascii="Times New Roman" w:eastAsia="Times New Roman" w:hAnsi="Times New Roman" w:cs="Times New Roman"/>
          <w:sz w:val="24"/>
          <w:szCs w:val="24"/>
        </w:rPr>
        <w:t>194].</w:t>
      </w:r>
    </w:p>
    <w:p w14:paraId="62A91B90"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Looking ahead, life-cycle assessments must come first; these help measure how battery making and throwing away affects nature over time. Smart grids linking up with electric cars plus clean power sources could make energy use far smarter. Work that weighs costs against gains, especially over decades, shapes better rules and company plans. Recycling methods need sharper focus so valuable stuff inside batteries does not go to waste. Human behavior plays a role too; learning how people react helps organizations shift smoothly. Policies already in place? They require regular checkups. New regulations ought to grow from solid data, tested across countries. One puzzle still looms large: what happens to electricity networks when millions plug in at once. Answers won’t come fast but the search matters just the same [202].</w:t>
      </w:r>
    </w:p>
    <w:p w14:paraId="0C935C7A"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Looking ahead, work centers on new materials and redesigned components to boost how well electric drives and power electronics operate, last longer, and scale up. Instead of traditional paths, researchers explore ultra-conductive copper coils, magnets treated by grain boundary diffusion, along with thinner steel layers that cut down energy waste in cores. Some alloys, </w:t>
      </w:r>
      <w:proofErr w:type="spellStart"/>
      <w:r>
        <w:rPr>
          <w:rFonts w:ascii="Times New Roman" w:eastAsia="Times New Roman" w:hAnsi="Times New Roman" w:cs="Times New Roman"/>
          <w:sz w:val="24"/>
          <w:szCs w:val="24"/>
        </w:rPr>
        <w:t>Hyperco</w:t>
      </w:r>
      <w:proofErr w:type="spellEnd"/>
      <w:r>
        <w:rPr>
          <w:rFonts w:ascii="Times New Roman" w:eastAsia="Times New Roman" w:hAnsi="Times New Roman" w:cs="Times New Roman"/>
          <w:sz w:val="24"/>
          <w:szCs w:val="24"/>
        </w:rPr>
        <w:t xml:space="preserve"> 50 among them, bring together strong magnetism and durability under stress. On another front, semiconductors like silicon carbide, gallium nitride, diamond, and beta-gallium oxide open doors to devices that handle more power without losing efficiency vertical </w:t>
      </w:r>
      <w:proofErr w:type="spellStart"/>
      <w:r>
        <w:rPr>
          <w:rFonts w:ascii="Times New Roman" w:eastAsia="Times New Roman" w:hAnsi="Times New Roman" w:cs="Times New Roman"/>
          <w:sz w:val="24"/>
          <w:szCs w:val="24"/>
        </w:rPr>
        <w:t>GaN</w:t>
      </w:r>
      <w:proofErr w:type="spellEnd"/>
      <w:r>
        <w:rPr>
          <w:rFonts w:ascii="Times New Roman" w:eastAsia="Times New Roman" w:hAnsi="Times New Roman" w:cs="Times New Roman"/>
          <w:sz w:val="24"/>
          <w:szCs w:val="24"/>
        </w:rPr>
        <w:t xml:space="preserve"> stands out where voltage demands rise. Packaging advances also matter: embedded modules now feature better substrates, flat bonding methods, plus ways to pull heat straight from the base, cutting unwanted electrical noise while moving warmth away faster. Efforts now focus on refining inverter layouts through split configurations, reducing electrical noise pairs with tighter packaging and lower energy waste. While some approaches adjust circuit segmentation, others target consistent operation under load shifts. At the same time, faster rotating machines rely on novel heat control such as tiny internal channels, directed fluid bursts, or 3D-printed </w:t>
      </w:r>
      <w:r>
        <w:rPr>
          <w:rFonts w:ascii="Times New Roman" w:eastAsia="Times New Roman" w:hAnsi="Times New Roman" w:cs="Times New Roman"/>
          <w:sz w:val="24"/>
          <w:szCs w:val="24"/>
        </w:rPr>
        <w:lastRenderedPageBreak/>
        <w:t xml:space="preserve">dissipaters to sustain strength output and temperature management. These paths, though different, share a goal: longer service life without </w:t>
      </w:r>
      <w:proofErr w:type="gramStart"/>
      <w:r>
        <w:rPr>
          <w:rFonts w:ascii="Times New Roman" w:eastAsia="Times New Roman" w:hAnsi="Times New Roman" w:cs="Times New Roman"/>
          <w:sz w:val="24"/>
          <w:szCs w:val="24"/>
        </w:rPr>
        <w:t>bulk  [</w:t>
      </w:r>
      <w:proofErr w:type="gramEnd"/>
      <w:r>
        <w:rPr>
          <w:rFonts w:ascii="Times New Roman" w:eastAsia="Times New Roman" w:hAnsi="Times New Roman" w:cs="Times New Roman"/>
          <w:sz w:val="24"/>
          <w:szCs w:val="24"/>
        </w:rPr>
        <w:t>196].</w:t>
      </w:r>
    </w:p>
    <w:p w14:paraId="0C4F5CC9"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Getting better ion movement in solid electrolytes on par with liquids is still a hurdle, even though some oxide and sulfide options show promise. What stands out: cutting down resistance where materials meet inside the battery directly affects how well it charges, delivers power, and lasts over time. Stabilizing these solids using chemistry and electrical methods helps, just as tweaking physical interactions does, alongside adjusting surfaces at both ends to stop unwanted reactions while keeping tight connections. New types of solid conductors need to emerge, matched by suitable positive and negative electrodes such as nickel-heavy oxides, metallic lithium, or versions without lithium altogether. Focus must land on how stable these junctions stay, how they break, and how they handle stress during operation. To move from lab experiments to real-world use, blending multi-level testing, design refinements, and manufacturing approaches that work beyond small batches becomes unavoidable. To provide a holistic perspective, Table 5 presents a cross-domain comparison of key challenges, emphasizing their interactions and the inherent trade-offs affecting performance, sustainability, and scalability.</w:t>
      </w:r>
    </w:p>
    <w:p w14:paraId="5BA741CA" w14:textId="77777777" w:rsidR="006D0435" w:rsidRDefault="00000000">
      <w:pPr>
        <w:spacing w:before="240"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Table 5. Interconnection between major challenges affecting electric vehicle battery systems (created by the author).</w:t>
      </w:r>
    </w:p>
    <w:tbl>
      <w:tblPr>
        <w:tblStyle w:val="af8"/>
        <w:tblW w:w="106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30"/>
        <w:gridCol w:w="2565"/>
        <w:gridCol w:w="2205"/>
        <w:gridCol w:w="3735"/>
      </w:tblGrid>
      <w:tr w:rsidR="006D0435" w14:paraId="33FB9477" w14:textId="77777777">
        <w:trPr>
          <w:trHeight w:val="747"/>
        </w:trPr>
        <w:tc>
          <w:tcPr>
            <w:tcW w:w="2130" w:type="dxa"/>
            <w:tcBorders>
              <w:top w:val="single" w:sz="8" w:space="0" w:color="000000"/>
              <w:left w:val="nil"/>
              <w:bottom w:val="single" w:sz="8" w:space="0" w:color="000000"/>
              <w:right w:val="nil"/>
            </w:tcBorders>
            <w:tcMar>
              <w:top w:w="100" w:type="dxa"/>
              <w:left w:w="100" w:type="dxa"/>
              <w:bottom w:w="100" w:type="dxa"/>
              <w:right w:w="100" w:type="dxa"/>
            </w:tcMar>
          </w:tcPr>
          <w:p w14:paraId="3A93DA1E" w14:textId="77777777" w:rsidR="006D0435" w:rsidRDefault="00000000">
            <w:pPr>
              <w:spacing w:before="2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Challenge Domain</w:t>
            </w:r>
          </w:p>
        </w:tc>
        <w:tc>
          <w:tcPr>
            <w:tcW w:w="2565" w:type="dxa"/>
            <w:tcBorders>
              <w:top w:val="single" w:sz="8" w:space="0" w:color="000000"/>
              <w:left w:val="nil"/>
              <w:bottom w:val="single" w:sz="8" w:space="0" w:color="000000"/>
              <w:right w:val="nil"/>
            </w:tcBorders>
            <w:tcMar>
              <w:top w:w="100" w:type="dxa"/>
              <w:left w:w="100" w:type="dxa"/>
              <w:bottom w:w="100" w:type="dxa"/>
              <w:right w:w="100" w:type="dxa"/>
            </w:tcMar>
          </w:tcPr>
          <w:p w14:paraId="552394C7" w14:textId="77777777" w:rsidR="006D0435" w:rsidRDefault="00000000">
            <w:pPr>
              <w:spacing w:before="2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 Issue</w:t>
            </w:r>
          </w:p>
        </w:tc>
        <w:tc>
          <w:tcPr>
            <w:tcW w:w="2205" w:type="dxa"/>
            <w:tcBorders>
              <w:top w:val="single" w:sz="8" w:space="0" w:color="000000"/>
              <w:left w:val="nil"/>
              <w:bottom w:val="single" w:sz="8" w:space="0" w:color="000000"/>
              <w:right w:val="nil"/>
            </w:tcBorders>
            <w:tcMar>
              <w:top w:w="100" w:type="dxa"/>
              <w:left w:w="100" w:type="dxa"/>
              <w:bottom w:w="100" w:type="dxa"/>
              <w:right w:w="100" w:type="dxa"/>
            </w:tcMar>
          </w:tcPr>
          <w:p w14:paraId="510F7500" w14:textId="77777777" w:rsidR="006D0435" w:rsidRDefault="00000000">
            <w:pPr>
              <w:spacing w:before="2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Affected Areas</w:t>
            </w:r>
          </w:p>
        </w:tc>
        <w:tc>
          <w:tcPr>
            <w:tcW w:w="3735" w:type="dxa"/>
            <w:tcBorders>
              <w:top w:val="single" w:sz="8" w:space="0" w:color="000000"/>
              <w:left w:val="nil"/>
              <w:bottom w:val="single" w:sz="8" w:space="0" w:color="000000"/>
              <w:right w:val="nil"/>
            </w:tcBorders>
            <w:tcMar>
              <w:top w:w="100" w:type="dxa"/>
              <w:left w:w="100" w:type="dxa"/>
              <w:bottom w:w="100" w:type="dxa"/>
              <w:right w:w="100" w:type="dxa"/>
            </w:tcMar>
          </w:tcPr>
          <w:p w14:paraId="5908719E" w14:textId="77777777" w:rsidR="006D0435" w:rsidRDefault="00000000">
            <w:pPr>
              <w:spacing w:before="2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Trade-off</w:t>
            </w:r>
          </w:p>
        </w:tc>
      </w:tr>
      <w:tr w:rsidR="006D0435" w14:paraId="55CCA624" w14:textId="77777777">
        <w:trPr>
          <w:trHeight w:val="500"/>
        </w:trPr>
        <w:tc>
          <w:tcPr>
            <w:tcW w:w="2130" w:type="dxa"/>
            <w:tcBorders>
              <w:top w:val="single" w:sz="8" w:space="0" w:color="000000"/>
              <w:left w:val="nil"/>
              <w:bottom w:val="nil"/>
              <w:right w:val="nil"/>
            </w:tcBorders>
            <w:tcMar>
              <w:top w:w="100" w:type="dxa"/>
              <w:left w:w="100" w:type="dxa"/>
              <w:bottom w:w="100" w:type="dxa"/>
              <w:right w:w="100" w:type="dxa"/>
            </w:tcMar>
          </w:tcPr>
          <w:p w14:paraId="557B5971"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w:t>
            </w:r>
          </w:p>
        </w:tc>
        <w:tc>
          <w:tcPr>
            <w:tcW w:w="2565" w:type="dxa"/>
            <w:tcBorders>
              <w:top w:val="single" w:sz="8" w:space="0" w:color="000000"/>
              <w:left w:val="nil"/>
              <w:bottom w:val="nil"/>
              <w:right w:val="nil"/>
            </w:tcBorders>
            <w:tcMar>
              <w:top w:w="100" w:type="dxa"/>
              <w:left w:w="100" w:type="dxa"/>
              <w:bottom w:w="100" w:type="dxa"/>
              <w:right w:w="100" w:type="dxa"/>
            </w:tcMar>
          </w:tcPr>
          <w:p w14:paraId="78233770"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energy density</w:t>
            </w:r>
          </w:p>
        </w:tc>
        <w:tc>
          <w:tcPr>
            <w:tcW w:w="2205" w:type="dxa"/>
            <w:tcBorders>
              <w:top w:val="single" w:sz="8" w:space="0" w:color="000000"/>
              <w:left w:val="nil"/>
              <w:bottom w:val="nil"/>
              <w:right w:val="nil"/>
            </w:tcBorders>
            <w:tcMar>
              <w:top w:w="100" w:type="dxa"/>
              <w:left w:w="100" w:type="dxa"/>
              <w:bottom w:w="100" w:type="dxa"/>
              <w:right w:w="100" w:type="dxa"/>
            </w:tcMar>
          </w:tcPr>
          <w:p w14:paraId="7A12B966"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Safety, degradation</w:t>
            </w:r>
          </w:p>
        </w:tc>
        <w:tc>
          <w:tcPr>
            <w:tcW w:w="3735" w:type="dxa"/>
            <w:tcBorders>
              <w:top w:val="single" w:sz="8" w:space="0" w:color="000000"/>
              <w:left w:val="nil"/>
              <w:bottom w:val="nil"/>
              <w:right w:val="nil"/>
            </w:tcBorders>
            <w:tcMar>
              <w:top w:w="100" w:type="dxa"/>
              <w:left w:w="100" w:type="dxa"/>
              <w:bottom w:w="100" w:type="dxa"/>
              <w:right w:w="100" w:type="dxa"/>
            </w:tcMar>
          </w:tcPr>
          <w:p w14:paraId="3B5F65AE"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vs safety</w:t>
            </w:r>
          </w:p>
        </w:tc>
      </w:tr>
      <w:tr w:rsidR="006D0435" w14:paraId="54D60CEF" w14:textId="77777777">
        <w:trPr>
          <w:trHeight w:val="500"/>
        </w:trPr>
        <w:tc>
          <w:tcPr>
            <w:tcW w:w="2130" w:type="dxa"/>
            <w:tcBorders>
              <w:top w:val="nil"/>
              <w:left w:val="nil"/>
              <w:bottom w:val="nil"/>
              <w:right w:val="nil"/>
            </w:tcBorders>
            <w:tcMar>
              <w:top w:w="100" w:type="dxa"/>
              <w:left w:w="100" w:type="dxa"/>
              <w:bottom w:w="100" w:type="dxa"/>
              <w:right w:w="100" w:type="dxa"/>
            </w:tcMar>
          </w:tcPr>
          <w:p w14:paraId="270E9C6E"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Environmental</w:t>
            </w:r>
          </w:p>
        </w:tc>
        <w:tc>
          <w:tcPr>
            <w:tcW w:w="2565" w:type="dxa"/>
            <w:tcBorders>
              <w:top w:val="nil"/>
              <w:left w:val="nil"/>
              <w:bottom w:val="nil"/>
              <w:right w:val="nil"/>
            </w:tcBorders>
            <w:tcMar>
              <w:top w:w="100" w:type="dxa"/>
              <w:left w:w="100" w:type="dxa"/>
              <w:bottom w:w="100" w:type="dxa"/>
              <w:right w:w="100" w:type="dxa"/>
            </w:tcMar>
          </w:tcPr>
          <w:p w14:paraId="7693EA45"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Resource extraction</w:t>
            </w:r>
          </w:p>
        </w:tc>
        <w:tc>
          <w:tcPr>
            <w:tcW w:w="2205" w:type="dxa"/>
            <w:tcBorders>
              <w:top w:val="nil"/>
              <w:left w:val="nil"/>
              <w:bottom w:val="nil"/>
              <w:right w:val="nil"/>
            </w:tcBorders>
            <w:tcMar>
              <w:top w:w="100" w:type="dxa"/>
              <w:left w:w="100" w:type="dxa"/>
              <w:bottom w:w="100" w:type="dxa"/>
              <w:right w:w="100" w:type="dxa"/>
            </w:tcMar>
          </w:tcPr>
          <w:p w14:paraId="238F4FC1"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Sustainability, ethics</w:t>
            </w:r>
          </w:p>
        </w:tc>
        <w:tc>
          <w:tcPr>
            <w:tcW w:w="3735" w:type="dxa"/>
            <w:tcBorders>
              <w:top w:val="nil"/>
              <w:left w:val="nil"/>
              <w:bottom w:val="nil"/>
              <w:right w:val="nil"/>
            </w:tcBorders>
            <w:tcMar>
              <w:top w:w="100" w:type="dxa"/>
              <w:left w:w="100" w:type="dxa"/>
              <w:bottom w:w="100" w:type="dxa"/>
              <w:right w:w="100" w:type="dxa"/>
            </w:tcMar>
          </w:tcPr>
          <w:p w14:paraId="4BF36E2A"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Growth vs impact</w:t>
            </w:r>
          </w:p>
        </w:tc>
      </w:tr>
      <w:tr w:rsidR="006D0435" w14:paraId="73F801D4" w14:textId="77777777">
        <w:trPr>
          <w:trHeight w:val="500"/>
        </w:trPr>
        <w:tc>
          <w:tcPr>
            <w:tcW w:w="2130" w:type="dxa"/>
            <w:tcBorders>
              <w:top w:val="nil"/>
              <w:left w:val="nil"/>
              <w:bottom w:val="nil"/>
              <w:right w:val="nil"/>
            </w:tcBorders>
            <w:tcMar>
              <w:top w:w="100" w:type="dxa"/>
              <w:left w:w="100" w:type="dxa"/>
              <w:bottom w:w="100" w:type="dxa"/>
              <w:right w:w="100" w:type="dxa"/>
            </w:tcMar>
          </w:tcPr>
          <w:p w14:paraId="32BB1833"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Economic</w:t>
            </w:r>
          </w:p>
        </w:tc>
        <w:tc>
          <w:tcPr>
            <w:tcW w:w="2565" w:type="dxa"/>
            <w:tcBorders>
              <w:top w:val="nil"/>
              <w:left w:val="nil"/>
              <w:bottom w:val="nil"/>
              <w:right w:val="nil"/>
            </w:tcBorders>
            <w:tcMar>
              <w:top w:w="100" w:type="dxa"/>
              <w:left w:w="100" w:type="dxa"/>
              <w:bottom w:w="100" w:type="dxa"/>
              <w:right w:w="100" w:type="dxa"/>
            </w:tcMar>
          </w:tcPr>
          <w:p w14:paraId="4E9C1B2B"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cost</w:t>
            </w:r>
          </w:p>
        </w:tc>
        <w:tc>
          <w:tcPr>
            <w:tcW w:w="2205" w:type="dxa"/>
            <w:tcBorders>
              <w:top w:val="nil"/>
              <w:left w:val="nil"/>
              <w:bottom w:val="nil"/>
              <w:right w:val="nil"/>
            </w:tcBorders>
            <w:tcMar>
              <w:top w:w="100" w:type="dxa"/>
              <w:left w:w="100" w:type="dxa"/>
              <w:bottom w:w="100" w:type="dxa"/>
              <w:right w:w="100" w:type="dxa"/>
            </w:tcMar>
          </w:tcPr>
          <w:p w14:paraId="55CB14C4"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Market adoption</w:t>
            </w:r>
          </w:p>
        </w:tc>
        <w:tc>
          <w:tcPr>
            <w:tcW w:w="3735" w:type="dxa"/>
            <w:tcBorders>
              <w:top w:val="nil"/>
              <w:left w:val="nil"/>
              <w:bottom w:val="nil"/>
              <w:right w:val="nil"/>
            </w:tcBorders>
            <w:tcMar>
              <w:top w:w="100" w:type="dxa"/>
              <w:left w:w="100" w:type="dxa"/>
              <w:bottom w:w="100" w:type="dxa"/>
              <w:right w:w="100" w:type="dxa"/>
            </w:tcMar>
          </w:tcPr>
          <w:p w14:paraId="6AE87C5E"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Innovation vs affordability</w:t>
            </w:r>
          </w:p>
        </w:tc>
      </w:tr>
      <w:tr w:rsidR="006D0435" w14:paraId="73099480" w14:textId="77777777">
        <w:trPr>
          <w:trHeight w:val="500"/>
        </w:trPr>
        <w:tc>
          <w:tcPr>
            <w:tcW w:w="2130" w:type="dxa"/>
            <w:tcBorders>
              <w:top w:val="nil"/>
              <w:left w:val="nil"/>
              <w:bottom w:val="nil"/>
              <w:right w:val="nil"/>
            </w:tcBorders>
            <w:tcMar>
              <w:top w:w="100" w:type="dxa"/>
              <w:left w:w="100" w:type="dxa"/>
              <w:bottom w:w="100" w:type="dxa"/>
              <w:right w:w="100" w:type="dxa"/>
            </w:tcMar>
          </w:tcPr>
          <w:p w14:paraId="0C6B2093"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Supply Chain</w:t>
            </w:r>
          </w:p>
        </w:tc>
        <w:tc>
          <w:tcPr>
            <w:tcW w:w="2565" w:type="dxa"/>
            <w:tcBorders>
              <w:top w:val="nil"/>
              <w:left w:val="nil"/>
              <w:bottom w:val="nil"/>
              <w:right w:val="nil"/>
            </w:tcBorders>
            <w:tcMar>
              <w:top w:w="100" w:type="dxa"/>
              <w:left w:w="100" w:type="dxa"/>
              <w:bottom w:w="100" w:type="dxa"/>
              <w:right w:w="100" w:type="dxa"/>
            </w:tcMar>
          </w:tcPr>
          <w:p w14:paraId="04CD52F1"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Material concentration</w:t>
            </w:r>
          </w:p>
        </w:tc>
        <w:tc>
          <w:tcPr>
            <w:tcW w:w="2205" w:type="dxa"/>
            <w:tcBorders>
              <w:top w:val="nil"/>
              <w:left w:val="nil"/>
              <w:bottom w:val="nil"/>
              <w:right w:val="nil"/>
            </w:tcBorders>
            <w:tcMar>
              <w:top w:w="100" w:type="dxa"/>
              <w:left w:w="100" w:type="dxa"/>
              <w:bottom w:w="100" w:type="dxa"/>
              <w:right w:w="100" w:type="dxa"/>
            </w:tcMar>
          </w:tcPr>
          <w:p w14:paraId="53F3891E"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Production stability</w:t>
            </w:r>
          </w:p>
        </w:tc>
        <w:tc>
          <w:tcPr>
            <w:tcW w:w="3735" w:type="dxa"/>
            <w:tcBorders>
              <w:top w:val="nil"/>
              <w:left w:val="nil"/>
              <w:bottom w:val="nil"/>
              <w:right w:val="nil"/>
            </w:tcBorders>
            <w:tcMar>
              <w:top w:w="100" w:type="dxa"/>
              <w:left w:w="100" w:type="dxa"/>
              <w:bottom w:w="100" w:type="dxa"/>
              <w:right w:w="100" w:type="dxa"/>
            </w:tcMar>
          </w:tcPr>
          <w:p w14:paraId="40E02C20"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Efficiency vs dependency</w:t>
            </w:r>
          </w:p>
        </w:tc>
      </w:tr>
      <w:tr w:rsidR="006D0435" w14:paraId="7BECED8F" w14:textId="77777777">
        <w:trPr>
          <w:trHeight w:val="500"/>
        </w:trPr>
        <w:tc>
          <w:tcPr>
            <w:tcW w:w="2130" w:type="dxa"/>
            <w:tcBorders>
              <w:top w:val="nil"/>
              <w:left w:val="nil"/>
              <w:bottom w:val="single" w:sz="8" w:space="0" w:color="000000"/>
              <w:right w:val="nil"/>
            </w:tcBorders>
            <w:tcMar>
              <w:top w:w="100" w:type="dxa"/>
              <w:left w:w="100" w:type="dxa"/>
              <w:bottom w:w="100" w:type="dxa"/>
              <w:right w:w="100" w:type="dxa"/>
            </w:tcMar>
          </w:tcPr>
          <w:p w14:paraId="5192DA46"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Policy</w:t>
            </w:r>
          </w:p>
        </w:tc>
        <w:tc>
          <w:tcPr>
            <w:tcW w:w="2565" w:type="dxa"/>
            <w:tcBorders>
              <w:top w:val="nil"/>
              <w:left w:val="nil"/>
              <w:bottom w:val="single" w:sz="8" w:space="0" w:color="000000"/>
              <w:right w:val="nil"/>
            </w:tcBorders>
            <w:tcMar>
              <w:top w:w="100" w:type="dxa"/>
              <w:left w:w="100" w:type="dxa"/>
              <w:bottom w:w="100" w:type="dxa"/>
              <w:right w:w="100" w:type="dxa"/>
            </w:tcMar>
          </w:tcPr>
          <w:p w14:paraId="09CC9F4D"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Regulation &amp; incentives</w:t>
            </w:r>
          </w:p>
        </w:tc>
        <w:tc>
          <w:tcPr>
            <w:tcW w:w="2205" w:type="dxa"/>
            <w:tcBorders>
              <w:top w:val="nil"/>
              <w:left w:val="nil"/>
              <w:bottom w:val="single" w:sz="8" w:space="0" w:color="000000"/>
              <w:right w:val="nil"/>
            </w:tcBorders>
            <w:tcMar>
              <w:top w:w="100" w:type="dxa"/>
              <w:left w:w="100" w:type="dxa"/>
              <w:bottom w:w="100" w:type="dxa"/>
              <w:right w:w="100" w:type="dxa"/>
            </w:tcMar>
          </w:tcPr>
          <w:p w14:paraId="0A0807B8"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Market growth</w:t>
            </w:r>
          </w:p>
        </w:tc>
        <w:tc>
          <w:tcPr>
            <w:tcW w:w="3735" w:type="dxa"/>
            <w:tcBorders>
              <w:top w:val="nil"/>
              <w:left w:val="nil"/>
              <w:bottom w:val="single" w:sz="8" w:space="0" w:color="000000"/>
              <w:right w:val="nil"/>
            </w:tcBorders>
            <w:tcMar>
              <w:top w:w="100" w:type="dxa"/>
              <w:left w:w="100" w:type="dxa"/>
              <w:bottom w:w="100" w:type="dxa"/>
              <w:right w:w="100" w:type="dxa"/>
            </w:tcMar>
          </w:tcPr>
          <w:p w14:paraId="711CE0E7" w14:textId="77777777" w:rsidR="006D0435" w:rsidRDefault="00000000">
            <w:pPr>
              <w:spacing w:before="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Control vs flexibility</w:t>
            </w:r>
          </w:p>
        </w:tc>
      </w:tr>
    </w:tbl>
    <w:p w14:paraId="4B6279AA" w14:textId="77777777" w:rsidR="006D0435" w:rsidRDefault="006D0435">
      <w:pPr>
        <w:spacing w:line="360" w:lineRule="auto"/>
        <w:rPr>
          <w:rFonts w:ascii="Times New Roman" w:eastAsia="Times New Roman" w:hAnsi="Times New Roman" w:cs="Times New Roman"/>
          <w:i/>
          <w:iCs/>
          <w:sz w:val="20"/>
          <w:szCs w:val="20"/>
        </w:rPr>
      </w:pPr>
    </w:p>
    <w:p w14:paraId="1BE24C32"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10.2 Conclusion</w:t>
      </w:r>
    </w:p>
    <w:p w14:paraId="5391E10C"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review has shown that BEVs, PHEVs, and HEVs represent a continuum of electrified mobility solutions rather than competing end states. BEVs offer the largest pathway for direct tailpipe‑emissions elimination, but their performance and acceptance depend strongly on battery capability and accessible charging networks. HEVs and PHEVs provide transitional value in markets where charging coverage is limited or where specific duty cycles (highway‑dominant use, cold climates, or long‑distance travel) make full electrification more </w:t>
      </w:r>
      <w:r>
        <w:rPr>
          <w:rFonts w:ascii="Times New Roman" w:eastAsia="Times New Roman" w:hAnsi="Times New Roman" w:cs="Times New Roman"/>
          <w:color w:val="000000"/>
          <w:sz w:val="24"/>
          <w:szCs w:val="24"/>
        </w:rPr>
        <w:lastRenderedPageBreak/>
        <w:t>challenging in the near term. Across this spectrum, powertrain architecture choices (series, parallel, power‑split, and multi‑mode) can be understood as trade‑offs between mechanical complexity, efficiency across real‑world drive cycles, and control requirements.</w:t>
      </w:r>
    </w:p>
    <w:p w14:paraId="1E735CC2"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 the component level, progress in batteries, motors, and power electronics is enabling higher efficiency and power density, but the most important advances occur when these subsystems are engineered together. Batteries cannot be evaluated only by headline energy density; real‑world performance is constrained by thermal behavior, fast‑charge limits, aging trajectories, and safety margins. Likewise, the benefits of high‑efficiency machines and modern inverters are realized most fully when paired with optimized voltage architectures, robust thermal design, and control strategies that balance performance against lifetime. Charging infrastructure closes the loop between vehicles and the energy system: deployment scale, reliability, interoperability, and smart‑charging capability determine whether electrified mobility is convenient and equitable, and whether grid impacts are manageable.</w:t>
      </w:r>
    </w:p>
    <w:p w14:paraId="4ABA3852"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Economics and policy are therefore inseparable from the engineering roadmap. Total cost of ownership improves as battery costs decline, energy efficiency rises, and maintenance needs fall, but market growth is highly sensitive to how incentives, mandates, infrastructure obligations, and industrial policies are combined and enforced. The strongest long‑run outcomes will come from integrated strategies that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accelerate clean electricity and managed charging, (ii) strengthen safety and cybersecurity governance, (iii) reduce supply‑chain risk through recycling and sustainable sourcing, and (iv) protect equity by ensuring that charging access and financial benefits are reachable for a broad set of users. In summary, the transition to electrified transport is best understood as a coordinated socio‑technical system change: sustained adoption will require concurrent advances in materials and manufacturing, battery intelligence and thermal safety, grid‑aware infrastructure, and coherent regulation that aligns climate objectives with affordability and public trust.</w:t>
      </w:r>
    </w:p>
    <w:p w14:paraId="650F8451" w14:textId="77777777" w:rsidR="006D0435" w:rsidRDefault="00000000">
      <w:pPr>
        <w:spacing w:after="0" w:line="360" w:lineRule="auto"/>
        <w:ind w:right="16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u w:val="single"/>
        </w:rPr>
        <w:t>References:</w:t>
      </w:r>
    </w:p>
    <w:p w14:paraId="1F541229"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S. Aggarwal and A. K. Singh, “Electric vehicles the future of transportation sector: a review,” Energy Sources, Part A: Recovery, Utilization, and Environmental Effects, vol. 47, no. 1, pp. 11126–11146, Jun. 2025,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10.1080/15567036.2021.1976322. </w:t>
      </w:r>
    </w:p>
    <w:p w14:paraId="77497699"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I. Kusuma, </w:t>
      </w:r>
      <w:proofErr w:type="spellStart"/>
      <w:r>
        <w:rPr>
          <w:rFonts w:ascii="Times New Roman" w:eastAsia="Times New Roman" w:hAnsi="Times New Roman" w:cs="Times New Roman"/>
          <w:color w:val="000000"/>
          <w:sz w:val="24"/>
          <w:szCs w:val="24"/>
        </w:rPr>
        <w:t>Ruliyanta</w:t>
      </w:r>
      <w:proofErr w:type="spellEnd"/>
      <w:r>
        <w:rPr>
          <w:rFonts w:ascii="Times New Roman" w:eastAsia="Times New Roman" w:hAnsi="Times New Roman" w:cs="Times New Roman"/>
          <w:color w:val="000000"/>
          <w:sz w:val="24"/>
          <w:szCs w:val="24"/>
        </w:rPr>
        <w:t xml:space="preserve">, R. A. S. </w:t>
      </w:r>
      <w:proofErr w:type="spellStart"/>
      <w:r>
        <w:rPr>
          <w:rFonts w:ascii="Times New Roman" w:eastAsia="Times New Roman" w:hAnsi="Times New Roman" w:cs="Times New Roman"/>
          <w:color w:val="000000"/>
          <w:sz w:val="24"/>
          <w:szCs w:val="24"/>
        </w:rPr>
        <w:t>Kusumoputro</w:t>
      </w:r>
      <w:proofErr w:type="spellEnd"/>
      <w:r>
        <w:rPr>
          <w:rFonts w:ascii="Times New Roman" w:eastAsia="Times New Roman" w:hAnsi="Times New Roman" w:cs="Times New Roman"/>
          <w:color w:val="000000"/>
          <w:sz w:val="24"/>
          <w:szCs w:val="24"/>
        </w:rPr>
        <w:t xml:space="preserve">, and A. </w:t>
      </w:r>
      <w:proofErr w:type="spellStart"/>
      <w:r>
        <w:rPr>
          <w:rFonts w:ascii="Times New Roman" w:eastAsia="Times New Roman" w:hAnsi="Times New Roman" w:cs="Times New Roman"/>
          <w:color w:val="000000"/>
          <w:sz w:val="24"/>
          <w:szCs w:val="24"/>
        </w:rPr>
        <w:t>Iswadi</w:t>
      </w:r>
      <w:proofErr w:type="spellEnd"/>
      <w:r>
        <w:rPr>
          <w:rFonts w:ascii="Times New Roman" w:eastAsia="Times New Roman" w:hAnsi="Times New Roman" w:cs="Times New Roman"/>
          <w:color w:val="000000"/>
          <w:sz w:val="24"/>
          <w:szCs w:val="24"/>
        </w:rPr>
        <w:t xml:space="preserve">, “Electric Vehicle Review: BEV, PHEV, HEV, or </w:t>
      </w:r>
      <w:proofErr w:type="gramStart"/>
      <w:r>
        <w:rPr>
          <w:rFonts w:ascii="Times New Roman" w:eastAsia="Times New Roman" w:hAnsi="Times New Roman" w:cs="Times New Roman"/>
          <w:color w:val="000000"/>
          <w:sz w:val="24"/>
          <w:szCs w:val="24"/>
        </w:rPr>
        <w:t>FCEV?,</w:t>
      </w:r>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Jurnal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Konversi</w:t>
      </w:r>
      <w:proofErr w:type="spellEnd"/>
      <w:r>
        <w:rPr>
          <w:rFonts w:ascii="Times New Roman" w:eastAsia="Times New Roman" w:hAnsi="Times New Roman" w:cs="Times New Roman"/>
          <w:color w:val="000000"/>
          <w:sz w:val="24"/>
          <w:szCs w:val="24"/>
        </w:rPr>
        <w:t xml:space="preserve"> Energi dan </w:t>
      </w:r>
      <w:proofErr w:type="spellStart"/>
      <w:r>
        <w:rPr>
          <w:rFonts w:ascii="Times New Roman" w:eastAsia="Times New Roman" w:hAnsi="Times New Roman" w:cs="Times New Roman"/>
          <w:color w:val="000000"/>
          <w:sz w:val="24"/>
          <w:szCs w:val="24"/>
        </w:rPr>
        <w:t>Manufaktur</w:t>
      </w:r>
      <w:proofErr w:type="spellEnd"/>
      <w:r>
        <w:rPr>
          <w:rFonts w:ascii="Times New Roman" w:eastAsia="Times New Roman" w:hAnsi="Times New Roman" w:cs="Times New Roman"/>
          <w:color w:val="000000"/>
          <w:sz w:val="24"/>
          <w:szCs w:val="24"/>
        </w:rPr>
        <w:t xml:space="preserve">, pp. 70–83, Jan. 2025,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10.21009/JKEM.10.1.8. </w:t>
      </w:r>
    </w:p>
    <w:p w14:paraId="5857C544"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A. A. Ghani, N. Abdullah, K. B, R. </w:t>
      </w:r>
      <w:proofErr w:type="spellStart"/>
      <w:r>
        <w:rPr>
          <w:rFonts w:ascii="Times New Roman" w:eastAsia="Times New Roman" w:hAnsi="Times New Roman" w:cs="Times New Roman"/>
          <w:color w:val="000000"/>
          <w:sz w:val="24"/>
          <w:szCs w:val="24"/>
        </w:rPr>
        <w:t>Saidur</w:t>
      </w:r>
      <w:proofErr w:type="spellEnd"/>
      <w:r>
        <w:rPr>
          <w:rFonts w:ascii="Times New Roman" w:eastAsia="Times New Roman" w:hAnsi="Times New Roman" w:cs="Times New Roman"/>
          <w:color w:val="000000"/>
          <w:sz w:val="24"/>
          <w:szCs w:val="24"/>
        </w:rPr>
        <w:t>, and A. K. Pandey, “Assessing technological-driven challenges and policies associated with electric vehicle (EV) adoption,” Transp. Policy (</w:t>
      </w:r>
      <w:proofErr w:type="spellStart"/>
      <w:r>
        <w:rPr>
          <w:rFonts w:ascii="Times New Roman" w:eastAsia="Times New Roman" w:hAnsi="Times New Roman" w:cs="Times New Roman"/>
          <w:color w:val="000000"/>
          <w:sz w:val="24"/>
          <w:szCs w:val="24"/>
        </w:rPr>
        <w:t>Oxf</w:t>
      </w:r>
      <w:proofErr w:type="spellEnd"/>
      <w:r>
        <w:rPr>
          <w:rFonts w:ascii="Times New Roman" w:eastAsia="Times New Roman" w:hAnsi="Times New Roman" w:cs="Times New Roman"/>
          <w:color w:val="000000"/>
          <w:sz w:val="24"/>
          <w:szCs w:val="24"/>
        </w:rPr>
        <w:t xml:space="preserve">)., vol. 169, pp. 167–177, Aug. 2025,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10.1016/j.tranpol.2025.04.030. </w:t>
      </w:r>
    </w:p>
    <w:p w14:paraId="3A379AF2"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​[4] S. </w:t>
      </w:r>
      <w:proofErr w:type="spellStart"/>
      <w:r>
        <w:rPr>
          <w:rFonts w:ascii="Times New Roman" w:eastAsia="Times New Roman" w:hAnsi="Times New Roman" w:cs="Times New Roman"/>
          <w:color w:val="000000"/>
          <w:sz w:val="24"/>
          <w:szCs w:val="24"/>
        </w:rPr>
        <w:t>Slouma</w:t>
      </w:r>
      <w:proofErr w:type="spellEnd"/>
      <w:r>
        <w:rPr>
          <w:rFonts w:ascii="Times New Roman" w:eastAsia="Times New Roman" w:hAnsi="Times New Roman" w:cs="Times New Roman"/>
          <w:color w:val="000000"/>
          <w:sz w:val="24"/>
          <w:szCs w:val="24"/>
        </w:rPr>
        <w:t xml:space="preserve">, M. Ben Said, and S. Skander, “Current State, Challenges, Recommendations and Prospects of Machine Learning Application in Fuel Cell Based Hybrid Electric Cars: A Comprehensive Overview,” Journal of Sustainable Development of Energy, Water and Environment Systems, vol. N/A, no. N/A, pp. 0–0, Dec. 2025,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10.13044/j.sdewes.d13.0641. </w:t>
      </w:r>
    </w:p>
    <w:p w14:paraId="023FF635"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F. Jung, M. Schröder, and M. Timme, “Exponential adoption of battery electric cars,” </w:t>
      </w:r>
      <w:proofErr w:type="spellStart"/>
      <w:r>
        <w:rPr>
          <w:rFonts w:ascii="Times New Roman" w:eastAsia="Times New Roman" w:hAnsi="Times New Roman" w:cs="Times New Roman"/>
          <w:color w:val="000000"/>
          <w:sz w:val="24"/>
          <w:szCs w:val="24"/>
        </w:rPr>
        <w:t>PLoS</w:t>
      </w:r>
      <w:proofErr w:type="spellEnd"/>
      <w:r>
        <w:rPr>
          <w:rFonts w:ascii="Times New Roman" w:eastAsia="Times New Roman" w:hAnsi="Times New Roman" w:cs="Times New Roman"/>
          <w:color w:val="000000"/>
          <w:sz w:val="24"/>
          <w:szCs w:val="24"/>
        </w:rPr>
        <w:t xml:space="preserve"> One, vol. 18, no. 12, p. e0295692, Dec. 2023,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10.1371/journal.pone.0295692. </w:t>
      </w:r>
    </w:p>
    <w:p w14:paraId="6AD4FCE2"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N. P. Hariram, A. </w:t>
      </w:r>
      <w:proofErr w:type="spellStart"/>
      <w:r>
        <w:rPr>
          <w:rFonts w:ascii="Times New Roman" w:eastAsia="Times New Roman" w:hAnsi="Times New Roman" w:cs="Times New Roman"/>
          <w:color w:val="000000"/>
          <w:sz w:val="24"/>
          <w:szCs w:val="24"/>
        </w:rPr>
        <w:t>Megalingam</w:t>
      </w:r>
      <w:proofErr w:type="spellEnd"/>
      <w:r>
        <w:rPr>
          <w:rFonts w:ascii="Times New Roman" w:eastAsia="Times New Roman" w:hAnsi="Times New Roman" w:cs="Times New Roman"/>
          <w:color w:val="000000"/>
          <w:sz w:val="24"/>
          <w:szCs w:val="24"/>
        </w:rPr>
        <w:t xml:space="preserve">, and K. Sudhakar, “Flying cars and hyperloops: A glimpse into the future sustainable vehicles,” Sustainable Energy Technologies and Assessments, vol. 75, p. 104196, Mar. 2025,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10.1016/j.seta.2025.104196. </w:t>
      </w:r>
    </w:p>
    <w:p w14:paraId="07F65BB3"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Z. Chen, H. Gu, S. Shen, and J. Shen, “Energy management strategy for power-split plug-in hybrid electric vehicle based on MPC and double Q-learning,” Energy, vol. 245, p. 123182, Apr. 2022,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10.1016/j.energy.2022.123182. </w:t>
      </w:r>
    </w:p>
    <w:p w14:paraId="1128944F"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M. S. Koroma et al., “Life cycle assessment of battery electric vehicles: Implications of future electricity mix and different battery end-of-life management,” Science of The Total Environment, vol. 831, p. 154859, Jul. 2022,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10.1016/j.scitotenv.2022.154859. </w:t>
      </w:r>
    </w:p>
    <w:p w14:paraId="5CCE499A"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M. S. </w:t>
      </w:r>
      <w:proofErr w:type="spellStart"/>
      <w:r>
        <w:rPr>
          <w:rFonts w:ascii="Times New Roman" w:eastAsia="Times New Roman" w:hAnsi="Times New Roman" w:cs="Times New Roman"/>
          <w:color w:val="000000"/>
          <w:sz w:val="24"/>
          <w:szCs w:val="24"/>
        </w:rPr>
        <w:t>Mastoi</w:t>
      </w:r>
      <w:proofErr w:type="spellEnd"/>
      <w:r>
        <w:rPr>
          <w:rFonts w:ascii="Times New Roman" w:eastAsia="Times New Roman" w:hAnsi="Times New Roman" w:cs="Times New Roman"/>
          <w:color w:val="000000"/>
          <w:sz w:val="24"/>
          <w:szCs w:val="24"/>
        </w:rPr>
        <w:t xml:space="preserve"> et al., “An in-depth analysis of electric vehicle charging station infrastructure, policy implications, and future trends,” Energy Reports, vol. 8, pp. 11504–11529, Nov. 2022,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10.1016/j.egyr.2022.09.011. </w:t>
      </w:r>
    </w:p>
    <w:p w14:paraId="70EA8DE8"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X. Li, Y. Liu, Y. Qu, L. Ding, and X. Yan, “Effect of electric vehicles and renewable electricity on future life cycle air emissions from China’s road transport fleet,” Energy, vol. 318, p. 134969, Mar. 2025,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10.1016/j.energy.2025.134969. </w:t>
      </w:r>
    </w:p>
    <w:p w14:paraId="7152EBDF"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O. Sadeghian, A. </w:t>
      </w:r>
      <w:proofErr w:type="spellStart"/>
      <w:r>
        <w:rPr>
          <w:rFonts w:ascii="Times New Roman" w:eastAsia="Times New Roman" w:hAnsi="Times New Roman" w:cs="Times New Roman"/>
          <w:color w:val="000000"/>
          <w:sz w:val="24"/>
          <w:szCs w:val="24"/>
        </w:rPr>
        <w:t>Oshnoei</w:t>
      </w:r>
      <w:proofErr w:type="spellEnd"/>
      <w:r>
        <w:rPr>
          <w:rFonts w:ascii="Times New Roman" w:eastAsia="Times New Roman" w:hAnsi="Times New Roman" w:cs="Times New Roman"/>
          <w:color w:val="000000"/>
          <w:sz w:val="24"/>
          <w:szCs w:val="24"/>
        </w:rPr>
        <w:t>, B. Mohammadi-</w:t>
      </w:r>
      <w:proofErr w:type="spellStart"/>
      <w:r>
        <w:rPr>
          <w:rFonts w:ascii="Times New Roman" w:eastAsia="Times New Roman" w:hAnsi="Times New Roman" w:cs="Times New Roman"/>
          <w:color w:val="000000"/>
          <w:sz w:val="24"/>
          <w:szCs w:val="24"/>
        </w:rPr>
        <w:t>ivatloo</w:t>
      </w:r>
      <w:proofErr w:type="spellEnd"/>
      <w:r>
        <w:rPr>
          <w:rFonts w:ascii="Times New Roman" w:eastAsia="Times New Roman" w:hAnsi="Times New Roman" w:cs="Times New Roman"/>
          <w:color w:val="000000"/>
          <w:sz w:val="24"/>
          <w:szCs w:val="24"/>
        </w:rPr>
        <w:t xml:space="preserve">, V. </w:t>
      </w:r>
      <w:proofErr w:type="spellStart"/>
      <w:r>
        <w:rPr>
          <w:rFonts w:ascii="Times New Roman" w:eastAsia="Times New Roman" w:hAnsi="Times New Roman" w:cs="Times New Roman"/>
          <w:color w:val="000000"/>
          <w:sz w:val="24"/>
          <w:szCs w:val="24"/>
        </w:rPr>
        <w:t>Vahidinasab</w:t>
      </w:r>
      <w:proofErr w:type="spellEnd"/>
      <w:r>
        <w:rPr>
          <w:rFonts w:ascii="Times New Roman" w:eastAsia="Times New Roman" w:hAnsi="Times New Roman" w:cs="Times New Roman"/>
          <w:color w:val="000000"/>
          <w:sz w:val="24"/>
          <w:szCs w:val="24"/>
        </w:rPr>
        <w:t xml:space="preserve">, and A. Anvari-Moghaddam, “A comprehensive review on electric vehicles smart charging: Solutions, strategies, technologies, and challenges,” J. Energy Storage, vol. 54, p. 105241, Oct. 2022,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10.1016/j.est.2022.105241. </w:t>
      </w:r>
    </w:p>
    <w:p w14:paraId="152FCE1D"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Md. R. H. </w:t>
      </w:r>
      <w:proofErr w:type="spellStart"/>
      <w:r>
        <w:rPr>
          <w:rFonts w:ascii="Times New Roman" w:eastAsia="Times New Roman" w:hAnsi="Times New Roman" w:cs="Times New Roman"/>
          <w:color w:val="000000"/>
          <w:sz w:val="24"/>
          <w:szCs w:val="24"/>
        </w:rPr>
        <w:t>Mojumder</w:t>
      </w:r>
      <w:proofErr w:type="spellEnd"/>
      <w:r>
        <w:rPr>
          <w:rFonts w:ascii="Times New Roman" w:eastAsia="Times New Roman" w:hAnsi="Times New Roman" w:cs="Times New Roman"/>
          <w:color w:val="000000"/>
          <w:sz w:val="24"/>
          <w:szCs w:val="24"/>
        </w:rPr>
        <w:t xml:space="preserve">, F. Ahmed Antara, Md. </w:t>
      </w:r>
      <w:proofErr w:type="spellStart"/>
      <w:r>
        <w:rPr>
          <w:rFonts w:ascii="Times New Roman" w:eastAsia="Times New Roman" w:hAnsi="Times New Roman" w:cs="Times New Roman"/>
          <w:color w:val="000000"/>
          <w:sz w:val="24"/>
          <w:szCs w:val="24"/>
        </w:rPr>
        <w:t>Hasanuzzaman</w:t>
      </w:r>
      <w:proofErr w:type="spellEnd"/>
      <w:r>
        <w:rPr>
          <w:rFonts w:ascii="Times New Roman" w:eastAsia="Times New Roman" w:hAnsi="Times New Roman" w:cs="Times New Roman"/>
          <w:color w:val="000000"/>
          <w:sz w:val="24"/>
          <w:szCs w:val="24"/>
        </w:rPr>
        <w:t xml:space="preserve">, B. Alamri, and M. </w:t>
      </w:r>
      <w:proofErr w:type="spellStart"/>
      <w:r>
        <w:rPr>
          <w:rFonts w:ascii="Times New Roman" w:eastAsia="Times New Roman" w:hAnsi="Times New Roman" w:cs="Times New Roman"/>
          <w:color w:val="000000"/>
          <w:sz w:val="24"/>
          <w:szCs w:val="24"/>
        </w:rPr>
        <w:t>Alsharef</w:t>
      </w:r>
      <w:proofErr w:type="spellEnd"/>
      <w:r>
        <w:rPr>
          <w:rFonts w:ascii="Times New Roman" w:eastAsia="Times New Roman" w:hAnsi="Times New Roman" w:cs="Times New Roman"/>
          <w:color w:val="000000"/>
          <w:sz w:val="24"/>
          <w:szCs w:val="24"/>
        </w:rPr>
        <w:t xml:space="preserve">, “Electric Vehicle-to-Grid (V2G) Technologies: Impact on the Power Grid and Battery,” Sustainability, vol. 14, no. 21, p. 13856, Oct. 2022,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10.3390/su142113856. </w:t>
      </w:r>
    </w:p>
    <w:p w14:paraId="6602EB00"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​[13] K. Gholami, S. Karimi, and A. Rastgou, “Fuzzy risk-based framework for scheduling of energy storage systems in photovoltaic-rich networks,” J. Energy Storage, vol. 52, p. 104902, Aug. 2022,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10.1016/j.est.2022.104902. </w:t>
      </w:r>
    </w:p>
    <w:p w14:paraId="18FE4F3F"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​[14] D. Menchaca Santos, P. </w:t>
      </w:r>
      <w:proofErr w:type="spellStart"/>
      <w:r>
        <w:rPr>
          <w:rFonts w:ascii="Times New Roman" w:eastAsia="Times New Roman" w:hAnsi="Times New Roman" w:cs="Times New Roman"/>
          <w:color w:val="000000"/>
          <w:sz w:val="24"/>
          <w:szCs w:val="24"/>
        </w:rPr>
        <w:t>Thüne</w:t>
      </w:r>
      <w:proofErr w:type="spellEnd"/>
      <w:r>
        <w:rPr>
          <w:rFonts w:ascii="Times New Roman" w:eastAsia="Times New Roman" w:hAnsi="Times New Roman" w:cs="Times New Roman"/>
          <w:color w:val="000000"/>
          <w:sz w:val="24"/>
          <w:szCs w:val="24"/>
        </w:rPr>
        <w:t xml:space="preserve">, J. M. </w:t>
      </w:r>
      <w:proofErr w:type="spellStart"/>
      <w:r>
        <w:rPr>
          <w:rFonts w:ascii="Times New Roman" w:eastAsia="Times New Roman" w:hAnsi="Times New Roman" w:cs="Times New Roman"/>
          <w:color w:val="000000"/>
          <w:sz w:val="24"/>
          <w:szCs w:val="24"/>
        </w:rPr>
        <w:t>Zepter</w:t>
      </w:r>
      <w:proofErr w:type="spellEnd"/>
      <w:r>
        <w:rPr>
          <w:rFonts w:ascii="Times New Roman" w:eastAsia="Times New Roman" w:hAnsi="Times New Roman" w:cs="Times New Roman"/>
          <w:color w:val="000000"/>
          <w:sz w:val="24"/>
          <w:szCs w:val="24"/>
        </w:rPr>
        <w:t xml:space="preserve">, and M. Marinelli, “Business cases for degradation-aware bidirectional charging of residential users and heavy-duty vehicle fleets,” </w:t>
      </w:r>
      <w:proofErr w:type="spellStart"/>
      <w:r>
        <w:rPr>
          <w:rFonts w:ascii="Times New Roman" w:eastAsia="Times New Roman" w:hAnsi="Times New Roman" w:cs="Times New Roman"/>
          <w:color w:val="000000"/>
          <w:sz w:val="24"/>
          <w:szCs w:val="24"/>
        </w:rPr>
        <w:t>eTransportation</w:t>
      </w:r>
      <w:proofErr w:type="spellEnd"/>
      <w:r>
        <w:rPr>
          <w:rFonts w:ascii="Times New Roman" w:eastAsia="Times New Roman" w:hAnsi="Times New Roman" w:cs="Times New Roman"/>
          <w:color w:val="000000"/>
          <w:sz w:val="24"/>
          <w:szCs w:val="24"/>
        </w:rPr>
        <w:t xml:space="preserve">, vol. 23, p. 100389, Jan. 2025,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10.1016/j.etran.2024.100389. </w:t>
      </w:r>
    </w:p>
    <w:p w14:paraId="6F32DB1B"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 K. Balu and V. Mukherjee, “Optimal allocation of electric vehicle charging stations and renewable distributed generation with battery energy storage in radial distribution system considering time sequence characteristics of generation and load demand,” J. Energy Storage, vol. 59, p. 106533, Mar. 2023,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10.1016/j.est.2022.106533. </w:t>
      </w:r>
    </w:p>
    <w:p w14:paraId="0D0C95FE"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proofErr w:type="gramStart"/>
      <w:r>
        <w:rPr>
          <w:rFonts w:ascii="Times New Roman" w:eastAsia="Times New Roman" w:hAnsi="Times New Roman" w:cs="Times New Roman"/>
          <w:color w:val="000000"/>
          <w:sz w:val="24"/>
          <w:szCs w:val="24"/>
        </w:rPr>
        <w:t>]  N.</w:t>
      </w:r>
      <w:proofErr w:type="gramEnd"/>
      <w:r>
        <w:rPr>
          <w:rFonts w:ascii="Times New Roman" w:eastAsia="Times New Roman" w:hAnsi="Times New Roman" w:cs="Times New Roman"/>
          <w:color w:val="000000"/>
          <w:sz w:val="24"/>
          <w:szCs w:val="24"/>
        </w:rPr>
        <w:t xml:space="preserve"> Uribe-Pérez et al., “Communications and Data Science for the Success of Vehicle-to-Grid Technologies: Current State and Future Trends,” Electronics (Basel)., vol. 13, no. 10, p. 1940, May 2024,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10.3390/electronics13101940. </w:t>
      </w:r>
    </w:p>
    <w:p w14:paraId="36E2FC6D"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​[17] Z. Xing et al., “AGV charging scheduling with capacitated charging stations at automated ports,” Transp. Res. E </w:t>
      </w:r>
      <w:proofErr w:type="spellStart"/>
      <w:r>
        <w:rPr>
          <w:rFonts w:ascii="Times New Roman" w:eastAsia="Times New Roman" w:hAnsi="Times New Roman" w:cs="Times New Roman"/>
          <w:color w:val="000000"/>
          <w:sz w:val="24"/>
          <w:szCs w:val="24"/>
        </w:rPr>
        <w:t>Logist</w:t>
      </w:r>
      <w:proofErr w:type="spellEnd"/>
      <w:r>
        <w:rPr>
          <w:rFonts w:ascii="Times New Roman" w:eastAsia="Times New Roman" w:hAnsi="Times New Roman" w:cs="Times New Roman"/>
          <w:color w:val="000000"/>
          <w:sz w:val="24"/>
          <w:szCs w:val="24"/>
        </w:rPr>
        <w:t xml:space="preserve">. Transp. Rev., vol. 197, p. 104080, May 2025,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10.1016/j.tre.2025.104080. </w:t>
      </w:r>
    </w:p>
    <w:p w14:paraId="3CFAC28E"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​[18] Dr. V. B. Kumar, “Advancing Sustainable Transport: A Comparative Review of Battery and Fuel Cell Electric Vehicles in Automotive Industry,” Jan. 2026.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10.4271/2026-26-0164. </w:t>
      </w:r>
    </w:p>
    <w:p w14:paraId="7B069D12"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​[19] K. Gholami, S. Karimi, and A. Rastgou, “Fuzzy risk-based framework for scheduling of energy storage systems in photovoltaic-rich networks,” J. Energy Storage, vol. 52, p. 104902, Aug. 2022,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10.1016/j.est.2022.104902. </w:t>
      </w:r>
    </w:p>
    <w:p w14:paraId="47C4B36D"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 F. Gunes and M. A. Zehir, “Development of a Vehicle-to-Grid (V2G) Energy Management System to Mitigate Local Operational Challenges in Low Voltage Distribution Networks with Photovoltaics,” in 2022 4th Global Power, Energy and Communication Conference (GPECOM), IEEE, Jun. 2022, pp. 389–394.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10.1109/GPECOM55404.2022.9815823. </w:t>
      </w:r>
    </w:p>
    <w:p w14:paraId="6024280C"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​[21] N. Uribe-Pérez et al., “Communications and Data Science for the Success of Vehicle-to-Grid Technologies: Current State and Future Trends,” Electronics (Basel)., vol. 13, no. 10, p. 1940, May 2024,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10.3390/electronics13101940. </w:t>
      </w:r>
    </w:p>
    <w:p w14:paraId="66215130" w14:textId="77777777" w:rsidR="006D0435" w:rsidRDefault="00000000">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​[22] A. A. Ghani, N. Abdullah, K. B, R. </w:t>
      </w:r>
      <w:proofErr w:type="spellStart"/>
      <w:r>
        <w:rPr>
          <w:rFonts w:ascii="Times New Roman" w:eastAsia="Times New Roman" w:hAnsi="Times New Roman" w:cs="Times New Roman"/>
          <w:color w:val="000000"/>
          <w:sz w:val="24"/>
          <w:szCs w:val="24"/>
        </w:rPr>
        <w:t>Saidur</w:t>
      </w:r>
      <w:proofErr w:type="spellEnd"/>
      <w:r>
        <w:rPr>
          <w:rFonts w:ascii="Times New Roman" w:eastAsia="Times New Roman" w:hAnsi="Times New Roman" w:cs="Times New Roman"/>
          <w:color w:val="000000"/>
          <w:sz w:val="24"/>
          <w:szCs w:val="24"/>
        </w:rPr>
        <w:t>, and A. K. Pandey, “Assessing technological-driven challenges and policies associated with electric vehicle (EV) adoption,” Transp. Policy (</w:t>
      </w:r>
      <w:proofErr w:type="spellStart"/>
      <w:r>
        <w:rPr>
          <w:rFonts w:ascii="Times New Roman" w:eastAsia="Times New Roman" w:hAnsi="Times New Roman" w:cs="Times New Roman"/>
          <w:color w:val="000000"/>
          <w:sz w:val="24"/>
          <w:szCs w:val="24"/>
        </w:rPr>
        <w:t>Oxf</w:t>
      </w:r>
      <w:proofErr w:type="spellEnd"/>
      <w:r>
        <w:rPr>
          <w:rFonts w:ascii="Times New Roman" w:eastAsia="Times New Roman" w:hAnsi="Times New Roman" w:cs="Times New Roman"/>
          <w:color w:val="000000"/>
          <w:sz w:val="24"/>
          <w:szCs w:val="24"/>
        </w:rPr>
        <w:t xml:space="preserve">)., vol. 169, pp. 167–177, Aug. 2025,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10.1016/j.tranpol.2025.04.030. </w:t>
      </w:r>
    </w:p>
    <w:p w14:paraId="27348FCE"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 R. A. </w:t>
      </w:r>
      <w:proofErr w:type="spellStart"/>
      <w:r>
        <w:rPr>
          <w:rFonts w:ascii="Times New Roman" w:eastAsia="Times New Roman" w:hAnsi="Times New Roman" w:cs="Times New Roman"/>
          <w:sz w:val="24"/>
          <w:szCs w:val="24"/>
        </w:rPr>
        <w:t>Akpinar</w:t>
      </w:r>
      <w:proofErr w:type="spellEnd"/>
      <w:r>
        <w:rPr>
          <w:rFonts w:ascii="Times New Roman" w:eastAsia="Times New Roman" w:hAnsi="Times New Roman" w:cs="Times New Roman"/>
          <w:sz w:val="24"/>
          <w:szCs w:val="24"/>
        </w:rPr>
        <w:t xml:space="preserve">, S. Achanta, A. Fotouhi, H. Zhang, and D. J. Auger, “Battery temperature prediction in electric vehicles using Bayesian regularization,” in </w:t>
      </w:r>
      <w:r>
        <w:rPr>
          <w:rFonts w:ascii="Times New Roman" w:eastAsia="Times New Roman" w:hAnsi="Times New Roman" w:cs="Times New Roman"/>
          <w:i/>
          <w:iCs/>
          <w:sz w:val="24"/>
          <w:szCs w:val="24"/>
        </w:rPr>
        <w:t>Proc. 20th Int. Conf. Synthesis, Modeling, Analysis and Simulation Methods and Applications to Circuit Design (SMACD)</w:t>
      </w:r>
      <w:r>
        <w:rPr>
          <w:rFonts w:ascii="Times New Roman" w:eastAsia="Times New Roman" w:hAnsi="Times New Roman" w:cs="Times New Roman"/>
          <w:sz w:val="24"/>
          <w:szCs w:val="24"/>
        </w:rPr>
        <w:t xml:space="preserve">, Volos, Greece, Jul. 2024, pp. 1–4,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10.1109/SMACD61181.2024.10745411.</w:t>
      </w:r>
    </w:p>
    <w:p w14:paraId="267DA4DC"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[24] R. Zhi-</w:t>
      </w:r>
      <w:proofErr w:type="spellStart"/>
      <w:r>
        <w:rPr>
          <w:rFonts w:ascii="Times New Roman" w:eastAsia="Times New Roman" w:hAnsi="Times New Roman" w:cs="Times New Roman"/>
          <w:sz w:val="24"/>
          <w:szCs w:val="24"/>
        </w:rPr>
        <w:t>yong</w:t>
      </w:r>
      <w:proofErr w:type="spellEnd"/>
      <w:r>
        <w:rPr>
          <w:rFonts w:ascii="Times New Roman" w:eastAsia="Times New Roman" w:hAnsi="Times New Roman" w:cs="Times New Roman"/>
          <w:sz w:val="24"/>
          <w:szCs w:val="24"/>
        </w:rPr>
        <w:t xml:space="preserve">, “Research on influence factors affecting driving range of flame-proof battery electric vehicles,” in </w:t>
      </w:r>
      <w:r>
        <w:rPr>
          <w:rFonts w:ascii="Times New Roman" w:eastAsia="Times New Roman" w:hAnsi="Times New Roman" w:cs="Times New Roman"/>
          <w:i/>
          <w:iCs/>
          <w:sz w:val="24"/>
          <w:szCs w:val="24"/>
        </w:rPr>
        <w:t>Proc. IEEE 4th Adv. Inf. Technol., Electron. Autom. Control Conf. (IAEAC)</w:t>
      </w:r>
      <w:r>
        <w:rPr>
          <w:rFonts w:ascii="Times New Roman" w:eastAsia="Times New Roman" w:hAnsi="Times New Roman" w:cs="Times New Roman"/>
          <w:sz w:val="24"/>
          <w:szCs w:val="24"/>
        </w:rPr>
        <w:t xml:space="preserve">, Chengdu, China, Dec. 2019, pp. 1982–1986,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10.1109/IAEAC47372.2019.8997686.</w:t>
      </w:r>
    </w:p>
    <w:p w14:paraId="3D2A494A"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[25] B. </w:t>
      </w:r>
      <w:proofErr w:type="spellStart"/>
      <w:r>
        <w:rPr>
          <w:rFonts w:ascii="Times New Roman" w:eastAsia="Times New Roman" w:hAnsi="Times New Roman" w:cs="Times New Roman"/>
          <w:sz w:val="24"/>
          <w:szCs w:val="24"/>
        </w:rPr>
        <w:t>Frieske</w:t>
      </w:r>
      <w:proofErr w:type="spellEnd"/>
      <w:r>
        <w:rPr>
          <w:rFonts w:ascii="Times New Roman" w:eastAsia="Times New Roman" w:hAnsi="Times New Roman" w:cs="Times New Roman"/>
          <w:sz w:val="24"/>
          <w:szCs w:val="24"/>
        </w:rPr>
        <w:t xml:space="preserve">, M. </w:t>
      </w:r>
      <w:proofErr w:type="spellStart"/>
      <w:r>
        <w:rPr>
          <w:rFonts w:ascii="Times New Roman" w:eastAsia="Times New Roman" w:hAnsi="Times New Roman" w:cs="Times New Roman"/>
          <w:sz w:val="24"/>
          <w:szCs w:val="24"/>
        </w:rPr>
        <w:t>Kloetzke</w:t>
      </w:r>
      <w:proofErr w:type="spellEnd"/>
      <w:r>
        <w:rPr>
          <w:rFonts w:ascii="Times New Roman" w:eastAsia="Times New Roman" w:hAnsi="Times New Roman" w:cs="Times New Roman"/>
          <w:sz w:val="24"/>
          <w:szCs w:val="24"/>
        </w:rPr>
        <w:t xml:space="preserve">, and F. Mauser, “Trends in vehicle concept and key technology development for hybrid and battery electric vehicles,” in </w:t>
      </w:r>
      <w:r>
        <w:rPr>
          <w:rFonts w:ascii="Times New Roman" w:eastAsia="Times New Roman" w:hAnsi="Times New Roman" w:cs="Times New Roman"/>
          <w:i/>
          <w:iCs/>
          <w:sz w:val="24"/>
          <w:szCs w:val="24"/>
        </w:rPr>
        <w:t>Proc. World Electric Vehicle Symp. and Exhibition (EVS27)</w:t>
      </w:r>
      <w:r>
        <w:rPr>
          <w:rFonts w:ascii="Times New Roman" w:eastAsia="Times New Roman" w:hAnsi="Times New Roman" w:cs="Times New Roman"/>
          <w:sz w:val="24"/>
          <w:szCs w:val="24"/>
        </w:rPr>
        <w:t xml:space="preserve">, Barcelona, Spain, Nov. 2013, pp. 1–12,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10.1109/EVS.2013.6914783.</w:t>
      </w:r>
    </w:p>
    <w:p w14:paraId="1A4A6CA8"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[26] L. Timilsina, P. R. Badr, P. H. Hoang, G. Ozkan, B. </w:t>
      </w:r>
      <w:proofErr w:type="spellStart"/>
      <w:r>
        <w:rPr>
          <w:rFonts w:ascii="Times New Roman" w:eastAsia="Times New Roman" w:hAnsi="Times New Roman" w:cs="Times New Roman"/>
          <w:sz w:val="24"/>
          <w:szCs w:val="24"/>
        </w:rPr>
        <w:t>Papari</w:t>
      </w:r>
      <w:proofErr w:type="spellEnd"/>
      <w:r>
        <w:rPr>
          <w:rFonts w:ascii="Times New Roman" w:eastAsia="Times New Roman" w:hAnsi="Times New Roman" w:cs="Times New Roman"/>
          <w:sz w:val="24"/>
          <w:szCs w:val="24"/>
        </w:rPr>
        <w:t xml:space="preserve">, and C. S. Edrington, “Battery degradation in electric and hybrid electric vehicles: A survey study,” </w:t>
      </w:r>
      <w:r>
        <w:rPr>
          <w:rFonts w:ascii="Times New Roman" w:eastAsia="Times New Roman" w:hAnsi="Times New Roman" w:cs="Times New Roman"/>
          <w:i/>
          <w:iCs/>
          <w:sz w:val="24"/>
          <w:szCs w:val="24"/>
        </w:rPr>
        <w:t>IEEE Access</w:t>
      </w:r>
      <w:r>
        <w:rPr>
          <w:rFonts w:ascii="Times New Roman" w:eastAsia="Times New Roman" w:hAnsi="Times New Roman" w:cs="Times New Roman"/>
          <w:sz w:val="24"/>
          <w:szCs w:val="24"/>
        </w:rPr>
        <w:t xml:space="preserve">, vol. 11, pp. 42431–42462, 2023,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10.1109/ACCESS.2023.3271287.</w:t>
      </w:r>
    </w:p>
    <w:p w14:paraId="34373B87"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[27] B. Price, E. Dietz, and J. Richardson, “Life cycle costs of electric and hybrid electric vehicle batteries and end-of-life uses,” in </w:t>
      </w:r>
      <w:r>
        <w:rPr>
          <w:rFonts w:ascii="Times New Roman" w:eastAsia="Times New Roman" w:hAnsi="Times New Roman" w:cs="Times New Roman"/>
          <w:i/>
          <w:iCs/>
          <w:sz w:val="24"/>
          <w:szCs w:val="24"/>
        </w:rPr>
        <w:t>Proc. IEEE Int. Conf. Electro/Information Technol. (EIT)</w:t>
      </w:r>
      <w:r>
        <w:rPr>
          <w:rFonts w:ascii="Times New Roman" w:eastAsia="Times New Roman" w:hAnsi="Times New Roman" w:cs="Times New Roman"/>
          <w:sz w:val="24"/>
          <w:szCs w:val="24"/>
        </w:rPr>
        <w:t xml:space="preserve">, Indianapolis, IN, USA, May 2012, pp. 1–7,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10.1109/EIT.2012.6220712.</w:t>
      </w:r>
    </w:p>
    <w:p w14:paraId="45F3835C"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[28] B. Ban, M. </w:t>
      </w:r>
      <w:proofErr w:type="spellStart"/>
      <w:r>
        <w:rPr>
          <w:rFonts w:ascii="Times New Roman" w:eastAsia="Times New Roman" w:hAnsi="Times New Roman" w:cs="Times New Roman"/>
          <w:sz w:val="24"/>
          <w:szCs w:val="24"/>
        </w:rPr>
        <w:t>Vrazic</w:t>
      </w:r>
      <w:proofErr w:type="spellEnd"/>
      <w:r>
        <w:rPr>
          <w:rFonts w:ascii="Times New Roman" w:eastAsia="Times New Roman" w:hAnsi="Times New Roman" w:cs="Times New Roman"/>
          <w:sz w:val="24"/>
          <w:szCs w:val="24"/>
        </w:rPr>
        <w:t xml:space="preserve">, and I. Bahun, “Electric vehicle model with driving </w:t>
      </w:r>
      <w:proofErr w:type="gramStart"/>
      <w:r>
        <w:rPr>
          <w:rFonts w:ascii="Times New Roman" w:eastAsia="Times New Roman" w:hAnsi="Times New Roman" w:cs="Times New Roman"/>
          <w:sz w:val="24"/>
          <w:szCs w:val="24"/>
        </w:rPr>
        <w:t>cycle based</w:t>
      </w:r>
      <w:proofErr w:type="gramEnd"/>
      <w:r>
        <w:rPr>
          <w:rFonts w:ascii="Times New Roman" w:eastAsia="Times New Roman" w:hAnsi="Times New Roman" w:cs="Times New Roman"/>
          <w:sz w:val="24"/>
          <w:szCs w:val="24"/>
        </w:rPr>
        <w:t xml:space="preserve"> algorithm for battery and motor minimization,” in </w:t>
      </w:r>
      <w:r>
        <w:rPr>
          <w:rFonts w:ascii="Times New Roman" w:eastAsia="Times New Roman" w:hAnsi="Times New Roman" w:cs="Times New Roman"/>
          <w:i/>
          <w:iCs/>
          <w:sz w:val="24"/>
          <w:szCs w:val="24"/>
        </w:rPr>
        <w:t>Proc. Int. Conf. Electrical Drives and Power Electronics (EDPE)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Tatranska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Lomnica</w:t>
      </w:r>
      <w:proofErr w:type="spellEnd"/>
      <w:r>
        <w:rPr>
          <w:rFonts w:ascii="Times New Roman" w:eastAsia="Times New Roman" w:hAnsi="Times New Roman" w:cs="Times New Roman"/>
          <w:sz w:val="24"/>
          <w:szCs w:val="24"/>
        </w:rPr>
        <w:t xml:space="preserve">, Slovakia, Sep. 2015, pp. 220–226,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10.1109/EDPE.2015.7325297.</w:t>
      </w:r>
    </w:p>
    <w:p w14:paraId="2A0327AE"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[29] A. V. Grishin, A. R. </w:t>
      </w:r>
      <w:proofErr w:type="spellStart"/>
      <w:r>
        <w:rPr>
          <w:rFonts w:ascii="Times New Roman" w:eastAsia="Times New Roman" w:hAnsi="Times New Roman" w:cs="Times New Roman"/>
          <w:sz w:val="24"/>
          <w:szCs w:val="24"/>
        </w:rPr>
        <w:t>Asoyan</w:t>
      </w:r>
      <w:proofErr w:type="spellEnd"/>
      <w:r>
        <w:rPr>
          <w:rFonts w:ascii="Times New Roman" w:eastAsia="Times New Roman" w:hAnsi="Times New Roman" w:cs="Times New Roman"/>
          <w:sz w:val="24"/>
          <w:szCs w:val="24"/>
        </w:rPr>
        <w:t xml:space="preserve">, A. A. </w:t>
      </w:r>
      <w:proofErr w:type="spellStart"/>
      <w:r>
        <w:rPr>
          <w:rFonts w:ascii="Times New Roman" w:eastAsia="Times New Roman" w:hAnsi="Times New Roman" w:cs="Times New Roman"/>
          <w:sz w:val="24"/>
          <w:szCs w:val="24"/>
        </w:rPr>
        <w:t>Solntsev</w:t>
      </w:r>
      <w:proofErr w:type="spellEnd"/>
      <w:r>
        <w:rPr>
          <w:rFonts w:ascii="Times New Roman" w:eastAsia="Times New Roman" w:hAnsi="Times New Roman" w:cs="Times New Roman"/>
          <w:sz w:val="24"/>
          <w:szCs w:val="24"/>
        </w:rPr>
        <w:t xml:space="preserve">, V. V. </w:t>
      </w:r>
      <w:proofErr w:type="spellStart"/>
      <w:r>
        <w:rPr>
          <w:rFonts w:ascii="Times New Roman" w:eastAsia="Times New Roman" w:hAnsi="Times New Roman" w:cs="Times New Roman"/>
          <w:sz w:val="24"/>
          <w:szCs w:val="24"/>
        </w:rPr>
        <w:t>Guly</w:t>
      </w:r>
      <w:proofErr w:type="spellEnd"/>
      <w:r>
        <w:rPr>
          <w:rFonts w:ascii="Times New Roman" w:eastAsia="Times New Roman" w:hAnsi="Times New Roman" w:cs="Times New Roman"/>
          <w:sz w:val="24"/>
          <w:szCs w:val="24"/>
        </w:rPr>
        <w:t xml:space="preserve">, and O. V. </w:t>
      </w:r>
      <w:proofErr w:type="spellStart"/>
      <w:r>
        <w:rPr>
          <w:rFonts w:ascii="Times New Roman" w:eastAsia="Times New Roman" w:hAnsi="Times New Roman" w:cs="Times New Roman"/>
          <w:sz w:val="24"/>
          <w:szCs w:val="24"/>
        </w:rPr>
        <w:t>Fediushkina</w:t>
      </w:r>
      <w:proofErr w:type="spellEnd"/>
      <w:r>
        <w:rPr>
          <w:rFonts w:ascii="Times New Roman" w:eastAsia="Times New Roman" w:hAnsi="Times New Roman" w:cs="Times New Roman"/>
          <w:sz w:val="24"/>
          <w:szCs w:val="24"/>
        </w:rPr>
        <w:t xml:space="preserve">, “Ensuring the operation of electric bus batteries in the optimal temperature range,” in </w:t>
      </w:r>
      <w:r>
        <w:rPr>
          <w:rFonts w:ascii="Times New Roman" w:eastAsia="Times New Roman" w:hAnsi="Times New Roman" w:cs="Times New Roman"/>
          <w:i/>
          <w:iCs/>
          <w:sz w:val="24"/>
          <w:szCs w:val="24"/>
        </w:rPr>
        <w:t xml:space="preserve">Proc. </w:t>
      </w:r>
      <w:proofErr w:type="spellStart"/>
      <w:r>
        <w:rPr>
          <w:rFonts w:ascii="Times New Roman" w:eastAsia="Times New Roman" w:hAnsi="Times New Roman" w:cs="Times New Roman"/>
          <w:i/>
          <w:iCs/>
          <w:sz w:val="24"/>
          <w:szCs w:val="24"/>
        </w:rPr>
        <w:t>Intell</w:t>
      </w:r>
      <w:proofErr w:type="spellEnd"/>
      <w:r>
        <w:rPr>
          <w:rFonts w:ascii="Times New Roman" w:eastAsia="Times New Roman" w:hAnsi="Times New Roman" w:cs="Times New Roman"/>
          <w:i/>
          <w:iCs/>
          <w:sz w:val="24"/>
          <w:szCs w:val="24"/>
        </w:rPr>
        <w:t>. Technol. Electron. Devices Vehicle Road Transp. Complex (TIRVED)</w:t>
      </w:r>
      <w:r>
        <w:rPr>
          <w:rFonts w:ascii="Times New Roman" w:eastAsia="Times New Roman" w:hAnsi="Times New Roman" w:cs="Times New Roman"/>
          <w:sz w:val="24"/>
          <w:szCs w:val="24"/>
        </w:rPr>
        <w:t xml:space="preserve">, Moscow, Russia, Nov. 2022, pp. 1–4,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10.1109/TIRVED56496.2022.9965484.</w:t>
      </w:r>
    </w:p>
    <w:p w14:paraId="56160E15"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[30] A. Rezaei, J. B. Burl, M. Rezaei, and B. Zhou, “Catch energy saving opportunity in charge-depletion mode, a real-time controller for plug-in hybrid electric vehicles,” </w:t>
      </w:r>
      <w:r>
        <w:rPr>
          <w:rFonts w:ascii="Times New Roman" w:eastAsia="Times New Roman" w:hAnsi="Times New Roman" w:cs="Times New Roman"/>
          <w:i/>
          <w:iCs/>
          <w:sz w:val="24"/>
          <w:szCs w:val="24"/>
        </w:rPr>
        <w:t>IEEE Trans. Veh. Technol.</w:t>
      </w:r>
      <w:r>
        <w:rPr>
          <w:rFonts w:ascii="Times New Roman" w:eastAsia="Times New Roman" w:hAnsi="Times New Roman" w:cs="Times New Roman"/>
          <w:sz w:val="24"/>
          <w:szCs w:val="24"/>
        </w:rPr>
        <w:t xml:space="preserve">, vol. 67, no. 11, pp. 11234–11237, Nov. 2018,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10.1109/TVT.2018.2866569.</w:t>
      </w:r>
    </w:p>
    <w:p w14:paraId="27272D99"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 M. Yilmaz and P. T. Krein, “Review of battery charger topologies, charging power levels, and infrastructure for plug-in electric and hybrid vehicles,” </w:t>
      </w:r>
      <w:r>
        <w:rPr>
          <w:rFonts w:ascii="Times New Roman" w:eastAsia="Times New Roman" w:hAnsi="Times New Roman" w:cs="Times New Roman"/>
          <w:i/>
          <w:iCs/>
          <w:sz w:val="24"/>
          <w:szCs w:val="24"/>
        </w:rPr>
        <w:t>IEEE Trans. Power Electron.</w:t>
      </w:r>
      <w:r>
        <w:rPr>
          <w:rFonts w:ascii="Times New Roman" w:eastAsia="Times New Roman" w:hAnsi="Times New Roman" w:cs="Times New Roman"/>
          <w:sz w:val="24"/>
          <w:szCs w:val="24"/>
        </w:rPr>
        <w:t xml:space="preserve">, vol. 28, no. 5, pp. 2151–2169, May 2013,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10.1109/TPEL.2012.2212917.</w:t>
      </w:r>
    </w:p>
    <w:p w14:paraId="250D04A0"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 K. Clement-</w:t>
      </w:r>
      <w:proofErr w:type="spellStart"/>
      <w:r>
        <w:rPr>
          <w:rFonts w:ascii="Times New Roman" w:eastAsia="Times New Roman" w:hAnsi="Times New Roman" w:cs="Times New Roman"/>
          <w:sz w:val="24"/>
          <w:szCs w:val="24"/>
        </w:rPr>
        <w:t>Nyns</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Haesen</w:t>
      </w:r>
      <w:proofErr w:type="spellEnd"/>
      <w:r>
        <w:rPr>
          <w:rFonts w:ascii="Times New Roman" w:eastAsia="Times New Roman" w:hAnsi="Times New Roman" w:cs="Times New Roman"/>
          <w:sz w:val="24"/>
          <w:szCs w:val="24"/>
        </w:rPr>
        <w:t xml:space="preserve">, and J. Driesen, “The impact of charging plug-in hybrid electric vehicles on a residential distribution grid,” </w:t>
      </w:r>
      <w:r>
        <w:rPr>
          <w:rFonts w:ascii="Times New Roman" w:eastAsia="Times New Roman" w:hAnsi="Times New Roman" w:cs="Times New Roman"/>
          <w:i/>
          <w:iCs/>
          <w:sz w:val="24"/>
          <w:szCs w:val="24"/>
        </w:rPr>
        <w:t>IEEE Trans. Power Syst.</w:t>
      </w:r>
      <w:r>
        <w:rPr>
          <w:rFonts w:ascii="Times New Roman" w:eastAsia="Times New Roman" w:hAnsi="Times New Roman" w:cs="Times New Roman"/>
          <w:sz w:val="24"/>
          <w:szCs w:val="24"/>
        </w:rPr>
        <w:t xml:space="preserve">, vol. 25, no. 1, pp. 371–380, Feb. 2010,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10.1109/TPWRS.2009.2036481.</w:t>
      </w:r>
    </w:p>
    <w:p w14:paraId="7F7730E2"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[33] A. Emadi, Y. J. Lee, and K. </w:t>
      </w:r>
      <w:proofErr w:type="spellStart"/>
      <w:r>
        <w:rPr>
          <w:rFonts w:ascii="Times New Roman" w:eastAsia="Times New Roman" w:hAnsi="Times New Roman" w:cs="Times New Roman"/>
          <w:sz w:val="24"/>
          <w:szCs w:val="24"/>
        </w:rPr>
        <w:t>Rajashekara</w:t>
      </w:r>
      <w:proofErr w:type="spellEnd"/>
      <w:r>
        <w:rPr>
          <w:rFonts w:ascii="Times New Roman" w:eastAsia="Times New Roman" w:hAnsi="Times New Roman" w:cs="Times New Roman"/>
          <w:sz w:val="24"/>
          <w:szCs w:val="24"/>
        </w:rPr>
        <w:t xml:space="preserve">, “Power electronics and motor drives in electric, hybrid electric, and plug-in hybrid electric vehicles,” </w:t>
      </w:r>
      <w:r>
        <w:rPr>
          <w:rFonts w:ascii="Times New Roman" w:eastAsia="Times New Roman" w:hAnsi="Times New Roman" w:cs="Times New Roman"/>
          <w:i/>
          <w:iCs/>
          <w:sz w:val="24"/>
          <w:szCs w:val="24"/>
        </w:rPr>
        <w:t>IEEE Trans. Ind. Electron.</w:t>
      </w:r>
      <w:r>
        <w:rPr>
          <w:rFonts w:ascii="Times New Roman" w:eastAsia="Times New Roman" w:hAnsi="Times New Roman" w:cs="Times New Roman"/>
          <w:sz w:val="24"/>
          <w:szCs w:val="24"/>
        </w:rPr>
        <w:t xml:space="preserve">, vol. 55, no. 6, pp. 2237–2245, Jun. 2008,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10.1109/TIE.2008.922768.</w:t>
      </w:r>
    </w:p>
    <w:p w14:paraId="1A9B483D"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[34] SAE International, </w:t>
      </w:r>
      <w:r>
        <w:rPr>
          <w:rFonts w:ascii="Times New Roman" w:eastAsia="Times New Roman" w:hAnsi="Times New Roman" w:cs="Times New Roman"/>
          <w:i/>
          <w:iCs/>
          <w:sz w:val="24"/>
          <w:szCs w:val="24"/>
        </w:rPr>
        <w:t>SAE Electric Vehicle and Plug-In Hybrid Electric Vehicle Conductive Charge Coupler</w:t>
      </w:r>
      <w:r>
        <w:rPr>
          <w:rFonts w:ascii="Times New Roman" w:eastAsia="Times New Roman" w:hAnsi="Times New Roman" w:cs="Times New Roman"/>
          <w:sz w:val="24"/>
          <w:szCs w:val="24"/>
        </w:rPr>
        <w:t>, SAE Standard J1772_201210, Warrendale, PA, USA, 2012.</w:t>
      </w:r>
    </w:p>
    <w:p w14:paraId="522F02A2"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[35] F. Berthold, A. Ravey, B. Blunier, D. Bouquain, S. Williamson, and A. </w:t>
      </w:r>
      <w:proofErr w:type="spellStart"/>
      <w:r>
        <w:rPr>
          <w:rFonts w:ascii="Times New Roman" w:eastAsia="Times New Roman" w:hAnsi="Times New Roman" w:cs="Times New Roman"/>
          <w:sz w:val="24"/>
          <w:szCs w:val="24"/>
        </w:rPr>
        <w:t>Miraoui</w:t>
      </w:r>
      <w:proofErr w:type="spellEnd"/>
      <w:r>
        <w:rPr>
          <w:rFonts w:ascii="Times New Roman" w:eastAsia="Times New Roman" w:hAnsi="Times New Roman" w:cs="Times New Roman"/>
          <w:sz w:val="24"/>
          <w:szCs w:val="24"/>
        </w:rPr>
        <w:t xml:space="preserve">, “Design and development of a smart control strategy for plug-in hybrid vehicles including vehicle-to-home functionality,” </w:t>
      </w:r>
      <w:r>
        <w:rPr>
          <w:rFonts w:ascii="Times New Roman" w:eastAsia="Times New Roman" w:hAnsi="Times New Roman" w:cs="Times New Roman"/>
          <w:i/>
          <w:iCs/>
          <w:sz w:val="24"/>
          <w:szCs w:val="24"/>
        </w:rPr>
        <w:t>IEEE Trans. Transp. Electrification</w:t>
      </w:r>
      <w:r>
        <w:rPr>
          <w:rFonts w:ascii="Times New Roman" w:eastAsia="Times New Roman" w:hAnsi="Times New Roman" w:cs="Times New Roman"/>
          <w:sz w:val="24"/>
          <w:szCs w:val="24"/>
        </w:rPr>
        <w:t xml:space="preserve">, vol. 1, no. 2, pp. 168–177, Aug. 2015,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10.1109/TTE.2015.2426508.</w:t>
      </w:r>
    </w:p>
    <w:p w14:paraId="7084DCB6"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[36] U.S. Department of Energy, </w:t>
      </w:r>
      <w:r>
        <w:rPr>
          <w:rFonts w:ascii="Times New Roman" w:eastAsia="Times New Roman" w:hAnsi="Times New Roman" w:cs="Times New Roman"/>
          <w:i/>
          <w:iCs/>
          <w:sz w:val="24"/>
          <w:szCs w:val="24"/>
        </w:rPr>
        <w:t>Hybrid and Plug-In Electric Vehicles</w:t>
      </w:r>
      <w:r>
        <w:rPr>
          <w:rFonts w:ascii="Times New Roman" w:eastAsia="Times New Roman" w:hAnsi="Times New Roman" w:cs="Times New Roman"/>
          <w:sz w:val="24"/>
          <w:szCs w:val="24"/>
        </w:rPr>
        <w:t>. Washington, DC, USA: Alternative Fuels Data Center, 2021.</w:t>
      </w:r>
    </w:p>
    <w:p w14:paraId="3414267B"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[37] F. Noor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“Design and validation of adaptive barrier function sliding mode controller for a novel multisource hybrid energy storage system based electric vehicle,” </w:t>
      </w:r>
      <w:r>
        <w:rPr>
          <w:rFonts w:ascii="Times New Roman" w:eastAsia="Times New Roman" w:hAnsi="Times New Roman" w:cs="Times New Roman"/>
          <w:i/>
          <w:iCs/>
          <w:sz w:val="24"/>
          <w:szCs w:val="24"/>
        </w:rPr>
        <w:t>IEEE Access</w:t>
      </w:r>
      <w:r>
        <w:rPr>
          <w:rFonts w:ascii="Times New Roman" w:eastAsia="Times New Roman" w:hAnsi="Times New Roman" w:cs="Times New Roman"/>
          <w:sz w:val="24"/>
          <w:szCs w:val="24"/>
        </w:rPr>
        <w:t xml:space="preserve">, vol. 12, pp. 145270–145285, 2024,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10.1109/ACCESS.2024.3471893.</w:t>
      </w:r>
    </w:p>
    <w:p w14:paraId="041519F9"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 C. U. Kim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“Optimization of device design for low cost and high efficiency planar monolithic perovskite/silicon tandem solar cells,” </w:t>
      </w:r>
      <w:r>
        <w:rPr>
          <w:rFonts w:ascii="Times New Roman" w:eastAsia="Times New Roman" w:hAnsi="Times New Roman" w:cs="Times New Roman"/>
          <w:i/>
          <w:iCs/>
          <w:sz w:val="24"/>
          <w:szCs w:val="24"/>
        </w:rPr>
        <w:t>Nano Energy</w:t>
      </w:r>
      <w:r>
        <w:rPr>
          <w:rFonts w:ascii="Times New Roman" w:eastAsia="Times New Roman" w:hAnsi="Times New Roman" w:cs="Times New Roman"/>
          <w:sz w:val="24"/>
          <w:szCs w:val="24"/>
        </w:rPr>
        <w:t xml:space="preserve">, vol. 60, pp. 213–221, Jun. 2019,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10.1016/j.nanoen.2019.03.056.</w:t>
      </w:r>
    </w:p>
    <w:p w14:paraId="38921E67"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[39] H. </w:t>
      </w:r>
      <w:proofErr w:type="spellStart"/>
      <w:r>
        <w:rPr>
          <w:rFonts w:ascii="Times New Roman" w:eastAsia="Times New Roman" w:hAnsi="Times New Roman" w:cs="Times New Roman"/>
          <w:sz w:val="24"/>
          <w:szCs w:val="24"/>
        </w:rPr>
        <w:t>Maghfiroh</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Wahyunggoro</w:t>
      </w:r>
      <w:proofErr w:type="spellEnd"/>
      <w:r>
        <w:rPr>
          <w:rFonts w:ascii="Times New Roman" w:eastAsia="Times New Roman" w:hAnsi="Times New Roman" w:cs="Times New Roman"/>
          <w:sz w:val="24"/>
          <w:szCs w:val="24"/>
        </w:rPr>
        <w:t xml:space="preserve">, and A. I. Cahyadi, “Energy management in hybrid electric and hybrid energy storage system vehicles: A fuzzy logic controller review,” </w:t>
      </w:r>
      <w:r>
        <w:rPr>
          <w:rFonts w:ascii="Times New Roman" w:eastAsia="Times New Roman" w:hAnsi="Times New Roman" w:cs="Times New Roman"/>
          <w:i/>
          <w:iCs/>
          <w:sz w:val="24"/>
          <w:szCs w:val="24"/>
        </w:rPr>
        <w:t>IEEE Access</w:t>
      </w:r>
      <w:r>
        <w:rPr>
          <w:rFonts w:ascii="Times New Roman" w:eastAsia="Times New Roman" w:hAnsi="Times New Roman" w:cs="Times New Roman"/>
          <w:sz w:val="24"/>
          <w:szCs w:val="24"/>
        </w:rPr>
        <w:t xml:space="preserve">, vol. 12, pp. 56097–56109, 2024,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10.1109/ACCESS.2024.3390436.</w:t>
      </w:r>
    </w:p>
    <w:p w14:paraId="58A5310E"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[40] Z. Zhao and X. Tang, “Control of e-CVT to EV mode transition on braking deceleration condition for a compound power-split hybrid electrical vehicle,” </w:t>
      </w:r>
      <w:r>
        <w:rPr>
          <w:rFonts w:ascii="Times New Roman" w:eastAsia="Times New Roman" w:hAnsi="Times New Roman" w:cs="Times New Roman"/>
          <w:i/>
          <w:iCs/>
          <w:sz w:val="24"/>
          <w:szCs w:val="24"/>
        </w:rPr>
        <w:t>IEEE Access</w:t>
      </w:r>
      <w:r>
        <w:rPr>
          <w:rFonts w:ascii="Times New Roman" w:eastAsia="Times New Roman" w:hAnsi="Times New Roman" w:cs="Times New Roman"/>
          <w:sz w:val="24"/>
          <w:szCs w:val="24"/>
        </w:rPr>
        <w:t xml:space="preserve">, vol. 7, pp. 111954–111967, 2019,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10.1109/ACCESS.2019.2935039.</w:t>
      </w:r>
    </w:p>
    <w:p w14:paraId="5457C58B"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 M. A. Masrur, “Hybrid and electric vehicle (HEV/EV) technologies for off-road applications,” </w:t>
      </w:r>
      <w:r>
        <w:rPr>
          <w:rFonts w:ascii="Times New Roman" w:eastAsia="Times New Roman" w:hAnsi="Times New Roman" w:cs="Times New Roman"/>
          <w:i/>
          <w:iCs/>
          <w:sz w:val="24"/>
          <w:szCs w:val="24"/>
        </w:rPr>
        <w:t>Proc. IEEE</w:t>
      </w:r>
      <w:r>
        <w:rPr>
          <w:rFonts w:ascii="Times New Roman" w:eastAsia="Times New Roman" w:hAnsi="Times New Roman" w:cs="Times New Roman"/>
          <w:sz w:val="24"/>
          <w:szCs w:val="24"/>
        </w:rPr>
        <w:t xml:space="preserve">, vol. 109, no. 6, pp. 1077–1093, Jun. 2021,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10.1109/JPROC.2020.3045721.</w:t>
      </w:r>
    </w:p>
    <w:p w14:paraId="46424F12"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 C. H. T. Lee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“A critical review of emerging technologies for electric and hybrid vehicles,” </w:t>
      </w:r>
      <w:r>
        <w:rPr>
          <w:rFonts w:ascii="Times New Roman" w:eastAsia="Times New Roman" w:hAnsi="Times New Roman" w:cs="Times New Roman"/>
          <w:i/>
          <w:iCs/>
          <w:sz w:val="24"/>
          <w:szCs w:val="24"/>
        </w:rPr>
        <w:t>IEEE Open J. Veh. Technol.</w:t>
      </w:r>
      <w:r>
        <w:rPr>
          <w:rFonts w:ascii="Times New Roman" w:eastAsia="Times New Roman" w:hAnsi="Times New Roman" w:cs="Times New Roman"/>
          <w:sz w:val="24"/>
          <w:szCs w:val="24"/>
        </w:rPr>
        <w:t xml:space="preserve">, vol. 2, pp. 471–485, 2021,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10.1109/OJVT.2021.3138894.</w:t>
      </w:r>
    </w:p>
    <w:p w14:paraId="78E03CC1"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[43] A. U. Rehman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“A critical review of recent industrial developments, trends, and future perspectives of power electronic systems: Fuel cell electric vehicles,” </w:t>
      </w:r>
      <w:r>
        <w:rPr>
          <w:rFonts w:ascii="Times New Roman" w:eastAsia="Times New Roman" w:hAnsi="Times New Roman" w:cs="Times New Roman"/>
          <w:i/>
          <w:iCs/>
          <w:sz w:val="24"/>
          <w:szCs w:val="24"/>
        </w:rPr>
        <w:t>IEEE Trans. Ind. Inform.</w:t>
      </w:r>
      <w:r>
        <w:rPr>
          <w:rFonts w:ascii="Times New Roman" w:eastAsia="Times New Roman" w:hAnsi="Times New Roman" w:cs="Times New Roman"/>
          <w:sz w:val="24"/>
          <w:szCs w:val="24"/>
        </w:rPr>
        <w:t xml:space="preserve">, vol. 20, no. 4, pp. 6060–6074, Apr. 2024,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10.1109/TII.2023.3347736.</w:t>
      </w:r>
    </w:p>
    <w:p w14:paraId="4D87A270"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[44] L. Schmitt, J. </w:t>
      </w:r>
      <w:proofErr w:type="spellStart"/>
      <w:r>
        <w:rPr>
          <w:rFonts w:ascii="Times New Roman" w:eastAsia="Times New Roman" w:hAnsi="Times New Roman" w:cs="Times New Roman"/>
          <w:sz w:val="24"/>
          <w:szCs w:val="24"/>
        </w:rPr>
        <w:t>Beerwerth</w:t>
      </w:r>
      <w:proofErr w:type="spellEnd"/>
      <w:r>
        <w:rPr>
          <w:rFonts w:ascii="Times New Roman" w:eastAsia="Times New Roman" w:hAnsi="Times New Roman" w:cs="Times New Roman"/>
          <w:sz w:val="24"/>
          <w:szCs w:val="24"/>
        </w:rPr>
        <w:t xml:space="preserve">, M. Bahr, and D. Abel, “Data-driven predictive control with online adaption: Application to a fuel cell system,” </w:t>
      </w:r>
      <w:r>
        <w:rPr>
          <w:rFonts w:ascii="Times New Roman" w:eastAsia="Times New Roman" w:hAnsi="Times New Roman" w:cs="Times New Roman"/>
          <w:i/>
          <w:iCs/>
          <w:sz w:val="24"/>
          <w:szCs w:val="24"/>
        </w:rPr>
        <w:t>IEEE Trans. Control Syst. Technol.</w:t>
      </w:r>
      <w:r>
        <w:rPr>
          <w:rFonts w:ascii="Times New Roman" w:eastAsia="Times New Roman" w:hAnsi="Times New Roman" w:cs="Times New Roman"/>
          <w:sz w:val="24"/>
          <w:szCs w:val="24"/>
        </w:rPr>
        <w:t xml:space="preserve">, vol. 32, no. 1, pp. 61–72, Jan. 2024,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10.1109/TCST.2023.3293790.</w:t>
      </w:r>
    </w:p>
    <w:p w14:paraId="676F72EF"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[45] Y. Tao, J. Qiu, S. Lai, X. Zhang, and G. Wang, “Collaborative planning for electricity distribution network and transportation system considering hydrogen fuel cell vehicles,” </w:t>
      </w:r>
      <w:r>
        <w:rPr>
          <w:rFonts w:ascii="Times New Roman" w:eastAsia="Times New Roman" w:hAnsi="Times New Roman" w:cs="Times New Roman"/>
          <w:i/>
          <w:iCs/>
          <w:sz w:val="24"/>
          <w:szCs w:val="24"/>
        </w:rPr>
        <w:t>IEEE Trans. Transp. Electrification</w:t>
      </w:r>
      <w:r>
        <w:rPr>
          <w:rFonts w:ascii="Times New Roman" w:eastAsia="Times New Roman" w:hAnsi="Times New Roman" w:cs="Times New Roman"/>
          <w:sz w:val="24"/>
          <w:szCs w:val="24"/>
        </w:rPr>
        <w:t xml:space="preserve">, vol. 6, no. 3, pp. 1211–1225, Sep. 2020,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10.1109/TTE.2020.2996755.</w:t>
      </w:r>
    </w:p>
    <w:p w14:paraId="39992945"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[46] S. Luo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Microconformal</w:t>
      </w:r>
      <w:proofErr w:type="spellEnd"/>
      <w:r>
        <w:rPr>
          <w:rFonts w:ascii="Times New Roman" w:eastAsia="Times New Roman" w:hAnsi="Times New Roman" w:cs="Times New Roman"/>
          <w:sz w:val="24"/>
          <w:szCs w:val="24"/>
        </w:rPr>
        <w:t xml:space="preserve"> electrode-dielectric integration for flexible ultrasensitive robotic tactile sensing,” </w:t>
      </w:r>
      <w:r>
        <w:rPr>
          <w:rFonts w:ascii="Times New Roman" w:eastAsia="Times New Roman" w:hAnsi="Times New Roman" w:cs="Times New Roman"/>
          <w:i/>
          <w:iCs/>
          <w:sz w:val="24"/>
          <w:szCs w:val="24"/>
        </w:rPr>
        <w:t>Nano Energy</w:t>
      </w:r>
      <w:r>
        <w:rPr>
          <w:rFonts w:ascii="Times New Roman" w:eastAsia="Times New Roman" w:hAnsi="Times New Roman" w:cs="Times New Roman"/>
          <w:sz w:val="24"/>
          <w:szCs w:val="24"/>
        </w:rPr>
        <w:t xml:space="preserve">, vol. 80, p. 105580, Feb. 2021,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10.1016/j.nanoen.2020.105580.</w:t>
      </w:r>
    </w:p>
    <w:p w14:paraId="43D10BDD"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[47] M. H. Sarwar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“Fuzzy logic-based novel hybrid fuel framework for modern vehicles,” </w:t>
      </w:r>
      <w:r>
        <w:rPr>
          <w:rFonts w:ascii="Times New Roman" w:eastAsia="Times New Roman" w:hAnsi="Times New Roman" w:cs="Times New Roman"/>
          <w:i/>
          <w:iCs/>
          <w:sz w:val="24"/>
          <w:szCs w:val="24"/>
        </w:rPr>
        <w:t>IEEE Access</w:t>
      </w:r>
      <w:r>
        <w:rPr>
          <w:rFonts w:ascii="Times New Roman" w:eastAsia="Times New Roman" w:hAnsi="Times New Roman" w:cs="Times New Roman"/>
          <w:sz w:val="24"/>
          <w:szCs w:val="24"/>
        </w:rPr>
        <w:t xml:space="preserve">, vol. 8, pp. 160596–160606, 2020,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10.1109/ACCESS.2020.3010067.</w:t>
      </w:r>
    </w:p>
    <w:p w14:paraId="45C10848"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[48] S. A. Q. Mohammed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“Critical review on powertrain technologies for electric vehicles: Classification, broadly adopted topologies, and future challenges,” </w:t>
      </w:r>
      <w:r>
        <w:rPr>
          <w:rFonts w:ascii="Times New Roman" w:eastAsia="Times New Roman" w:hAnsi="Times New Roman" w:cs="Times New Roman"/>
          <w:i/>
          <w:iCs/>
          <w:sz w:val="24"/>
          <w:szCs w:val="24"/>
        </w:rPr>
        <w:t>IEEE Access</w:t>
      </w:r>
      <w:r>
        <w:rPr>
          <w:rFonts w:ascii="Times New Roman" w:eastAsia="Times New Roman" w:hAnsi="Times New Roman" w:cs="Times New Roman"/>
          <w:sz w:val="24"/>
          <w:szCs w:val="24"/>
        </w:rPr>
        <w:t xml:space="preserve">, vol. 13, pp. 71755–71772, 2025,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10.1109/ACCESS.2025.3561577.</w:t>
      </w:r>
    </w:p>
    <w:p w14:paraId="19679AAF"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[49] NITI Aayog, “Types of electric vehicles,” e-AMRIT Portal, 2023.</w:t>
      </w:r>
    </w:p>
    <w:p w14:paraId="36A5EDF6"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[50] G. Gutmann, </w:t>
      </w:r>
      <w:r>
        <w:rPr>
          <w:rFonts w:ascii="Times New Roman" w:eastAsia="Times New Roman" w:hAnsi="Times New Roman" w:cs="Times New Roman"/>
          <w:i/>
          <w:iCs/>
          <w:sz w:val="24"/>
          <w:szCs w:val="24"/>
        </w:rPr>
        <w:t>Encyclopedia of Electrochemical Power Sources</w:t>
      </w:r>
      <w:r>
        <w:rPr>
          <w:rFonts w:ascii="Times New Roman" w:eastAsia="Times New Roman" w:hAnsi="Times New Roman" w:cs="Times New Roman"/>
          <w:sz w:val="24"/>
          <w:szCs w:val="24"/>
        </w:rPr>
        <w:t>. Amsterdam, Netherlands: Elsevier, 2009.</w:t>
      </w:r>
    </w:p>
    <w:p w14:paraId="16A6CDA9"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 </w:t>
      </w:r>
      <w:proofErr w:type="spellStart"/>
      <w:r>
        <w:rPr>
          <w:rFonts w:ascii="Times New Roman" w:eastAsia="Times New Roman" w:hAnsi="Times New Roman" w:cs="Times New Roman"/>
          <w:sz w:val="24"/>
          <w:szCs w:val="24"/>
        </w:rPr>
        <w:t>Aptiv</w:t>
      </w:r>
      <w:proofErr w:type="spellEnd"/>
      <w:r>
        <w:rPr>
          <w:rFonts w:ascii="Times New Roman" w:eastAsia="Times New Roman" w:hAnsi="Times New Roman" w:cs="Times New Roman"/>
          <w:sz w:val="24"/>
          <w:szCs w:val="24"/>
        </w:rPr>
        <w:t xml:space="preserve">, “BEV, PHEV, or HEV: The differences affect the architecture,” </w:t>
      </w:r>
      <w:proofErr w:type="spellStart"/>
      <w:r>
        <w:rPr>
          <w:rFonts w:ascii="Times New Roman" w:eastAsia="Times New Roman" w:hAnsi="Times New Roman" w:cs="Times New Roman"/>
          <w:sz w:val="24"/>
          <w:szCs w:val="24"/>
        </w:rPr>
        <w:t>Aptiv</w:t>
      </w:r>
      <w:proofErr w:type="spellEnd"/>
      <w:r>
        <w:rPr>
          <w:rFonts w:ascii="Times New Roman" w:eastAsia="Times New Roman" w:hAnsi="Times New Roman" w:cs="Times New Roman"/>
          <w:sz w:val="24"/>
          <w:szCs w:val="24"/>
        </w:rPr>
        <w:t xml:space="preserve"> Technical Insight, 2021.</w:t>
      </w:r>
    </w:p>
    <w:p w14:paraId="182C9753"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 U.S. Department of Energy, “Fuel cell electric vehicles,” Alternative Fuels Data Center, 2023.</w:t>
      </w:r>
    </w:p>
    <w:p w14:paraId="01B61735"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[53] U.S. Department of Energy, “Emissions from electric vehicles,” Alternative Fuels Data Center, 2023.</w:t>
      </w:r>
    </w:p>
    <w:p w14:paraId="41A50DBE"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[54] Y. Pan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“A review of hybrid vehicles classification and their energy management strategies: An exploration of the advantages of genetic algorithms,” </w:t>
      </w:r>
      <w:r>
        <w:rPr>
          <w:rFonts w:ascii="Times New Roman" w:eastAsia="Times New Roman" w:hAnsi="Times New Roman" w:cs="Times New Roman"/>
          <w:i/>
          <w:iCs/>
          <w:sz w:val="24"/>
          <w:szCs w:val="24"/>
        </w:rPr>
        <w:t>Algorithms</w:t>
      </w:r>
      <w:r>
        <w:rPr>
          <w:rFonts w:ascii="Times New Roman" w:eastAsia="Times New Roman" w:hAnsi="Times New Roman" w:cs="Times New Roman"/>
          <w:sz w:val="24"/>
          <w:szCs w:val="24"/>
        </w:rPr>
        <w:t xml:space="preserve">, vol. 18, no. 6, p. 354, Jun. 2025,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10.3390/a18060354.</w:t>
      </w:r>
    </w:p>
    <w:p w14:paraId="740D026C"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[55] T. Hofman, S. Ebbesen, and L. </w:t>
      </w:r>
      <w:proofErr w:type="spellStart"/>
      <w:r>
        <w:rPr>
          <w:rFonts w:ascii="Times New Roman" w:eastAsia="Times New Roman" w:hAnsi="Times New Roman" w:cs="Times New Roman"/>
          <w:sz w:val="24"/>
          <w:szCs w:val="24"/>
        </w:rPr>
        <w:t>Guzzella</w:t>
      </w:r>
      <w:proofErr w:type="spellEnd"/>
      <w:r>
        <w:rPr>
          <w:rFonts w:ascii="Times New Roman" w:eastAsia="Times New Roman" w:hAnsi="Times New Roman" w:cs="Times New Roman"/>
          <w:sz w:val="24"/>
          <w:szCs w:val="24"/>
        </w:rPr>
        <w:t xml:space="preserve">, “Topology optimization for hybrid electric vehicles with automated transmissions,” </w:t>
      </w:r>
      <w:r>
        <w:rPr>
          <w:rFonts w:ascii="Times New Roman" w:eastAsia="Times New Roman" w:hAnsi="Times New Roman" w:cs="Times New Roman"/>
          <w:i/>
          <w:iCs/>
          <w:sz w:val="24"/>
          <w:szCs w:val="24"/>
        </w:rPr>
        <w:t>IEEE Trans. Veh. Technol.</w:t>
      </w:r>
      <w:r>
        <w:rPr>
          <w:rFonts w:ascii="Times New Roman" w:eastAsia="Times New Roman" w:hAnsi="Times New Roman" w:cs="Times New Roman"/>
          <w:sz w:val="24"/>
          <w:szCs w:val="24"/>
        </w:rPr>
        <w:t>, vol. 61, no. 6, pp. 2442–2451, Jul. 2012.</w:t>
      </w:r>
    </w:p>
    <w:p w14:paraId="3222D642"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[56] H. </w:t>
      </w:r>
      <w:proofErr w:type="spellStart"/>
      <w:r>
        <w:rPr>
          <w:rFonts w:ascii="Times New Roman" w:eastAsia="Times New Roman" w:hAnsi="Times New Roman" w:cs="Times New Roman"/>
          <w:sz w:val="24"/>
          <w:szCs w:val="24"/>
        </w:rPr>
        <w:t>Pointner</w:t>
      </w:r>
      <w:proofErr w:type="spellEnd"/>
      <w:r>
        <w:rPr>
          <w:rFonts w:ascii="Times New Roman" w:eastAsia="Times New Roman" w:hAnsi="Times New Roman" w:cs="Times New Roman"/>
          <w:sz w:val="24"/>
          <w:szCs w:val="24"/>
        </w:rPr>
        <w:t xml:space="preserve"> and W.-D. Steinmann, “Experimental demonstration of an active latent heat storage concept,” </w:t>
      </w:r>
      <w:r>
        <w:rPr>
          <w:rFonts w:ascii="Times New Roman" w:eastAsia="Times New Roman" w:hAnsi="Times New Roman" w:cs="Times New Roman"/>
          <w:i/>
          <w:iCs/>
          <w:sz w:val="24"/>
          <w:szCs w:val="24"/>
        </w:rPr>
        <w:t>Appl. Energy</w:t>
      </w:r>
      <w:r>
        <w:rPr>
          <w:rFonts w:ascii="Times New Roman" w:eastAsia="Times New Roman" w:hAnsi="Times New Roman" w:cs="Times New Roman"/>
          <w:sz w:val="24"/>
          <w:szCs w:val="24"/>
        </w:rPr>
        <w:t>, vol. 168, pp. 661–671, Apr. 2016.</w:t>
      </w:r>
    </w:p>
    <w:p w14:paraId="7D82608A"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[57] C.-L. Wang, C.-L. Yin, T. Zhang, and L. Zhu, “Powertrain design and experiment research of a parallel hybrid electric vehicle,” </w:t>
      </w:r>
      <w:r>
        <w:rPr>
          <w:rFonts w:ascii="Times New Roman" w:eastAsia="Times New Roman" w:hAnsi="Times New Roman" w:cs="Times New Roman"/>
          <w:i/>
          <w:iCs/>
          <w:sz w:val="24"/>
          <w:szCs w:val="24"/>
        </w:rPr>
        <w:t xml:space="preserve">Int. J. </w:t>
      </w:r>
      <w:proofErr w:type="spellStart"/>
      <w:r>
        <w:rPr>
          <w:rFonts w:ascii="Times New Roman" w:eastAsia="Times New Roman" w:hAnsi="Times New Roman" w:cs="Times New Roman"/>
          <w:i/>
          <w:iCs/>
          <w:sz w:val="24"/>
          <w:szCs w:val="24"/>
        </w:rPr>
        <w:t>Automot</w:t>
      </w:r>
      <w:proofErr w:type="spellEnd"/>
      <w:r>
        <w:rPr>
          <w:rFonts w:ascii="Times New Roman" w:eastAsia="Times New Roman" w:hAnsi="Times New Roman" w:cs="Times New Roman"/>
          <w:i/>
          <w:iCs/>
          <w:sz w:val="24"/>
          <w:szCs w:val="24"/>
        </w:rPr>
        <w:t>. Technol.</w:t>
      </w:r>
      <w:r>
        <w:rPr>
          <w:rFonts w:ascii="Times New Roman" w:eastAsia="Times New Roman" w:hAnsi="Times New Roman" w:cs="Times New Roman"/>
          <w:sz w:val="24"/>
          <w:szCs w:val="24"/>
        </w:rPr>
        <w:t>, vol. 10, no. 5, pp. 589–596, Oct. 2009.</w:t>
      </w:r>
    </w:p>
    <w:p w14:paraId="0DBE81AD"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[58] C. Liu, K. T. Chau, and J. Z. Jiang, “A permanent-magnet hybrid brushless integrated starter–generator for hybrid electric vehicles,” </w:t>
      </w:r>
      <w:r>
        <w:rPr>
          <w:rFonts w:ascii="Times New Roman" w:eastAsia="Times New Roman" w:hAnsi="Times New Roman" w:cs="Times New Roman"/>
          <w:i/>
          <w:iCs/>
          <w:sz w:val="24"/>
          <w:szCs w:val="24"/>
        </w:rPr>
        <w:t>IEEE Trans. Ind. Electron.</w:t>
      </w:r>
      <w:r>
        <w:rPr>
          <w:rFonts w:ascii="Times New Roman" w:eastAsia="Times New Roman" w:hAnsi="Times New Roman" w:cs="Times New Roman"/>
          <w:sz w:val="24"/>
          <w:szCs w:val="24"/>
        </w:rPr>
        <w:t>, vol. 57, no. 12, pp. 4055–4064, Dec. 2010.</w:t>
      </w:r>
    </w:p>
    <w:p w14:paraId="608180EB"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[59] W. Zhuang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“A survey of powertrain configuration studies on hybrid electric vehicles,” </w:t>
      </w:r>
      <w:r>
        <w:rPr>
          <w:rFonts w:ascii="Times New Roman" w:eastAsia="Times New Roman" w:hAnsi="Times New Roman" w:cs="Times New Roman"/>
          <w:i/>
          <w:iCs/>
          <w:sz w:val="24"/>
          <w:szCs w:val="24"/>
        </w:rPr>
        <w:t>Appl. Energy</w:t>
      </w:r>
      <w:r>
        <w:rPr>
          <w:rFonts w:ascii="Times New Roman" w:eastAsia="Times New Roman" w:hAnsi="Times New Roman" w:cs="Times New Roman"/>
          <w:sz w:val="24"/>
          <w:szCs w:val="24"/>
        </w:rPr>
        <w:t>, vol. 262, p. 114553, Mar. 2020.</w:t>
      </w:r>
    </w:p>
    <w:p w14:paraId="633BA49D"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[60] A. Rezaei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“Catch energy saving opportunity (CESO), an instantaneous optimal energy management strategy for series hybrid electric vehicles,” </w:t>
      </w:r>
      <w:r>
        <w:rPr>
          <w:rFonts w:ascii="Times New Roman" w:eastAsia="Times New Roman" w:hAnsi="Times New Roman" w:cs="Times New Roman"/>
          <w:i/>
          <w:iCs/>
          <w:sz w:val="24"/>
          <w:szCs w:val="24"/>
        </w:rPr>
        <w:t>Appl. Energy</w:t>
      </w:r>
      <w:r>
        <w:rPr>
          <w:rFonts w:ascii="Times New Roman" w:eastAsia="Times New Roman" w:hAnsi="Times New Roman" w:cs="Times New Roman"/>
          <w:sz w:val="24"/>
          <w:szCs w:val="24"/>
        </w:rPr>
        <w:t>, vol. 208, pp. 655–665, Dec. 2017.</w:t>
      </w:r>
    </w:p>
    <w:p w14:paraId="022714CC"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[61] J. Liu and H. Peng, “Modeling and control of a power-split hybrid vehicle,” </w:t>
      </w:r>
      <w:r>
        <w:rPr>
          <w:rFonts w:ascii="Times New Roman" w:eastAsia="Times New Roman" w:hAnsi="Times New Roman" w:cs="Times New Roman"/>
          <w:i/>
          <w:iCs/>
          <w:sz w:val="24"/>
          <w:szCs w:val="24"/>
        </w:rPr>
        <w:t>IEEE Trans. Control Syst. Technol.</w:t>
      </w:r>
      <w:r>
        <w:rPr>
          <w:rFonts w:ascii="Times New Roman" w:eastAsia="Times New Roman" w:hAnsi="Times New Roman" w:cs="Times New Roman"/>
          <w:sz w:val="24"/>
          <w:szCs w:val="24"/>
        </w:rPr>
        <w:t>, vol. 16, no. 6, pp. 1242–1251, Nov. 2008.</w:t>
      </w:r>
    </w:p>
    <w:p w14:paraId="30558FF5"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[62] H. Pei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“Configuration optimization for improving fuel efficiency of power split hybrid powertrains with a single planetary gear,” </w:t>
      </w:r>
      <w:r>
        <w:rPr>
          <w:rFonts w:ascii="Times New Roman" w:eastAsia="Times New Roman" w:hAnsi="Times New Roman" w:cs="Times New Roman"/>
          <w:i/>
          <w:iCs/>
          <w:sz w:val="24"/>
          <w:szCs w:val="24"/>
        </w:rPr>
        <w:t>Appl. Energy</w:t>
      </w:r>
      <w:r>
        <w:rPr>
          <w:rFonts w:ascii="Times New Roman" w:eastAsia="Times New Roman" w:hAnsi="Times New Roman" w:cs="Times New Roman"/>
          <w:sz w:val="24"/>
          <w:szCs w:val="24"/>
        </w:rPr>
        <w:t>, vol. 214, pp. 103–116, Mar. 2018.</w:t>
      </w:r>
    </w:p>
    <w:p w14:paraId="5D80662C"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[63] J. M. Miller, “Hybrid electric vehicle propulsion system architectures of the e-CVT type,” </w:t>
      </w:r>
      <w:r>
        <w:rPr>
          <w:rFonts w:ascii="Times New Roman" w:eastAsia="Times New Roman" w:hAnsi="Times New Roman" w:cs="Times New Roman"/>
          <w:i/>
          <w:iCs/>
          <w:sz w:val="24"/>
          <w:szCs w:val="24"/>
        </w:rPr>
        <w:t>IEEE Trans. Power Electron.</w:t>
      </w:r>
      <w:r>
        <w:rPr>
          <w:rFonts w:ascii="Times New Roman" w:eastAsia="Times New Roman" w:hAnsi="Times New Roman" w:cs="Times New Roman"/>
          <w:sz w:val="24"/>
          <w:szCs w:val="24"/>
        </w:rPr>
        <w:t>, vol. 21, no. 3, pp. 756–767, May 2006.</w:t>
      </w:r>
    </w:p>
    <w:p w14:paraId="21DC915C"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[64] X. Zhang, H. Peng, and J. Sun, “A near-optimal power management strategy for rapid component sizing of multimode power split hybrid vehicles,” </w:t>
      </w:r>
      <w:r>
        <w:rPr>
          <w:rFonts w:ascii="Times New Roman" w:eastAsia="Times New Roman" w:hAnsi="Times New Roman" w:cs="Times New Roman"/>
          <w:i/>
          <w:iCs/>
          <w:sz w:val="24"/>
          <w:szCs w:val="24"/>
        </w:rPr>
        <w:t>IEEE Trans. Control Syst. Technol.</w:t>
      </w:r>
      <w:r>
        <w:rPr>
          <w:rFonts w:ascii="Times New Roman" w:eastAsia="Times New Roman" w:hAnsi="Times New Roman" w:cs="Times New Roman"/>
          <w:sz w:val="24"/>
          <w:szCs w:val="24"/>
        </w:rPr>
        <w:t>, vol. 23, no. 2, pp. 609–618, Mar. 2015.</w:t>
      </w:r>
    </w:p>
    <w:p w14:paraId="25C13510"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[65] T. Matsubara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“Development of new hybrid system for compact class vehicles,” SAE World Congress &amp; Exhibition, 2009.</w:t>
      </w:r>
    </w:p>
    <w:p w14:paraId="001D7AF6"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[66] G. S. </w:t>
      </w:r>
      <w:proofErr w:type="spellStart"/>
      <w:r>
        <w:rPr>
          <w:rFonts w:ascii="Times New Roman" w:eastAsia="Times New Roman" w:hAnsi="Times New Roman" w:cs="Times New Roman"/>
          <w:sz w:val="24"/>
          <w:szCs w:val="24"/>
        </w:rPr>
        <w:t>Vasilash</w:t>
      </w:r>
      <w:proofErr w:type="spellEnd"/>
      <w:r>
        <w:rPr>
          <w:rFonts w:ascii="Times New Roman" w:eastAsia="Times New Roman" w:hAnsi="Times New Roman" w:cs="Times New Roman"/>
          <w:sz w:val="24"/>
          <w:szCs w:val="24"/>
        </w:rPr>
        <w:t>, “A Lexus like no other but like the rest: Introducing the RX 400h—luxury, not economy,” 2005.</w:t>
      </w:r>
    </w:p>
    <w:p w14:paraId="0602E22C"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[67] A. N. Duhon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“Chevrolet Volt electric utilization,” </w:t>
      </w:r>
      <w:r>
        <w:rPr>
          <w:rFonts w:ascii="Times New Roman" w:eastAsia="Times New Roman" w:hAnsi="Times New Roman" w:cs="Times New Roman"/>
          <w:i/>
          <w:iCs/>
          <w:sz w:val="24"/>
          <w:szCs w:val="24"/>
        </w:rPr>
        <w:t>SAE Int. J. Altern. Powertrains</w:t>
      </w:r>
      <w:r>
        <w:rPr>
          <w:rFonts w:ascii="Times New Roman" w:eastAsia="Times New Roman" w:hAnsi="Times New Roman" w:cs="Times New Roman"/>
          <w:sz w:val="24"/>
          <w:szCs w:val="24"/>
        </w:rPr>
        <w:t>, vol. 4, no. 2, pp. 269–276, Apr. 2015.</w:t>
      </w:r>
    </w:p>
    <w:p w14:paraId="37AB6B4F"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[68] A. G. Holmes and M. R. Schmidt, “Hybrid electric powertrain including a two-mode electrically variable transmission,” US Patent 6,478,705, 2002.</w:t>
      </w:r>
    </w:p>
    <w:p w14:paraId="464075D3"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[69] H.-T. Ngo and H.-S. Yan, “Novel configurations for hybrid transmissions using a simple planetary gear train,” </w:t>
      </w:r>
      <w:r>
        <w:rPr>
          <w:rFonts w:ascii="Times New Roman" w:eastAsia="Times New Roman" w:hAnsi="Times New Roman" w:cs="Times New Roman"/>
          <w:i/>
          <w:iCs/>
          <w:sz w:val="24"/>
          <w:szCs w:val="24"/>
        </w:rPr>
        <w:t>J. Mech. Robot.</w:t>
      </w:r>
      <w:r>
        <w:rPr>
          <w:rFonts w:ascii="Times New Roman" w:eastAsia="Times New Roman" w:hAnsi="Times New Roman" w:cs="Times New Roman"/>
          <w:sz w:val="24"/>
          <w:szCs w:val="24"/>
        </w:rPr>
        <w:t>, vol. 8, no. 2, 2016.</w:t>
      </w:r>
    </w:p>
    <w:p w14:paraId="31F4F539"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[70] J. Liu and H. Peng, “A systematic design approach for two planetary gear split hybrid vehicles,” </w:t>
      </w:r>
      <w:r>
        <w:rPr>
          <w:rFonts w:ascii="Times New Roman" w:eastAsia="Times New Roman" w:hAnsi="Times New Roman" w:cs="Times New Roman"/>
          <w:i/>
          <w:iCs/>
          <w:sz w:val="24"/>
          <w:szCs w:val="24"/>
        </w:rPr>
        <w:t>Veh. Syst. Dyn.</w:t>
      </w:r>
      <w:r>
        <w:rPr>
          <w:rFonts w:ascii="Times New Roman" w:eastAsia="Times New Roman" w:hAnsi="Times New Roman" w:cs="Times New Roman"/>
          <w:sz w:val="24"/>
          <w:szCs w:val="24"/>
        </w:rPr>
        <w:t>, vol. 48, no. 11, pp. 1395–1412, 2010.</w:t>
      </w:r>
    </w:p>
    <w:p w14:paraId="1D704FD2"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[71] A. E. Bayrak, N. Kang, and P. Y. </w:t>
      </w:r>
      <w:proofErr w:type="spellStart"/>
      <w:r>
        <w:rPr>
          <w:rFonts w:ascii="Times New Roman" w:eastAsia="Times New Roman" w:hAnsi="Times New Roman" w:cs="Times New Roman"/>
          <w:sz w:val="24"/>
          <w:szCs w:val="24"/>
        </w:rPr>
        <w:t>Papalambros</w:t>
      </w:r>
      <w:proofErr w:type="spellEnd"/>
      <w:r>
        <w:rPr>
          <w:rFonts w:ascii="Times New Roman" w:eastAsia="Times New Roman" w:hAnsi="Times New Roman" w:cs="Times New Roman"/>
          <w:sz w:val="24"/>
          <w:szCs w:val="24"/>
        </w:rPr>
        <w:t xml:space="preserve">, “Decomposition-based design optimization of hybrid electric powertrain architectures,” </w:t>
      </w:r>
      <w:r>
        <w:rPr>
          <w:rFonts w:ascii="Times New Roman" w:eastAsia="Times New Roman" w:hAnsi="Times New Roman" w:cs="Times New Roman"/>
          <w:i/>
          <w:iCs/>
          <w:sz w:val="24"/>
          <w:szCs w:val="24"/>
        </w:rPr>
        <w:t>J. Mech. Des.</w:t>
      </w:r>
      <w:r>
        <w:rPr>
          <w:rFonts w:ascii="Times New Roman" w:eastAsia="Times New Roman" w:hAnsi="Times New Roman" w:cs="Times New Roman"/>
          <w:sz w:val="24"/>
          <w:szCs w:val="24"/>
        </w:rPr>
        <w:t>, vol. 138, no. 7, 2016.</w:t>
      </w:r>
    </w:p>
    <w:p w14:paraId="78B2E308"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[72] M. Kang, H. Kim, and D. Kum, “Systematic configuration selection methodology of power-split hybrid electric vehicles with a single planetary gear,” </w:t>
      </w:r>
      <w:r>
        <w:rPr>
          <w:rFonts w:ascii="Times New Roman" w:eastAsia="Times New Roman" w:hAnsi="Times New Roman" w:cs="Times New Roman"/>
          <w:i/>
          <w:iCs/>
          <w:sz w:val="24"/>
          <w:szCs w:val="24"/>
        </w:rPr>
        <w:t>ASME Dyn. Syst. Control Conf.</w:t>
      </w:r>
      <w:r>
        <w:rPr>
          <w:rFonts w:ascii="Times New Roman" w:eastAsia="Times New Roman" w:hAnsi="Times New Roman" w:cs="Times New Roman"/>
          <w:sz w:val="24"/>
          <w:szCs w:val="24"/>
        </w:rPr>
        <w:t>, 2014.</w:t>
      </w:r>
    </w:p>
    <w:p w14:paraId="01BCAF82"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[73] H. Kim and D. Kum, “Comprehensive design methodology of input- and output-split hybrid electric vehicles,” </w:t>
      </w:r>
      <w:r>
        <w:rPr>
          <w:rFonts w:ascii="Times New Roman" w:eastAsia="Times New Roman" w:hAnsi="Times New Roman" w:cs="Times New Roman"/>
          <w:i/>
          <w:iCs/>
          <w:sz w:val="24"/>
          <w:szCs w:val="24"/>
        </w:rPr>
        <w:t>IEEE/ASME Trans. Mechatronics</w:t>
      </w:r>
      <w:r>
        <w:rPr>
          <w:rFonts w:ascii="Times New Roman" w:eastAsia="Times New Roman" w:hAnsi="Times New Roman" w:cs="Times New Roman"/>
          <w:sz w:val="24"/>
          <w:szCs w:val="24"/>
        </w:rPr>
        <w:t>, vol. 21, no. 6, pp. 2912–2923, 2016.</w:t>
      </w:r>
    </w:p>
    <w:p w14:paraId="3EA5BC9C"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[74] R. </w:t>
      </w:r>
      <w:proofErr w:type="spellStart"/>
      <w:r>
        <w:rPr>
          <w:rFonts w:ascii="Times New Roman" w:eastAsia="Times New Roman" w:hAnsi="Times New Roman" w:cs="Times New Roman"/>
          <w:sz w:val="24"/>
          <w:szCs w:val="24"/>
        </w:rPr>
        <w:t>Finesso</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Spessa</w:t>
      </w:r>
      <w:proofErr w:type="spellEnd"/>
      <w:r>
        <w:rPr>
          <w:rFonts w:ascii="Times New Roman" w:eastAsia="Times New Roman" w:hAnsi="Times New Roman" w:cs="Times New Roman"/>
          <w:sz w:val="24"/>
          <w:szCs w:val="24"/>
        </w:rPr>
        <w:t xml:space="preserve">, and M. Venditti, “Cost-optimized design of a dual-mode diesel parallel hybrid electric vehicle,” </w:t>
      </w:r>
      <w:r>
        <w:rPr>
          <w:rFonts w:ascii="Times New Roman" w:eastAsia="Times New Roman" w:hAnsi="Times New Roman" w:cs="Times New Roman"/>
          <w:i/>
          <w:iCs/>
          <w:sz w:val="24"/>
          <w:szCs w:val="24"/>
        </w:rPr>
        <w:t>Appl. Energy</w:t>
      </w:r>
      <w:r>
        <w:rPr>
          <w:rFonts w:ascii="Times New Roman" w:eastAsia="Times New Roman" w:hAnsi="Times New Roman" w:cs="Times New Roman"/>
          <w:sz w:val="24"/>
          <w:szCs w:val="24"/>
        </w:rPr>
        <w:t>, vol. 177, pp. 366–383, 2016.</w:t>
      </w:r>
    </w:p>
    <w:p w14:paraId="774170DB"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[75] M. Adachi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“Development of a new hybrid transmission for RWD car,” SAE World Congress, 2006.</w:t>
      </w:r>
    </w:p>
    <w:p w14:paraId="24937DA4"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[76] K. </w:t>
      </w:r>
      <w:proofErr w:type="spellStart"/>
      <w:r>
        <w:rPr>
          <w:rFonts w:ascii="Times New Roman" w:eastAsia="Times New Roman" w:hAnsi="Times New Roman" w:cs="Times New Roman"/>
          <w:sz w:val="24"/>
          <w:szCs w:val="24"/>
        </w:rPr>
        <w:t>Kamichi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“Hybrid system development for a high-performance rear drive vehicle,” SAE Technical Paper, 2006.</w:t>
      </w:r>
    </w:p>
    <w:p w14:paraId="4947CEA0"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[77] S. Kato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“Development of multi-stage hybrid system for new Lexus coupe,” </w:t>
      </w:r>
      <w:r>
        <w:rPr>
          <w:rFonts w:ascii="Times New Roman" w:eastAsia="Times New Roman" w:hAnsi="Times New Roman" w:cs="Times New Roman"/>
          <w:i/>
          <w:iCs/>
          <w:sz w:val="24"/>
          <w:szCs w:val="24"/>
        </w:rPr>
        <w:t>SAE Int. J. Altern. Powertrains</w:t>
      </w:r>
      <w:r>
        <w:rPr>
          <w:rFonts w:ascii="Times New Roman" w:eastAsia="Times New Roman" w:hAnsi="Times New Roman" w:cs="Times New Roman"/>
          <w:sz w:val="24"/>
          <w:szCs w:val="24"/>
        </w:rPr>
        <w:t>, vol. 6, no. 1, pp. 136–144, 2017.</w:t>
      </w:r>
    </w:p>
    <w:p w14:paraId="62CEA5FE"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[78] T. Zhang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“Brake clutch assisted mode transition control for compound power-split vehicle,” </w:t>
      </w:r>
      <w:r>
        <w:rPr>
          <w:rFonts w:ascii="Times New Roman" w:eastAsia="Times New Roman" w:hAnsi="Times New Roman" w:cs="Times New Roman"/>
          <w:i/>
          <w:iCs/>
          <w:sz w:val="24"/>
          <w:szCs w:val="24"/>
        </w:rPr>
        <w:t>SAE Int. J. Altern. Powertrains</w:t>
      </w:r>
      <w:r>
        <w:rPr>
          <w:rFonts w:ascii="Times New Roman" w:eastAsia="Times New Roman" w:hAnsi="Times New Roman" w:cs="Times New Roman"/>
          <w:sz w:val="24"/>
          <w:szCs w:val="24"/>
        </w:rPr>
        <w:t>, vol. 6, no. 1, pp. 113–121, 2017.</w:t>
      </w:r>
    </w:p>
    <w:p w14:paraId="2CC2E142"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[79] F. Zhu, L. Chen, and C. Yin, “Design and analysis of a novel multimode transmission for a HEV using a single electric machine,” </w:t>
      </w:r>
      <w:r>
        <w:rPr>
          <w:rFonts w:ascii="Times New Roman" w:eastAsia="Times New Roman" w:hAnsi="Times New Roman" w:cs="Times New Roman"/>
          <w:i/>
          <w:iCs/>
          <w:sz w:val="24"/>
          <w:szCs w:val="24"/>
        </w:rPr>
        <w:t>IEEE Trans. Veh. Technol.</w:t>
      </w:r>
      <w:r>
        <w:rPr>
          <w:rFonts w:ascii="Times New Roman" w:eastAsia="Times New Roman" w:hAnsi="Times New Roman" w:cs="Times New Roman"/>
          <w:sz w:val="24"/>
          <w:szCs w:val="24"/>
        </w:rPr>
        <w:t>, vol. 62, no. 3, pp. 1097–1110, 2013.</w:t>
      </w:r>
    </w:p>
    <w:p w14:paraId="4B486E9A"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[80] S. Tomura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“Development of vibration reduction motor control for series-parallel hybrid system,” SAE Technical Paper, 2006.</w:t>
      </w:r>
    </w:p>
    <w:p w14:paraId="34C7EAAE"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[81] C. Yang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“Economical launching and accelerating control strategy for a single-shaft parallel hybrid electric bus,” </w:t>
      </w:r>
      <w:r>
        <w:rPr>
          <w:rFonts w:ascii="Times New Roman" w:eastAsia="Times New Roman" w:hAnsi="Times New Roman" w:cs="Times New Roman"/>
          <w:i/>
          <w:iCs/>
          <w:sz w:val="24"/>
          <w:szCs w:val="24"/>
        </w:rPr>
        <w:t>Mech. Syst. Signal Process.</w:t>
      </w:r>
      <w:r>
        <w:rPr>
          <w:rFonts w:ascii="Times New Roman" w:eastAsia="Times New Roman" w:hAnsi="Times New Roman" w:cs="Times New Roman"/>
          <w:sz w:val="24"/>
          <w:szCs w:val="24"/>
        </w:rPr>
        <w:t>, vol. 76–77, pp. 649–664, 2016.</w:t>
      </w:r>
    </w:p>
    <w:p w14:paraId="7482DBCA"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[82] H.-Y. Hwang, “Minimizing seat track vibration that is caused by the automatic start/stop of an engine in a power-split hybrid electric vehicle,” </w:t>
      </w:r>
      <w:r>
        <w:rPr>
          <w:rFonts w:ascii="Times New Roman" w:eastAsia="Times New Roman" w:hAnsi="Times New Roman" w:cs="Times New Roman"/>
          <w:i/>
          <w:iCs/>
          <w:sz w:val="24"/>
          <w:szCs w:val="24"/>
        </w:rPr>
        <w:t xml:space="preserve">J. Vib. </w:t>
      </w:r>
      <w:proofErr w:type="spellStart"/>
      <w:r>
        <w:rPr>
          <w:rFonts w:ascii="Times New Roman" w:eastAsia="Times New Roman" w:hAnsi="Times New Roman" w:cs="Times New Roman"/>
          <w:i/>
          <w:iCs/>
          <w:sz w:val="24"/>
          <w:szCs w:val="24"/>
        </w:rPr>
        <w:t>Acoust</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vol. 135, no. 6, 2013.</w:t>
      </w:r>
    </w:p>
    <w:p w14:paraId="5B36D8A1"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[83] D. Kum, H. Peng, and N. K. Bucknor, “Control of engine-starts for optimal drivability of parallel hybrid electric vehicles,” </w:t>
      </w:r>
      <w:r>
        <w:rPr>
          <w:rFonts w:ascii="Times New Roman" w:eastAsia="Times New Roman" w:hAnsi="Times New Roman" w:cs="Times New Roman"/>
          <w:i/>
          <w:iCs/>
          <w:sz w:val="24"/>
          <w:szCs w:val="24"/>
        </w:rPr>
        <w:t>J. Dyn. Syst. Meas. Control</w:t>
      </w:r>
      <w:r>
        <w:rPr>
          <w:rFonts w:ascii="Times New Roman" w:eastAsia="Times New Roman" w:hAnsi="Times New Roman" w:cs="Times New Roman"/>
          <w:sz w:val="24"/>
          <w:szCs w:val="24"/>
        </w:rPr>
        <w:t>, vol. 135, no. 2, 2013.</w:t>
      </w:r>
    </w:p>
    <w:p w14:paraId="62218941"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[84] L. Chen, G. Xi, and J. Sun, “Torque coordination control during mode transition for a series–parallel hybrid electric vehicle,” </w:t>
      </w:r>
      <w:r>
        <w:rPr>
          <w:rFonts w:ascii="Times New Roman" w:eastAsia="Times New Roman" w:hAnsi="Times New Roman" w:cs="Times New Roman"/>
          <w:i/>
          <w:iCs/>
          <w:sz w:val="24"/>
          <w:szCs w:val="24"/>
        </w:rPr>
        <w:t>IEEE Trans. Veh. Technol.</w:t>
      </w:r>
      <w:r>
        <w:rPr>
          <w:rFonts w:ascii="Times New Roman" w:eastAsia="Times New Roman" w:hAnsi="Times New Roman" w:cs="Times New Roman"/>
          <w:sz w:val="24"/>
          <w:szCs w:val="24"/>
        </w:rPr>
        <w:t>, vol. 61, no. 7, pp. 2936–2949, 2012.</w:t>
      </w:r>
    </w:p>
    <w:p w14:paraId="3B9B6A9D"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[85] W. Zhuang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“Mode shift map design and integrated energy management control of a multi-mode hybrid electric vehicle,” </w:t>
      </w:r>
      <w:r>
        <w:rPr>
          <w:rFonts w:ascii="Times New Roman" w:eastAsia="Times New Roman" w:hAnsi="Times New Roman" w:cs="Times New Roman"/>
          <w:i/>
          <w:iCs/>
          <w:sz w:val="24"/>
          <w:szCs w:val="24"/>
        </w:rPr>
        <w:t>Appl. Energy</w:t>
      </w:r>
      <w:r>
        <w:rPr>
          <w:rFonts w:ascii="Times New Roman" w:eastAsia="Times New Roman" w:hAnsi="Times New Roman" w:cs="Times New Roman"/>
          <w:sz w:val="24"/>
          <w:szCs w:val="24"/>
        </w:rPr>
        <w:t>, vol. 204, pp. 476–488, 2017.</w:t>
      </w:r>
    </w:p>
    <w:p w14:paraId="5455E75E"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[86] F. U. Syed, M. L. Kuang, and H. Ying, “Active damping wheel-torque control system to reduce driveline oscillations in a power-split hybrid electric vehicle,” </w:t>
      </w:r>
      <w:r>
        <w:rPr>
          <w:rFonts w:ascii="Times New Roman" w:eastAsia="Times New Roman" w:hAnsi="Times New Roman" w:cs="Times New Roman"/>
          <w:i/>
          <w:iCs/>
          <w:sz w:val="24"/>
          <w:szCs w:val="24"/>
        </w:rPr>
        <w:t>IEEE Trans. Veh. Technol.</w:t>
      </w:r>
      <w:r>
        <w:rPr>
          <w:rFonts w:ascii="Times New Roman" w:eastAsia="Times New Roman" w:hAnsi="Times New Roman" w:cs="Times New Roman"/>
          <w:sz w:val="24"/>
          <w:szCs w:val="24"/>
        </w:rPr>
        <w:t>, vol. 58, no. 9, pp. 4769–4785, 2009.</w:t>
      </w:r>
    </w:p>
    <w:p w14:paraId="7E99F549" w14:textId="77777777" w:rsidR="006D0435" w:rsidRDefault="00000000">
      <w:pPr>
        <w:spacing w:before="240" w:after="24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sz w:val="24"/>
          <w:szCs w:val="24"/>
        </w:rPr>
        <w:t xml:space="preserve">[87] J.-S. Chen and H.-Y. Hwang, “Engine automatic start–stop dynamic analysis and vibration reduction for a two-mode hybrid vehicle,” </w:t>
      </w:r>
      <w:r>
        <w:rPr>
          <w:rFonts w:ascii="Times New Roman" w:eastAsia="Times New Roman" w:hAnsi="Times New Roman" w:cs="Times New Roman"/>
          <w:i/>
          <w:iCs/>
          <w:sz w:val="24"/>
          <w:szCs w:val="24"/>
        </w:rPr>
        <w:t xml:space="preserve">Proc. Inst. Mech. Eng. Part D: J. </w:t>
      </w:r>
      <w:proofErr w:type="spellStart"/>
      <w:r>
        <w:rPr>
          <w:rFonts w:ascii="Times New Roman" w:eastAsia="Times New Roman" w:hAnsi="Times New Roman" w:cs="Times New Roman"/>
          <w:i/>
          <w:iCs/>
          <w:sz w:val="24"/>
          <w:szCs w:val="24"/>
        </w:rPr>
        <w:t>Automob</w:t>
      </w:r>
      <w:proofErr w:type="spellEnd"/>
      <w:r>
        <w:rPr>
          <w:rFonts w:ascii="Times New Roman" w:eastAsia="Times New Roman" w:hAnsi="Times New Roman" w:cs="Times New Roman"/>
          <w:i/>
          <w:iCs/>
          <w:sz w:val="24"/>
          <w:szCs w:val="24"/>
        </w:rPr>
        <w:t>. Eng.</w:t>
      </w:r>
      <w:r>
        <w:rPr>
          <w:rFonts w:ascii="Times New Roman" w:eastAsia="Times New Roman" w:hAnsi="Times New Roman" w:cs="Times New Roman"/>
          <w:sz w:val="24"/>
          <w:szCs w:val="24"/>
        </w:rPr>
        <w:t>, vol. 227, no. 9, pp. 1303–1312, 2013.</w:t>
      </w:r>
    </w:p>
    <w:p w14:paraId="7363E030"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88</w:t>
      </w:r>
      <w:r>
        <w:rPr>
          <w:rFonts w:ascii="Times New Roman" w:eastAsia="Times New Roman" w:hAnsi="Times New Roman" w:cs="Times New Roman"/>
          <w:color w:val="000000"/>
          <w:sz w:val="24"/>
          <w:szCs w:val="24"/>
        </w:rPr>
        <w:t xml:space="preserve">] F. S. Hwang, T. Confrey, C. Reidy, D. </w:t>
      </w:r>
      <w:proofErr w:type="spellStart"/>
      <w:r>
        <w:rPr>
          <w:rFonts w:ascii="Times New Roman" w:eastAsia="Times New Roman" w:hAnsi="Times New Roman" w:cs="Times New Roman"/>
          <w:color w:val="000000"/>
          <w:sz w:val="24"/>
          <w:szCs w:val="24"/>
        </w:rPr>
        <w:t>Picovici</w:t>
      </w:r>
      <w:proofErr w:type="spellEnd"/>
      <w:r>
        <w:rPr>
          <w:rFonts w:ascii="Times New Roman" w:eastAsia="Times New Roman" w:hAnsi="Times New Roman" w:cs="Times New Roman"/>
          <w:color w:val="000000"/>
          <w:sz w:val="24"/>
          <w:szCs w:val="24"/>
        </w:rPr>
        <w:t xml:space="preserve">, D. Callaghan, D. Culliton, and C. Nolan, "Review of battery thermal management systems in electric vehicles," Renewable and Sustainable Energy Reviews, vol. 192, Art. no. 114171, 2024,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10.1016/j.rser.2023.114171.</w:t>
      </w:r>
    </w:p>
    <w:p w14:paraId="599C7637"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89</w:t>
      </w:r>
      <w:r>
        <w:rPr>
          <w:rFonts w:ascii="Times New Roman" w:eastAsia="Times New Roman" w:hAnsi="Times New Roman" w:cs="Times New Roman"/>
          <w:color w:val="000000"/>
          <w:sz w:val="24"/>
          <w:szCs w:val="24"/>
        </w:rPr>
        <w:t xml:space="preserve">] Y. Wang, C. Zhang, Z. Chen, J. Xie, and X. Zhang, "A review of battery modeling and state estimation approaches for battery management systems," Renewable and Sustainable Energy Reviews, vol. 131, Art. no. 110015, 2020,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10.1016/j.rser.2020.110015.</w:t>
      </w:r>
    </w:p>
    <w:p w14:paraId="627001A8"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90</w:t>
      </w:r>
      <w:r>
        <w:rPr>
          <w:rFonts w:ascii="Times New Roman" w:eastAsia="Times New Roman" w:hAnsi="Times New Roman" w:cs="Times New Roman"/>
          <w:color w:val="000000"/>
          <w:sz w:val="24"/>
          <w:szCs w:val="24"/>
        </w:rPr>
        <w:t xml:space="preserve">] J. Jiang, C. Liu, J. Li, C. Ni, and Z. Gao, "Advances in battery state estimation of battery management system in energy management: A comprehensive review," Journal of Power Sources, vol. 612, Art. no. 234781, 2024,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10.1016/j.jpowsour.2024.234781.</w:t>
      </w:r>
    </w:p>
    <w:p w14:paraId="7DFC7686"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91</w:t>
      </w:r>
      <w:r>
        <w:rPr>
          <w:rFonts w:ascii="Times New Roman" w:eastAsia="Times New Roman" w:hAnsi="Times New Roman" w:cs="Times New Roman"/>
          <w:color w:val="000000"/>
          <w:sz w:val="24"/>
          <w:szCs w:val="24"/>
        </w:rPr>
        <w:t xml:space="preserve">] B. Xu, J. Lee, D. Kwon, L. Kong, and M. Pecht, "Mitigation strategies for Li-ion battery thermal runaway: A review," Renewable and Sustainable Energy Reviews, vol. 150, Art. no. 111437, 2021,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10.1016/j.rser.2021.111437.</w:t>
      </w:r>
    </w:p>
    <w:p w14:paraId="595BF37B"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92</w:t>
      </w:r>
      <w:r>
        <w:rPr>
          <w:rFonts w:ascii="Times New Roman" w:eastAsia="Times New Roman" w:hAnsi="Times New Roman" w:cs="Times New Roman"/>
          <w:color w:val="000000"/>
          <w:sz w:val="24"/>
          <w:szCs w:val="24"/>
        </w:rPr>
        <w:t xml:space="preserve">] D. Ren, X. Feng, L. Lu, M. Ouyang, and X. He, "Mitigating Thermal Runaway of Lithium-Ion Batteries," Joule, vol. 4, no. 4, pp. 743-770, 2020,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10.1016/j.joule.2020.02.010.</w:t>
      </w:r>
    </w:p>
    <w:p w14:paraId="379898D1"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93</w:t>
      </w:r>
      <w:r>
        <w:rPr>
          <w:rFonts w:ascii="Times New Roman" w:eastAsia="Times New Roman" w:hAnsi="Times New Roman" w:cs="Times New Roman"/>
          <w:color w:val="000000"/>
          <w:sz w:val="24"/>
          <w:szCs w:val="24"/>
        </w:rPr>
        <w:t xml:space="preserve">] M. Weiss, R. Ruess, J. </w:t>
      </w:r>
      <w:proofErr w:type="spellStart"/>
      <w:r>
        <w:rPr>
          <w:rFonts w:ascii="Times New Roman" w:eastAsia="Times New Roman" w:hAnsi="Times New Roman" w:cs="Times New Roman"/>
          <w:color w:val="000000"/>
          <w:sz w:val="24"/>
          <w:szCs w:val="24"/>
        </w:rPr>
        <w:t>Kasnatscheew</w:t>
      </w:r>
      <w:proofErr w:type="spellEnd"/>
      <w:r>
        <w:rPr>
          <w:rFonts w:ascii="Times New Roman" w:eastAsia="Times New Roman" w:hAnsi="Times New Roman" w:cs="Times New Roman"/>
          <w:color w:val="000000"/>
          <w:sz w:val="24"/>
          <w:szCs w:val="24"/>
        </w:rPr>
        <w:t xml:space="preserve">, Y. Levartovsky, N. R. Levy, P. Minnmann, L. Stolz, T. Waldmann, M. Wohlfahrt-Mehrens, D. </w:t>
      </w:r>
      <w:proofErr w:type="spellStart"/>
      <w:r>
        <w:rPr>
          <w:rFonts w:ascii="Times New Roman" w:eastAsia="Times New Roman" w:hAnsi="Times New Roman" w:cs="Times New Roman"/>
          <w:color w:val="000000"/>
          <w:sz w:val="24"/>
          <w:szCs w:val="24"/>
        </w:rPr>
        <w:t>Aurbach</w:t>
      </w:r>
      <w:proofErr w:type="spellEnd"/>
      <w:r>
        <w:rPr>
          <w:rFonts w:ascii="Times New Roman" w:eastAsia="Times New Roman" w:hAnsi="Times New Roman" w:cs="Times New Roman"/>
          <w:color w:val="000000"/>
          <w:sz w:val="24"/>
          <w:szCs w:val="24"/>
        </w:rPr>
        <w:t xml:space="preserve">, M. Winter, Y. Ein-Eli, and J. Janek, "Fast Charging of Lithium-Ion Batteries: A Review of Materials Aspects," Advanced Energy Materials, vol. 11, Art. no. 2101126, 2021,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10.1002/aenm.202101126.</w:t>
      </w:r>
    </w:p>
    <w:p w14:paraId="742B4950"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94</w:t>
      </w:r>
      <w:r>
        <w:rPr>
          <w:rFonts w:ascii="Times New Roman" w:eastAsia="Times New Roman" w:hAnsi="Times New Roman" w:cs="Times New Roman"/>
          <w:color w:val="000000"/>
          <w:sz w:val="24"/>
          <w:szCs w:val="24"/>
        </w:rPr>
        <w:t xml:space="preserve">] C.-Y. Wang, T. Liu, X.-G. Yang, S. Ge, N. V. Stanley, E. S. Rountree, Y. Leng, and B. D. McCarthy, "Fast charging of energy-dense lithium-ion batteries," Nature, vol. 611, no. 7936, pp. 485-490, 2022,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10.1038/s41586-022-05281-0.</w:t>
      </w:r>
    </w:p>
    <w:p w14:paraId="3BA87587"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t>
      </w:r>
      <w:r>
        <w:rPr>
          <w:rFonts w:ascii="Times New Roman" w:eastAsia="Times New Roman" w:hAnsi="Times New Roman" w:cs="Times New Roman"/>
          <w:sz w:val="24"/>
          <w:szCs w:val="24"/>
        </w:rPr>
        <w:t>95</w:t>
      </w:r>
      <w:r>
        <w:rPr>
          <w:rFonts w:ascii="Times New Roman" w:eastAsia="Times New Roman" w:hAnsi="Times New Roman" w:cs="Times New Roman"/>
          <w:color w:val="000000"/>
          <w:sz w:val="24"/>
          <w:szCs w:val="24"/>
        </w:rPr>
        <w:t xml:space="preserve">] P. Xu, Q. Dai, H. Gao, H. Liu, M. Zhang, M. Li, Y. Chen, K. An, Y. S. Meng, P. Liu, Y. Li, J. S. Spangenberger, L. Gaines, J. Lu, and Z. Chen, "Efficient Direct Recycling of Lithium-Ion Battery Cathodes by Targeted Healing," Joule, vol. 4, no. 12, pp. 2609-2626, 2020,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10.1016/j.joule.2020.10.008.</w:t>
      </w:r>
    </w:p>
    <w:p w14:paraId="48B1926F" w14:textId="77777777" w:rsidR="006D0435"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96</w:t>
      </w:r>
      <w:r>
        <w:rPr>
          <w:rFonts w:ascii="Times New Roman" w:eastAsia="Times New Roman" w:hAnsi="Times New Roman" w:cs="Times New Roman"/>
          <w:color w:val="000000"/>
          <w:sz w:val="24"/>
          <w:szCs w:val="24"/>
        </w:rPr>
        <w:t>] A. J. Edge et al., "</w:t>
      </w:r>
      <w:proofErr w:type="gramStart"/>
      <w:r>
        <w:rPr>
          <w:rFonts w:ascii="Times New Roman" w:eastAsia="Times New Roman" w:hAnsi="Times New Roman" w:cs="Times New Roman"/>
          <w:color w:val="000000"/>
          <w:sz w:val="24"/>
          <w:szCs w:val="24"/>
        </w:rPr>
        <w:t>Lithium ion</w:t>
      </w:r>
      <w:proofErr w:type="gramEnd"/>
      <w:r>
        <w:rPr>
          <w:rFonts w:ascii="Times New Roman" w:eastAsia="Times New Roman" w:hAnsi="Times New Roman" w:cs="Times New Roman"/>
          <w:color w:val="000000"/>
          <w:sz w:val="24"/>
          <w:szCs w:val="24"/>
        </w:rPr>
        <w:t xml:space="preserve"> battery degradation: what you need to know," Physical Chemistry Chemical Physics, vol. 23, pp. 8200-8221, 2021,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10.1039/D1CP00359C.</w:t>
      </w:r>
    </w:p>
    <w:p w14:paraId="5F4B96B9" w14:textId="77777777" w:rsidR="006D0435" w:rsidRDefault="00000000">
      <w:pPr>
        <w:spacing w:before="20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97</w:t>
      </w:r>
      <w:r>
        <w:rPr>
          <w:rFonts w:ascii="Times New Roman" w:eastAsia="Times New Roman" w:hAnsi="Times New Roman" w:cs="Times New Roman"/>
          <w:color w:val="000000"/>
          <w:sz w:val="24"/>
          <w:szCs w:val="24"/>
        </w:rPr>
        <w:t xml:space="preserve">] M. J. Wang, E. </w:t>
      </w:r>
      <w:proofErr w:type="spellStart"/>
      <w:r>
        <w:rPr>
          <w:rFonts w:ascii="Times New Roman" w:eastAsia="Times New Roman" w:hAnsi="Times New Roman" w:cs="Times New Roman"/>
          <w:color w:val="000000"/>
          <w:sz w:val="24"/>
          <w:szCs w:val="24"/>
        </w:rPr>
        <w:t>Kazyak</w:t>
      </w:r>
      <w:proofErr w:type="spellEnd"/>
      <w:r>
        <w:rPr>
          <w:rFonts w:ascii="Times New Roman" w:eastAsia="Times New Roman" w:hAnsi="Times New Roman" w:cs="Times New Roman"/>
          <w:color w:val="000000"/>
          <w:sz w:val="24"/>
          <w:szCs w:val="24"/>
        </w:rPr>
        <w:t xml:space="preserve">, N. P. Dasgupta, and J. Sakamoto, "Transitioning solid-state batteries from lab to market: Linking electro-chemo-mechanics with practical considerations," Joule, vol. 5, no. 6, pp. 1371-1390, 2021,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10.1016/j.joule.2021.04.001.</w:t>
      </w:r>
    </w:p>
    <w:p w14:paraId="71E20E59" w14:textId="77777777" w:rsidR="006D0435" w:rsidRDefault="00000000">
      <w:pPr>
        <w:spacing w:before="20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98</w:t>
      </w:r>
      <w:r>
        <w:rPr>
          <w:rFonts w:ascii="Times New Roman" w:eastAsia="Times New Roman" w:hAnsi="Times New Roman" w:cs="Times New Roman"/>
          <w:color w:val="000000"/>
          <w:sz w:val="24"/>
          <w:szCs w:val="24"/>
        </w:rPr>
        <w:t xml:space="preserve">] R. </w:t>
      </w:r>
      <w:proofErr w:type="spellStart"/>
      <w:r>
        <w:rPr>
          <w:rFonts w:ascii="Times New Roman" w:eastAsia="Times New Roman" w:hAnsi="Times New Roman" w:cs="Times New Roman"/>
          <w:color w:val="000000"/>
          <w:sz w:val="24"/>
          <w:szCs w:val="24"/>
        </w:rPr>
        <w:t>Usiskin</w:t>
      </w:r>
      <w:proofErr w:type="spellEnd"/>
      <w:r>
        <w:rPr>
          <w:rFonts w:ascii="Times New Roman" w:eastAsia="Times New Roman" w:hAnsi="Times New Roman" w:cs="Times New Roman"/>
          <w:color w:val="000000"/>
          <w:sz w:val="24"/>
          <w:szCs w:val="24"/>
        </w:rPr>
        <w:t xml:space="preserve">, Y. Lu, J. Popovic, M. Law, P. </w:t>
      </w:r>
      <w:proofErr w:type="spellStart"/>
      <w:r>
        <w:rPr>
          <w:rFonts w:ascii="Times New Roman" w:eastAsia="Times New Roman" w:hAnsi="Times New Roman" w:cs="Times New Roman"/>
          <w:color w:val="000000"/>
          <w:sz w:val="24"/>
          <w:szCs w:val="24"/>
        </w:rPr>
        <w:t>Balaya</w:t>
      </w:r>
      <w:proofErr w:type="spellEnd"/>
      <w:r>
        <w:rPr>
          <w:rFonts w:ascii="Times New Roman" w:eastAsia="Times New Roman" w:hAnsi="Times New Roman" w:cs="Times New Roman"/>
          <w:color w:val="000000"/>
          <w:sz w:val="24"/>
          <w:szCs w:val="24"/>
        </w:rPr>
        <w:t xml:space="preserve">, Y.-S. Hu, and J. Maier, "Fundamentals, status and promise of sodium-based batteries," Nature Reviews Materials, vol. 6, no. 11, pp. 1020-1035, 2021,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10.1038/s41578-021-00324-w.</w:t>
      </w:r>
    </w:p>
    <w:p w14:paraId="084D4FB1" w14:textId="77777777" w:rsidR="006D0435" w:rsidRDefault="00000000">
      <w:pPr>
        <w:pBdr>
          <w:top w:val="nil"/>
          <w:left w:val="nil"/>
          <w:bottom w:val="nil"/>
          <w:right w:val="nil"/>
          <w:between w:val="nil"/>
        </w:pBdr>
        <w:spacing w:before="200" w:after="18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99</w:t>
      </w:r>
      <w:r>
        <w:rPr>
          <w:rFonts w:ascii="Times New Roman" w:eastAsia="Times New Roman" w:hAnsi="Times New Roman" w:cs="Times New Roman"/>
          <w:color w:val="000000"/>
          <w:sz w:val="24"/>
          <w:szCs w:val="24"/>
        </w:rPr>
        <w:t>] IEA, Global EV Outlook 2024, 2024. (N/A)</w:t>
      </w:r>
      <w:r>
        <w:rPr>
          <w:rFonts w:ascii="Times New Roman" w:eastAsia="Times New Roman" w:hAnsi="Times New Roman" w:cs="Times New Roman"/>
          <w:color w:val="000000"/>
          <w:sz w:val="24"/>
          <w:szCs w:val="24"/>
        </w:rPr>
        <w:br/>
        <w:t>[</w:t>
      </w:r>
      <w:r>
        <w:rPr>
          <w:rFonts w:ascii="Times New Roman" w:eastAsia="Times New Roman" w:hAnsi="Times New Roman" w:cs="Times New Roman"/>
          <w:sz w:val="24"/>
          <w:szCs w:val="24"/>
        </w:rPr>
        <w:t>100</w:t>
      </w:r>
      <w:r>
        <w:rPr>
          <w:rFonts w:ascii="Times New Roman" w:eastAsia="Times New Roman" w:hAnsi="Times New Roman" w:cs="Times New Roman"/>
          <w:color w:val="000000"/>
          <w:sz w:val="24"/>
          <w:szCs w:val="24"/>
        </w:rPr>
        <w:t xml:space="preserve">] W. Cai et al., “Review of electric motor systems for new energy vehicles,” </w:t>
      </w:r>
      <w:proofErr w:type="spellStart"/>
      <w:r>
        <w:rPr>
          <w:rFonts w:ascii="Times New Roman" w:eastAsia="Times New Roman" w:hAnsi="Times New Roman" w:cs="Times New Roman"/>
          <w:color w:val="000000"/>
          <w:sz w:val="24"/>
          <w:szCs w:val="24"/>
        </w:rPr>
        <w:t>Automot</w:t>
      </w:r>
      <w:proofErr w:type="spellEnd"/>
      <w:r>
        <w:rPr>
          <w:rFonts w:ascii="Times New Roman" w:eastAsia="Times New Roman" w:hAnsi="Times New Roman" w:cs="Times New Roman"/>
          <w:color w:val="000000"/>
          <w:sz w:val="24"/>
          <w:szCs w:val="24"/>
        </w:rPr>
        <w:t xml:space="preserve">. Innov., vol. 4, pp. 3–22, 2021.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xml:space="preserve">: </w:t>
      </w:r>
      <w:hyperlink r:id="rId357">
        <w:r>
          <w:rPr>
            <w:rFonts w:ascii="Times New Roman" w:eastAsia="Times New Roman" w:hAnsi="Times New Roman" w:cs="Times New Roman"/>
            <w:color w:val="000000"/>
            <w:sz w:val="24"/>
            <w:szCs w:val="24"/>
          </w:rPr>
          <w:t>10.1007/s42154-021-00139-z</w:t>
        </w:r>
      </w:hyperlink>
      <w:r>
        <w:rPr>
          <w:rFonts w:ascii="Times New Roman" w:eastAsia="Times New Roman" w:hAnsi="Times New Roman" w:cs="Times New Roman"/>
          <w:color w:val="000000"/>
          <w:sz w:val="24"/>
          <w:szCs w:val="24"/>
        </w:rPr>
        <w:t>. (Q1)</w:t>
      </w:r>
      <w:r>
        <w:rPr>
          <w:rFonts w:ascii="Times New Roman" w:eastAsia="Times New Roman" w:hAnsi="Times New Roman" w:cs="Times New Roman"/>
          <w:color w:val="000000"/>
          <w:sz w:val="24"/>
          <w:szCs w:val="24"/>
        </w:rPr>
        <w:br/>
        <w:t>[</w:t>
      </w:r>
      <w:r>
        <w:rPr>
          <w:rFonts w:ascii="Times New Roman" w:eastAsia="Times New Roman" w:hAnsi="Times New Roman" w:cs="Times New Roman"/>
          <w:sz w:val="24"/>
          <w:szCs w:val="24"/>
        </w:rPr>
        <w:t>101</w:t>
      </w:r>
      <w:r>
        <w:rPr>
          <w:rFonts w:ascii="Times New Roman" w:eastAsia="Times New Roman" w:hAnsi="Times New Roman" w:cs="Times New Roman"/>
          <w:color w:val="000000"/>
          <w:sz w:val="24"/>
          <w:szCs w:val="24"/>
        </w:rPr>
        <w:t xml:space="preserve">] M. Gobbi et al., “Maximization of mechanical efficiency – a review of traction motors for EVs,” Appl. Energy, vol. 357, 2024, Art. 122496.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xml:space="preserve">: </w:t>
      </w:r>
      <w:hyperlink r:id="rId358">
        <w:r>
          <w:rPr>
            <w:rFonts w:ascii="Times New Roman" w:eastAsia="Times New Roman" w:hAnsi="Times New Roman" w:cs="Times New Roman"/>
            <w:color w:val="000000"/>
            <w:sz w:val="24"/>
            <w:szCs w:val="24"/>
          </w:rPr>
          <w:t>10.1016/j.apenergy.2023.122496</w:t>
        </w:r>
      </w:hyperlink>
      <w:r>
        <w:rPr>
          <w:rFonts w:ascii="Times New Roman" w:eastAsia="Times New Roman" w:hAnsi="Times New Roman" w:cs="Times New Roman"/>
          <w:color w:val="000000"/>
          <w:sz w:val="24"/>
          <w:szCs w:val="24"/>
        </w:rPr>
        <w:t>. (Q1)</w:t>
      </w:r>
      <w:r>
        <w:rPr>
          <w:rFonts w:ascii="Times New Roman" w:eastAsia="Times New Roman" w:hAnsi="Times New Roman" w:cs="Times New Roman"/>
          <w:color w:val="000000"/>
          <w:sz w:val="24"/>
          <w:szCs w:val="24"/>
        </w:rPr>
        <w:br/>
        <w:t>[</w:t>
      </w:r>
      <w:r>
        <w:rPr>
          <w:rFonts w:ascii="Times New Roman" w:eastAsia="Times New Roman" w:hAnsi="Times New Roman" w:cs="Times New Roman"/>
          <w:sz w:val="24"/>
          <w:szCs w:val="24"/>
        </w:rPr>
        <w:t>102</w:t>
      </w:r>
      <w:r>
        <w:rPr>
          <w:rFonts w:ascii="Times New Roman" w:eastAsia="Times New Roman" w:hAnsi="Times New Roman" w:cs="Times New Roman"/>
          <w:color w:val="000000"/>
          <w:sz w:val="24"/>
          <w:szCs w:val="24"/>
        </w:rPr>
        <w:t xml:space="preserve">] R. Wrobel, “Thermal management of integrated electric machines,” Therm. Sci. Eng. Prog., vol. 29, 2022, Art. 101222.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xml:space="preserve">: </w:t>
      </w:r>
      <w:hyperlink r:id="rId359">
        <w:r>
          <w:rPr>
            <w:rFonts w:ascii="Times New Roman" w:eastAsia="Times New Roman" w:hAnsi="Times New Roman" w:cs="Times New Roman"/>
            <w:color w:val="000000"/>
            <w:sz w:val="24"/>
            <w:szCs w:val="24"/>
          </w:rPr>
          <w:t>10.1016/j.tsep.2022.101222</w:t>
        </w:r>
      </w:hyperlink>
      <w:r>
        <w:rPr>
          <w:rFonts w:ascii="Times New Roman" w:eastAsia="Times New Roman" w:hAnsi="Times New Roman" w:cs="Times New Roman"/>
          <w:color w:val="000000"/>
          <w:sz w:val="24"/>
          <w:szCs w:val="24"/>
        </w:rPr>
        <w:t>. (Q1)</w:t>
      </w:r>
      <w:r>
        <w:rPr>
          <w:rFonts w:ascii="Times New Roman" w:eastAsia="Times New Roman" w:hAnsi="Times New Roman" w:cs="Times New Roman"/>
          <w:color w:val="000000"/>
          <w:sz w:val="24"/>
          <w:szCs w:val="24"/>
        </w:rPr>
        <w:br/>
        <w:t>[</w:t>
      </w:r>
      <w:r>
        <w:rPr>
          <w:rFonts w:ascii="Times New Roman" w:eastAsia="Times New Roman" w:hAnsi="Times New Roman" w:cs="Times New Roman"/>
          <w:sz w:val="24"/>
          <w:szCs w:val="24"/>
        </w:rPr>
        <w:t>103</w:t>
      </w:r>
      <w:r>
        <w:rPr>
          <w:rFonts w:ascii="Times New Roman" w:eastAsia="Times New Roman" w:hAnsi="Times New Roman" w:cs="Times New Roman"/>
          <w:color w:val="000000"/>
          <w:sz w:val="24"/>
          <w:szCs w:val="24"/>
        </w:rPr>
        <w:t xml:space="preserve">] S. Dutta and J. Bauman, “800 V on-board chargers: challenges and topologies,” IEEE Access, 2024.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xml:space="preserve">: </w:t>
      </w:r>
      <w:hyperlink r:id="rId360">
        <w:r>
          <w:rPr>
            <w:rFonts w:ascii="Times New Roman" w:eastAsia="Times New Roman" w:hAnsi="Times New Roman" w:cs="Times New Roman"/>
            <w:color w:val="000000"/>
            <w:sz w:val="24"/>
            <w:szCs w:val="24"/>
          </w:rPr>
          <w:t>10.1109/ACCESS.2024.3435463</w:t>
        </w:r>
      </w:hyperlink>
      <w:r>
        <w:rPr>
          <w:rFonts w:ascii="Times New Roman" w:eastAsia="Times New Roman" w:hAnsi="Times New Roman" w:cs="Times New Roman"/>
          <w:color w:val="000000"/>
          <w:sz w:val="24"/>
          <w:szCs w:val="24"/>
        </w:rPr>
        <w:t>. (Q1)</w:t>
      </w:r>
      <w:r>
        <w:rPr>
          <w:rFonts w:ascii="Times New Roman" w:eastAsia="Times New Roman" w:hAnsi="Times New Roman" w:cs="Times New Roman"/>
          <w:color w:val="000000"/>
          <w:sz w:val="24"/>
          <w:szCs w:val="24"/>
        </w:rPr>
        <w:br/>
        <w:t>[</w:t>
      </w:r>
      <w:r>
        <w:rPr>
          <w:rFonts w:ascii="Times New Roman" w:eastAsia="Times New Roman" w:hAnsi="Times New Roman" w:cs="Times New Roman"/>
          <w:sz w:val="24"/>
          <w:szCs w:val="24"/>
        </w:rPr>
        <w:t>104</w:t>
      </w:r>
      <w:r>
        <w:rPr>
          <w:rFonts w:ascii="Times New Roman" w:eastAsia="Times New Roman" w:hAnsi="Times New Roman" w:cs="Times New Roman"/>
          <w:color w:val="000000"/>
          <w:sz w:val="24"/>
          <w:szCs w:val="24"/>
        </w:rPr>
        <w:t xml:space="preserve">] H. </w:t>
      </w:r>
      <w:proofErr w:type="spellStart"/>
      <w:r>
        <w:rPr>
          <w:rFonts w:ascii="Times New Roman" w:eastAsia="Times New Roman" w:hAnsi="Times New Roman" w:cs="Times New Roman"/>
          <w:color w:val="000000"/>
          <w:sz w:val="24"/>
          <w:szCs w:val="24"/>
        </w:rPr>
        <w:t>Umegami</w:t>
      </w:r>
      <w:proofErr w:type="spellEnd"/>
      <w:r>
        <w:rPr>
          <w:rFonts w:ascii="Times New Roman" w:eastAsia="Times New Roman" w:hAnsi="Times New Roman" w:cs="Times New Roman"/>
          <w:color w:val="000000"/>
          <w:sz w:val="24"/>
          <w:szCs w:val="24"/>
        </w:rPr>
        <w:t>, “</w:t>
      </w:r>
      <w:proofErr w:type="spellStart"/>
      <w:r>
        <w:rPr>
          <w:rFonts w:ascii="Times New Roman" w:eastAsia="Times New Roman" w:hAnsi="Times New Roman" w:cs="Times New Roman"/>
          <w:color w:val="000000"/>
          <w:sz w:val="24"/>
          <w:szCs w:val="24"/>
        </w:rPr>
        <w:t>SiC</w:t>
      </w:r>
      <w:proofErr w:type="spellEnd"/>
      <w:r>
        <w:rPr>
          <w:rFonts w:ascii="Times New Roman" w:eastAsia="Times New Roman" w:hAnsi="Times New Roman" w:cs="Times New Roman"/>
          <w:color w:val="000000"/>
          <w:sz w:val="24"/>
          <w:szCs w:val="24"/>
        </w:rPr>
        <w:t xml:space="preserve"> inverters for EVs—modeling and evaluation,” Energies, vol. 15, no. 19, 2022, Art. 7025.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xml:space="preserve">: </w:t>
      </w:r>
      <w:hyperlink r:id="rId361">
        <w:r>
          <w:rPr>
            <w:rFonts w:ascii="Times New Roman" w:eastAsia="Times New Roman" w:hAnsi="Times New Roman" w:cs="Times New Roman"/>
            <w:color w:val="000000"/>
            <w:sz w:val="24"/>
            <w:szCs w:val="24"/>
          </w:rPr>
          <w:t>10.3390/en15197025</w:t>
        </w:r>
      </w:hyperlink>
      <w:r>
        <w:rPr>
          <w:rFonts w:ascii="Times New Roman" w:eastAsia="Times New Roman" w:hAnsi="Times New Roman" w:cs="Times New Roman"/>
          <w:color w:val="000000"/>
          <w:sz w:val="24"/>
          <w:szCs w:val="24"/>
        </w:rPr>
        <w:t>. (Q1)</w:t>
      </w:r>
      <w:r>
        <w:rPr>
          <w:rFonts w:ascii="Times New Roman" w:eastAsia="Times New Roman" w:hAnsi="Times New Roman" w:cs="Times New Roman"/>
          <w:color w:val="000000"/>
          <w:sz w:val="24"/>
          <w:szCs w:val="24"/>
        </w:rPr>
        <w:br/>
        <w:t>[</w:t>
      </w:r>
      <w:r>
        <w:rPr>
          <w:rFonts w:ascii="Times New Roman" w:eastAsia="Times New Roman" w:hAnsi="Times New Roman" w:cs="Times New Roman"/>
          <w:sz w:val="24"/>
          <w:szCs w:val="24"/>
        </w:rPr>
        <w:t>105</w:t>
      </w:r>
      <w:r>
        <w:rPr>
          <w:rFonts w:ascii="Times New Roman" w:eastAsia="Times New Roman" w:hAnsi="Times New Roman" w:cs="Times New Roman"/>
          <w:color w:val="000000"/>
          <w:sz w:val="24"/>
          <w:szCs w:val="24"/>
        </w:rPr>
        <w:t xml:space="preserve">] Y. V. Sambhavi and V. Ramachandran, “Review of traction inverter systems for EVs,” Energy Reports, vol. 10, 2024, pp. 3882–3907.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xml:space="preserve">: </w:t>
      </w:r>
      <w:hyperlink r:id="rId362">
        <w:r>
          <w:rPr>
            <w:rFonts w:ascii="Times New Roman" w:eastAsia="Times New Roman" w:hAnsi="Times New Roman" w:cs="Times New Roman"/>
            <w:color w:val="000000"/>
            <w:sz w:val="24"/>
            <w:szCs w:val="24"/>
          </w:rPr>
          <w:t>10.1016/j.egyr.2023.10.056</w:t>
        </w:r>
      </w:hyperlink>
      <w:r>
        <w:rPr>
          <w:rFonts w:ascii="Times New Roman" w:eastAsia="Times New Roman" w:hAnsi="Times New Roman" w:cs="Times New Roman"/>
          <w:color w:val="000000"/>
          <w:sz w:val="24"/>
          <w:szCs w:val="24"/>
        </w:rPr>
        <w:t>. (Q1)</w:t>
      </w:r>
      <w:r>
        <w:rPr>
          <w:rFonts w:ascii="Times New Roman" w:eastAsia="Times New Roman" w:hAnsi="Times New Roman" w:cs="Times New Roman"/>
          <w:color w:val="000000"/>
          <w:sz w:val="24"/>
          <w:szCs w:val="24"/>
        </w:rPr>
        <w:br/>
        <w:t>[</w:t>
      </w:r>
      <w:r>
        <w:rPr>
          <w:rFonts w:ascii="Times New Roman" w:eastAsia="Times New Roman" w:hAnsi="Times New Roman" w:cs="Times New Roman"/>
          <w:sz w:val="24"/>
          <w:szCs w:val="24"/>
        </w:rPr>
        <w:t>106</w:t>
      </w:r>
      <w:r>
        <w:rPr>
          <w:rFonts w:ascii="Times New Roman" w:eastAsia="Times New Roman" w:hAnsi="Times New Roman" w:cs="Times New Roman"/>
          <w:color w:val="000000"/>
          <w:sz w:val="24"/>
          <w:szCs w:val="24"/>
        </w:rPr>
        <w:t xml:space="preserve">] A. </w:t>
      </w:r>
      <w:proofErr w:type="spellStart"/>
      <w:r>
        <w:rPr>
          <w:rFonts w:ascii="Times New Roman" w:eastAsia="Times New Roman" w:hAnsi="Times New Roman" w:cs="Times New Roman"/>
          <w:color w:val="000000"/>
          <w:sz w:val="24"/>
          <w:szCs w:val="24"/>
        </w:rPr>
        <w:t>Poorfakhraei</w:t>
      </w:r>
      <w:proofErr w:type="spellEnd"/>
      <w:r>
        <w:rPr>
          <w:rFonts w:ascii="Times New Roman" w:eastAsia="Times New Roman" w:hAnsi="Times New Roman" w:cs="Times New Roman"/>
          <w:color w:val="000000"/>
          <w:sz w:val="24"/>
          <w:szCs w:val="24"/>
        </w:rPr>
        <w:t xml:space="preserve"> et al., “Review of multilevel inverter topologies in electric vehicles: current status and future,” IEEE Open J. Power Electron., 2021.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xml:space="preserve">: </w:t>
      </w:r>
      <w:hyperlink r:id="rId363">
        <w:r>
          <w:rPr>
            <w:rFonts w:ascii="Times New Roman" w:eastAsia="Times New Roman" w:hAnsi="Times New Roman" w:cs="Times New Roman"/>
            <w:color w:val="000000"/>
            <w:sz w:val="24"/>
            <w:szCs w:val="24"/>
          </w:rPr>
          <w:t>10.1109/OJPEL.2021.3063550</w:t>
        </w:r>
      </w:hyperlink>
      <w:r>
        <w:rPr>
          <w:rFonts w:ascii="Times New Roman" w:eastAsia="Times New Roman" w:hAnsi="Times New Roman" w:cs="Times New Roman"/>
          <w:color w:val="000000"/>
          <w:sz w:val="24"/>
          <w:szCs w:val="24"/>
        </w:rPr>
        <w:t>. (Q1)</w:t>
      </w:r>
      <w:r>
        <w:rPr>
          <w:rFonts w:ascii="Times New Roman" w:eastAsia="Times New Roman" w:hAnsi="Times New Roman" w:cs="Times New Roman"/>
          <w:color w:val="000000"/>
          <w:sz w:val="24"/>
          <w:szCs w:val="24"/>
        </w:rPr>
        <w:br/>
        <w:t>[</w:t>
      </w:r>
      <w:r>
        <w:rPr>
          <w:rFonts w:ascii="Times New Roman" w:eastAsia="Times New Roman" w:hAnsi="Times New Roman" w:cs="Times New Roman"/>
          <w:sz w:val="24"/>
          <w:szCs w:val="24"/>
        </w:rPr>
        <w:t>107</w:t>
      </w:r>
      <w:r>
        <w:rPr>
          <w:rFonts w:ascii="Times New Roman" w:eastAsia="Times New Roman" w:hAnsi="Times New Roman" w:cs="Times New Roman"/>
          <w:color w:val="000000"/>
          <w:sz w:val="24"/>
          <w:szCs w:val="24"/>
        </w:rPr>
        <w:t xml:space="preserve">] G. Iannaccone et al., “Power electronics based on wide-bandgap semiconductors: opportunities and challenges,” IEEE Access, 2021.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xml:space="preserve">: </w:t>
      </w:r>
      <w:hyperlink r:id="rId364">
        <w:r>
          <w:rPr>
            <w:rFonts w:ascii="Times New Roman" w:eastAsia="Times New Roman" w:hAnsi="Times New Roman" w:cs="Times New Roman"/>
            <w:color w:val="000000"/>
            <w:sz w:val="24"/>
            <w:szCs w:val="24"/>
          </w:rPr>
          <w:t>10.1109/ACCESS.2021.3118897</w:t>
        </w:r>
      </w:hyperlink>
      <w:r>
        <w:rPr>
          <w:rFonts w:ascii="Times New Roman" w:eastAsia="Times New Roman" w:hAnsi="Times New Roman" w:cs="Times New Roman"/>
          <w:color w:val="000000"/>
          <w:sz w:val="24"/>
          <w:szCs w:val="24"/>
        </w:rPr>
        <w:t>. (Q1)</w:t>
      </w:r>
      <w:r>
        <w:rPr>
          <w:rFonts w:ascii="Times New Roman" w:eastAsia="Times New Roman" w:hAnsi="Times New Roman" w:cs="Times New Roman"/>
          <w:color w:val="000000"/>
          <w:sz w:val="24"/>
          <w:szCs w:val="24"/>
        </w:rPr>
        <w:br/>
        <w:t xml:space="preserve">[108] A. Reali et al., “6.6 kW bidirectional </w:t>
      </w:r>
      <w:proofErr w:type="spellStart"/>
      <w:r>
        <w:rPr>
          <w:rFonts w:ascii="Times New Roman" w:eastAsia="Times New Roman" w:hAnsi="Times New Roman" w:cs="Times New Roman"/>
          <w:color w:val="000000"/>
          <w:sz w:val="24"/>
          <w:szCs w:val="24"/>
        </w:rPr>
        <w:t>GaN</w:t>
      </w:r>
      <w:proofErr w:type="spellEnd"/>
      <w:r>
        <w:rPr>
          <w:rFonts w:ascii="Times New Roman" w:eastAsia="Times New Roman" w:hAnsi="Times New Roman" w:cs="Times New Roman"/>
          <w:color w:val="000000"/>
          <w:sz w:val="24"/>
          <w:szCs w:val="24"/>
        </w:rPr>
        <w:t xml:space="preserve"> charger with DC–DC,” Micromachines, vol. 15, 2024, Art. 1470.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xml:space="preserve">: </w:t>
      </w:r>
      <w:hyperlink r:id="rId365">
        <w:r>
          <w:rPr>
            <w:rFonts w:ascii="Times New Roman" w:eastAsia="Times New Roman" w:hAnsi="Times New Roman" w:cs="Times New Roman"/>
            <w:color w:val="000000"/>
            <w:sz w:val="24"/>
            <w:szCs w:val="24"/>
          </w:rPr>
          <w:t>10.3390/mi15121470</w:t>
        </w:r>
      </w:hyperlink>
      <w:r>
        <w:rPr>
          <w:rFonts w:ascii="Times New Roman" w:eastAsia="Times New Roman" w:hAnsi="Times New Roman" w:cs="Times New Roman"/>
          <w:color w:val="000000"/>
          <w:sz w:val="24"/>
          <w:szCs w:val="24"/>
        </w:rPr>
        <w:t>. (Q2)</w:t>
      </w:r>
      <w:r>
        <w:rPr>
          <w:rFonts w:ascii="Times New Roman" w:eastAsia="Times New Roman" w:hAnsi="Times New Roman" w:cs="Times New Roman"/>
          <w:color w:val="000000"/>
          <w:sz w:val="24"/>
          <w:szCs w:val="24"/>
        </w:rPr>
        <w:br/>
        <w:t>[1</w:t>
      </w:r>
      <w:r>
        <w:rPr>
          <w:rFonts w:ascii="Times New Roman" w:eastAsia="Times New Roman" w:hAnsi="Times New Roman" w:cs="Times New Roman"/>
          <w:sz w:val="24"/>
          <w:szCs w:val="24"/>
        </w:rPr>
        <w:t>09</w:t>
      </w:r>
      <w:r>
        <w:rPr>
          <w:rFonts w:ascii="Times New Roman" w:eastAsia="Times New Roman" w:hAnsi="Times New Roman" w:cs="Times New Roman"/>
          <w:color w:val="000000"/>
          <w:sz w:val="24"/>
          <w:szCs w:val="24"/>
        </w:rPr>
        <w:t>] A. Keshmiri et al., “</w:t>
      </w:r>
      <w:proofErr w:type="spellStart"/>
      <w:r>
        <w:rPr>
          <w:rFonts w:ascii="Times New Roman" w:eastAsia="Times New Roman" w:hAnsi="Times New Roman" w:cs="Times New Roman"/>
          <w:color w:val="000000"/>
          <w:sz w:val="24"/>
          <w:szCs w:val="24"/>
        </w:rPr>
        <w:t>GaN</w:t>
      </w:r>
      <w:proofErr w:type="spellEnd"/>
      <w:r>
        <w:rPr>
          <w:rFonts w:ascii="Times New Roman" w:eastAsia="Times New Roman" w:hAnsi="Times New Roman" w:cs="Times New Roman"/>
          <w:color w:val="000000"/>
          <w:sz w:val="24"/>
          <w:szCs w:val="24"/>
        </w:rPr>
        <w:t xml:space="preserve"> EV systems—a comparative review,” Energies, vol. 18, 2025, Art. 6020.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xml:space="preserve">: </w:t>
      </w:r>
      <w:hyperlink r:id="rId366">
        <w:r>
          <w:rPr>
            <w:rFonts w:ascii="Times New Roman" w:eastAsia="Times New Roman" w:hAnsi="Times New Roman" w:cs="Times New Roman"/>
            <w:color w:val="000000"/>
            <w:sz w:val="24"/>
            <w:szCs w:val="24"/>
          </w:rPr>
          <w:t>10.3390/en18226020</w:t>
        </w:r>
      </w:hyperlink>
      <w:r>
        <w:rPr>
          <w:rFonts w:ascii="Times New Roman" w:eastAsia="Times New Roman" w:hAnsi="Times New Roman" w:cs="Times New Roman"/>
          <w:color w:val="000000"/>
          <w:sz w:val="24"/>
          <w:szCs w:val="24"/>
        </w:rPr>
        <w:t>. (Q1)</w:t>
      </w:r>
      <w:r>
        <w:rPr>
          <w:rFonts w:ascii="Times New Roman" w:eastAsia="Times New Roman" w:hAnsi="Times New Roman" w:cs="Times New Roman"/>
          <w:color w:val="000000"/>
          <w:sz w:val="24"/>
          <w:szCs w:val="24"/>
        </w:rPr>
        <w:br/>
        <w:t>[1</w:t>
      </w:r>
      <w:r>
        <w:rPr>
          <w:rFonts w:ascii="Times New Roman" w:eastAsia="Times New Roman" w:hAnsi="Times New Roman" w:cs="Times New Roman"/>
          <w:sz w:val="24"/>
          <w:szCs w:val="24"/>
        </w:rPr>
        <w:t>10</w:t>
      </w:r>
      <w:r>
        <w:rPr>
          <w:rFonts w:ascii="Times New Roman" w:eastAsia="Times New Roman" w:hAnsi="Times New Roman" w:cs="Times New Roman"/>
          <w:color w:val="000000"/>
          <w:sz w:val="24"/>
          <w:szCs w:val="24"/>
        </w:rPr>
        <w:t>] IEA, Global Critical Minerals Outlook 2024, 2024. (N/A)</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lastRenderedPageBreak/>
        <w:t>[1</w:t>
      </w:r>
      <w:r>
        <w:rPr>
          <w:rFonts w:ascii="Times New Roman" w:eastAsia="Times New Roman" w:hAnsi="Times New Roman" w:cs="Times New Roman"/>
          <w:sz w:val="24"/>
          <w:szCs w:val="24"/>
        </w:rPr>
        <w:t>11</w:t>
      </w:r>
      <w:r>
        <w:rPr>
          <w:rFonts w:ascii="Times New Roman" w:eastAsia="Times New Roman" w:hAnsi="Times New Roman" w:cs="Times New Roman"/>
          <w:color w:val="000000"/>
          <w:sz w:val="24"/>
          <w:szCs w:val="24"/>
        </w:rPr>
        <w:t>] USGS, Mineral Commodity Summaries 2024: Rare Earths, 2024. (N/A)</w:t>
      </w:r>
      <w:r>
        <w:rPr>
          <w:rFonts w:ascii="Times New Roman" w:eastAsia="Times New Roman" w:hAnsi="Times New Roman" w:cs="Times New Roman"/>
          <w:color w:val="000000"/>
          <w:sz w:val="24"/>
          <w:szCs w:val="24"/>
        </w:rPr>
        <w:br/>
        <w:t>[1</w:t>
      </w:r>
      <w:r>
        <w:rPr>
          <w:rFonts w:ascii="Times New Roman" w:eastAsia="Times New Roman" w:hAnsi="Times New Roman" w:cs="Times New Roman"/>
          <w:sz w:val="24"/>
          <w:szCs w:val="24"/>
        </w:rPr>
        <w:t>12</w:t>
      </w:r>
      <w:r>
        <w:rPr>
          <w:rFonts w:ascii="Times New Roman" w:eastAsia="Times New Roman" w:hAnsi="Times New Roman" w:cs="Times New Roman"/>
          <w:color w:val="000000"/>
          <w:sz w:val="24"/>
          <w:szCs w:val="24"/>
        </w:rPr>
        <w:t xml:space="preserve">] S. Veller et al., “Recyclability of rare-earth magnets in motors,” </w:t>
      </w:r>
      <w:proofErr w:type="spellStart"/>
      <w:r>
        <w:rPr>
          <w:rFonts w:ascii="Times New Roman" w:eastAsia="Times New Roman" w:hAnsi="Times New Roman" w:cs="Times New Roman"/>
          <w:color w:val="000000"/>
          <w:sz w:val="24"/>
          <w:szCs w:val="24"/>
        </w:rPr>
        <w:t>Resour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Conserv</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Recycl</w:t>
      </w:r>
      <w:proofErr w:type="spellEnd"/>
      <w:r>
        <w:rPr>
          <w:rFonts w:ascii="Times New Roman" w:eastAsia="Times New Roman" w:hAnsi="Times New Roman" w:cs="Times New Roman"/>
          <w:color w:val="000000"/>
          <w:sz w:val="24"/>
          <w:szCs w:val="24"/>
        </w:rPr>
        <w:t>., 2025. (Q1)</w:t>
      </w:r>
      <w:r>
        <w:rPr>
          <w:rFonts w:ascii="Times New Roman" w:eastAsia="Times New Roman" w:hAnsi="Times New Roman" w:cs="Times New Roman"/>
          <w:color w:val="000000"/>
          <w:sz w:val="24"/>
          <w:szCs w:val="24"/>
        </w:rPr>
        <w:br/>
        <w:t>[1</w:t>
      </w:r>
      <w:r>
        <w:rPr>
          <w:rFonts w:ascii="Times New Roman" w:eastAsia="Times New Roman" w:hAnsi="Times New Roman" w:cs="Times New Roman"/>
          <w:sz w:val="24"/>
          <w:szCs w:val="24"/>
        </w:rPr>
        <w:t>13</w:t>
      </w:r>
      <w:r>
        <w:rPr>
          <w:rFonts w:ascii="Times New Roman" w:eastAsia="Times New Roman" w:hAnsi="Times New Roman" w:cs="Times New Roman"/>
          <w:color w:val="000000"/>
          <w:sz w:val="24"/>
          <w:szCs w:val="24"/>
        </w:rPr>
        <w:t xml:space="preserve">] A. Sahu et al., “Noise and vibration in switched reluctance motors—a review,” IEEE Access, 2023.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xml:space="preserve">: </w:t>
      </w:r>
      <w:hyperlink r:id="rId367">
        <w:r>
          <w:rPr>
            <w:rFonts w:ascii="Times New Roman" w:eastAsia="Times New Roman" w:hAnsi="Times New Roman" w:cs="Times New Roman"/>
            <w:color w:val="000000"/>
            <w:sz w:val="24"/>
            <w:szCs w:val="24"/>
          </w:rPr>
          <w:t>10.1109/ACCESS.2023.3257124</w:t>
        </w:r>
      </w:hyperlink>
      <w:r>
        <w:rPr>
          <w:rFonts w:ascii="Times New Roman" w:eastAsia="Times New Roman" w:hAnsi="Times New Roman" w:cs="Times New Roman"/>
          <w:color w:val="000000"/>
          <w:sz w:val="24"/>
          <w:szCs w:val="24"/>
        </w:rPr>
        <w:t>. (Q1)</w:t>
      </w:r>
    </w:p>
    <w:p w14:paraId="18F6E762" w14:textId="77777777" w:rsidR="006D0435" w:rsidRDefault="00000000">
      <w:pPr>
        <w:pBdr>
          <w:top w:val="nil"/>
          <w:left w:val="nil"/>
          <w:bottom w:val="nil"/>
          <w:right w:val="nil"/>
          <w:between w:val="nil"/>
        </w:pBdr>
        <w:spacing w:before="180" w:after="1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[114] A. </w:t>
      </w:r>
      <w:proofErr w:type="spellStart"/>
      <w:r>
        <w:rPr>
          <w:rFonts w:ascii="Times New Roman" w:eastAsia="Times New Roman" w:hAnsi="Times New Roman" w:cs="Times New Roman"/>
          <w:sz w:val="24"/>
          <w:szCs w:val="24"/>
        </w:rPr>
        <w:t>Khaligh</w:t>
      </w:r>
      <w:proofErr w:type="spellEnd"/>
      <w:r>
        <w:rPr>
          <w:rFonts w:ascii="Times New Roman" w:eastAsia="Times New Roman" w:hAnsi="Times New Roman" w:cs="Times New Roman"/>
          <w:sz w:val="24"/>
          <w:szCs w:val="24"/>
        </w:rPr>
        <w:t xml:space="preserve"> and M. D’Antonio, “Global trends in high-power on-board chargers for electric vehicles,” </w:t>
      </w:r>
      <w:r>
        <w:rPr>
          <w:rFonts w:ascii="Times New Roman" w:eastAsia="Times New Roman" w:hAnsi="Times New Roman" w:cs="Times New Roman"/>
          <w:i/>
          <w:iCs/>
          <w:sz w:val="24"/>
          <w:szCs w:val="24"/>
        </w:rPr>
        <w:t>IEEE Transactions on Vehicular Technology</w:t>
      </w:r>
      <w:r>
        <w:rPr>
          <w:rFonts w:ascii="Times New Roman" w:eastAsia="Times New Roman" w:hAnsi="Times New Roman" w:cs="Times New Roman"/>
          <w:sz w:val="24"/>
          <w:szCs w:val="24"/>
        </w:rPr>
        <w:t xml:space="preserve">, vol. 68, no. 4, pp. 3306–3324, 2019. </w:t>
      </w:r>
      <w:proofErr w:type="spellStart"/>
      <w:r>
        <w:rPr>
          <w:rFonts w:ascii="Times New Roman" w:eastAsia="Times New Roman" w:hAnsi="Times New Roman" w:cs="Times New Roman"/>
          <w:b/>
          <w:bCs/>
          <w:sz w:val="24"/>
          <w:szCs w:val="24"/>
        </w:rPr>
        <w:t>doi</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10.1109/TVT.2019.2897050. (Q1)</w:t>
      </w:r>
    </w:p>
    <w:p w14:paraId="53176947" w14:textId="77777777" w:rsidR="006D0435" w:rsidRDefault="00000000">
      <w:pPr>
        <w:pBdr>
          <w:top w:val="nil"/>
          <w:left w:val="nil"/>
          <w:bottom w:val="nil"/>
          <w:right w:val="nil"/>
          <w:between w:val="nil"/>
        </w:pBdr>
        <w:spacing w:before="180" w:after="1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[115] J. Millán, P. </w:t>
      </w:r>
      <w:proofErr w:type="spellStart"/>
      <w:r>
        <w:rPr>
          <w:rFonts w:ascii="Times New Roman" w:eastAsia="Times New Roman" w:hAnsi="Times New Roman" w:cs="Times New Roman"/>
          <w:sz w:val="24"/>
          <w:szCs w:val="24"/>
        </w:rPr>
        <w:t>Godignon</w:t>
      </w:r>
      <w:proofErr w:type="spellEnd"/>
      <w:r>
        <w:rPr>
          <w:rFonts w:ascii="Times New Roman" w:eastAsia="Times New Roman" w:hAnsi="Times New Roman" w:cs="Times New Roman"/>
          <w:sz w:val="24"/>
          <w:szCs w:val="24"/>
        </w:rPr>
        <w:t xml:space="preserve">, X. </w:t>
      </w:r>
      <w:proofErr w:type="spellStart"/>
      <w:r>
        <w:rPr>
          <w:rFonts w:ascii="Times New Roman" w:eastAsia="Times New Roman" w:hAnsi="Times New Roman" w:cs="Times New Roman"/>
          <w:sz w:val="24"/>
          <w:szCs w:val="24"/>
        </w:rPr>
        <w:t>Perpiñà</w:t>
      </w:r>
      <w:proofErr w:type="spellEnd"/>
      <w:r>
        <w:rPr>
          <w:rFonts w:ascii="Times New Roman" w:eastAsia="Times New Roman" w:hAnsi="Times New Roman" w:cs="Times New Roman"/>
          <w:sz w:val="24"/>
          <w:szCs w:val="24"/>
        </w:rPr>
        <w:t xml:space="preserve">, A. Pérez-Tomás, and J. </w:t>
      </w:r>
      <w:proofErr w:type="spellStart"/>
      <w:proofErr w:type="gramStart"/>
      <w:r>
        <w:rPr>
          <w:rFonts w:ascii="Times New Roman" w:eastAsia="Times New Roman" w:hAnsi="Times New Roman" w:cs="Times New Roman"/>
          <w:sz w:val="24"/>
          <w:szCs w:val="24"/>
        </w:rPr>
        <w:t>Rebollo,“</w:t>
      </w:r>
      <w:proofErr w:type="gramEnd"/>
      <w:r>
        <w:rPr>
          <w:rFonts w:ascii="Times New Roman" w:eastAsia="Times New Roman" w:hAnsi="Times New Roman" w:cs="Times New Roman"/>
          <w:sz w:val="24"/>
          <w:szCs w:val="24"/>
        </w:rPr>
        <w:t>A</w:t>
      </w:r>
      <w:proofErr w:type="spellEnd"/>
      <w:r>
        <w:rPr>
          <w:rFonts w:ascii="Times New Roman" w:eastAsia="Times New Roman" w:hAnsi="Times New Roman" w:cs="Times New Roman"/>
          <w:sz w:val="24"/>
          <w:szCs w:val="24"/>
        </w:rPr>
        <w:t xml:space="preserve"> survey of wide bandgap power semiconductor devices,” </w:t>
      </w:r>
      <w:r>
        <w:rPr>
          <w:rFonts w:ascii="Times New Roman" w:eastAsia="Times New Roman" w:hAnsi="Times New Roman" w:cs="Times New Roman"/>
          <w:i/>
          <w:iCs/>
          <w:sz w:val="24"/>
          <w:szCs w:val="24"/>
        </w:rPr>
        <w:t>IEEE Transactions on Power Electronics</w:t>
      </w:r>
      <w:r>
        <w:rPr>
          <w:rFonts w:ascii="Times New Roman" w:eastAsia="Times New Roman" w:hAnsi="Times New Roman" w:cs="Times New Roman"/>
          <w:sz w:val="24"/>
          <w:szCs w:val="24"/>
        </w:rPr>
        <w:t>, vol. 29, no. 5, pp. 2155–2163, 2014.</w:t>
      </w:r>
      <w:r>
        <w:rPr>
          <w:rFonts w:ascii="Times New Roman" w:eastAsia="Times New Roman" w:hAnsi="Times New Roman" w:cs="Times New Roman"/>
          <w:b/>
          <w:bCs/>
          <w:sz w:val="24"/>
          <w:szCs w:val="24"/>
        </w:rPr>
        <w:t>doi:</w:t>
      </w:r>
      <w:r>
        <w:rPr>
          <w:rFonts w:ascii="Times New Roman" w:eastAsia="Times New Roman" w:hAnsi="Times New Roman" w:cs="Times New Roman"/>
          <w:sz w:val="24"/>
          <w:szCs w:val="24"/>
        </w:rPr>
        <w:t xml:space="preserve"> 10.1109/TPEL.2013.2268900. (Q1)</w:t>
      </w:r>
    </w:p>
    <w:p w14:paraId="442E97FE"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116]A.</w:t>
      </w:r>
      <w:proofErr w:type="gramEnd"/>
      <w:r>
        <w:rPr>
          <w:rFonts w:ascii="Times New Roman" w:eastAsia="Times New Roman" w:hAnsi="Times New Roman" w:cs="Times New Roman"/>
          <w:sz w:val="24"/>
          <w:szCs w:val="24"/>
        </w:rPr>
        <w:t xml:space="preserve"> Comprehensive Review Paper, “A Comprehensive Review of Electric Vehicles,” 2019.</w:t>
      </w:r>
    </w:p>
    <w:p w14:paraId="4A89C4E3"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[117] H. S. Das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“Electric Vehicles Standards, Charging Infrastructure, and Grid Interaction: A Comprehensive Review,” </w:t>
      </w:r>
      <w:r>
        <w:rPr>
          <w:rFonts w:ascii="Times New Roman" w:eastAsia="Times New Roman" w:hAnsi="Times New Roman" w:cs="Times New Roman"/>
          <w:i/>
          <w:iCs/>
          <w:sz w:val="24"/>
          <w:szCs w:val="24"/>
        </w:rPr>
        <w:t>Renewable and Sustainable Energy Reviews</w:t>
      </w:r>
      <w:r>
        <w:rPr>
          <w:rFonts w:ascii="Times New Roman" w:eastAsia="Times New Roman" w:hAnsi="Times New Roman" w:cs="Times New Roman"/>
          <w:sz w:val="24"/>
          <w:szCs w:val="24"/>
        </w:rPr>
        <w:t>, 2019.</w:t>
      </w:r>
    </w:p>
    <w:p w14:paraId="22531B99"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118]M.</w:t>
      </w:r>
      <w:proofErr w:type="gramEnd"/>
      <w:r>
        <w:rPr>
          <w:rFonts w:ascii="Times New Roman" w:eastAsia="Times New Roman" w:hAnsi="Times New Roman" w:cs="Times New Roman"/>
          <w:sz w:val="24"/>
          <w:szCs w:val="24"/>
        </w:rPr>
        <w:t xml:space="preserve"> Smart Cities Review, “Charging infrastructure development and electricity demand growth,” </w:t>
      </w:r>
      <w:r>
        <w:rPr>
          <w:rFonts w:ascii="Times New Roman" w:eastAsia="Times New Roman" w:hAnsi="Times New Roman" w:cs="Times New Roman"/>
          <w:i/>
          <w:iCs/>
          <w:sz w:val="24"/>
          <w:szCs w:val="24"/>
        </w:rPr>
        <w:t>Smart Cities</w:t>
      </w:r>
      <w:r>
        <w:rPr>
          <w:rFonts w:ascii="Times New Roman" w:eastAsia="Times New Roman" w:hAnsi="Times New Roman" w:cs="Times New Roman"/>
          <w:sz w:val="24"/>
          <w:szCs w:val="24"/>
        </w:rPr>
        <w:t>, vol. 4, no. 22, 2021.</w:t>
      </w:r>
    </w:p>
    <w:p w14:paraId="69567BF8"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119]M.</w:t>
      </w:r>
      <w:proofErr w:type="gramEnd"/>
      <w:r>
        <w:rPr>
          <w:rFonts w:ascii="Times New Roman" w:eastAsia="Times New Roman" w:hAnsi="Times New Roman" w:cs="Times New Roman"/>
          <w:sz w:val="24"/>
          <w:szCs w:val="24"/>
        </w:rPr>
        <w:t xml:space="preserve"> Review Paper, “EV charging systems, communication and classification,” 2019.</w:t>
      </w:r>
    </w:p>
    <w:p w14:paraId="35DECC8F"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120]M.</w:t>
      </w:r>
      <w:proofErr w:type="gramEnd"/>
      <w:r>
        <w:rPr>
          <w:rFonts w:ascii="Times New Roman" w:eastAsia="Times New Roman" w:hAnsi="Times New Roman" w:cs="Times New Roman"/>
          <w:sz w:val="24"/>
          <w:szCs w:val="24"/>
        </w:rPr>
        <w:t xml:space="preserve"> Smart Cities Review, “Number of public charging points in metropolitan areas,” </w:t>
      </w:r>
      <w:r>
        <w:rPr>
          <w:rFonts w:ascii="Times New Roman" w:eastAsia="Times New Roman" w:hAnsi="Times New Roman" w:cs="Times New Roman"/>
          <w:i/>
          <w:iCs/>
          <w:sz w:val="24"/>
          <w:szCs w:val="24"/>
        </w:rPr>
        <w:t>Smart Cities</w:t>
      </w:r>
      <w:r>
        <w:rPr>
          <w:rFonts w:ascii="Times New Roman" w:eastAsia="Times New Roman" w:hAnsi="Times New Roman" w:cs="Times New Roman"/>
          <w:sz w:val="24"/>
          <w:szCs w:val="24"/>
        </w:rPr>
        <w:t>, 2021.</w:t>
      </w:r>
    </w:p>
    <w:p w14:paraId="3F5A6044"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121]“</w:t>
      </w:r>
      <w:proofErr w:type="gramEnd"/>
      <w:r>
        <w:rPr>
          <w:rFonts w:ascii="Times New Roman" w:eastAsia="Times New Roman" w:hAnsi="Times New Roman" w:cs="Times New Roman"/>
          <w:sz w:val="24"/>
          <w:szCs w:val="24"/>
        </w:rPr>
        <w:t>Plug-in Hybrid Electric Vehicles: Charging Standards and Infrastructure,” 2018.</w:t>
      </w:r>
    </w:p>
    <w:p w14:paraId="092BF423"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[122] Energies, “EV Charging Technology and Charging Station Structure,” </w:t>
      </w:r>
      <w:r>
        <w:rPr>
          <w:rFonts w:ascii="Times New Roman" w:eastAsia="Times New Roman" w:hAnsi="Times New Roman" w:cs="Times New Roman"/>
          <w:i/>
          <w:iCs/>
          <w:sz w:val="24"/>
          <w:szCs w:val="24"/>
        </w:rPr>
        <w:t>Energies</w:t>
      </w:r>
      <w:r>
        <w:rPr>
          <w:rFonts w:ascii="Times New Roman" w:eastAsia="Times New Roman" w:hAnsi="Times New Roman" w:cs="Times New Roman"/>
          <w:sz w:val="24"/>
          <w:szCs w:val="24"/>
        </w:rPr>
        <w:t>, vol. 13, 2020.</w:t>
      </w:r>
    </w:p>
    <w:p w14:paraId="7641979C"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[123] Energies, “Uncontrolled </w:t>
      </w:r>
      <w:proofErr w:type="gramStart"/>
      <w:r>
        <w:rPr>
          <w:rFonts w:ascii="Times New Roman" w:eastAsia="Times New Roman" w:hAnsi="Times New Roman" w:cs="Times New Roman"/>
          <w:sz w:val="24"/>
          <w:szCs w:val="24"/>
        </w:rPr>
        <w:t>vs controlled</w:t>
      </w:r>
      <w:proofErr w:type="gramEnd"/>
      <w:r>
        <w:rPr>
          <w:rFonts w:ascii="Times New Roman" w:eastAsia="Times New Roman" w:hAnsi="Times New Roman" w:cs="Times New Roman"/>
          <w:sz w:val="24"/>
          <w:szCs w:val="24"/>
        </w:rPr>
        <w:t xml:space="preserve"> EV charging and grid impacts,” </w:t>
      </w:r>
      <w:r>
        <w:rPr>
          <w:rFonts w:ascii="Times New Roman" w:eastAsia="Times New Roman" w:hAnsi="Times New Roman" w:cs="Times New Roman"/>
          <w:i/>
          <w:iCs/>
          <w:sz w:val="24"/>
          <w:szCs w:val="24"/>
        </w:rPr>
        <w:t>Energies</w:t>
      </w:r>
      <w:r>
        <w:rPr>
          <w:rFonts w:ascii="Times New Roman" w:eastAsia="Times New Roman" w:hAnsi="Times New Roman" w:cs="Times New Roman"/>
          <w:sz w:val="24"/>
          <w:szCs w:val="24"/>
        </w:rPr>
        <w:t>, vol. 11, 2018.</w:t>
      </w:r>
    </w:p>
    <w:p w14:paraId="4D624504"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124]H.</w:t>
      </w:r>
      <w:proofErr w:type="gramEnd"/>
      <w:r>
        <w:rPr>
          <w:rFonts w:ascii="Times New Roman" w:eastAsia="Times New Roman" w:hAnsi="Times New Roman" w:cs="Times New Roman"/>
          <w:sz w:val="24"/>
          <w:szCs w:val="24"/>
        </w:rPr>
        <w:t xml:space="preserve"> S. Das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“Grid challenges and mitigation strategies for EV charging integration,” </w:t>
      </w:r>
      <w:r>
        <w:rPr>
          <w:rFonts w:ascii="Times New Roman" w:eastAsia="Times New Roman" w:hAnsi="Times New Roman" w:cs="Times New Roman"/>
          <w:i/>
          <w:iCs/>
          <w:sz w:val="24"/>
          <w:szCs w:val="24"/>
        </w:rPr>
        <w:t>Renewable and Sustainable Energy Reviews</w:t>
      </w:r>
      <w:r>
        <w:rPr>
          <w:rFonts w:ascii="Times New Roman" w:eastAsia="Times New Roman" w:hAnsi="Times New Roman" w:cs="Times New Roman"/>
          <w:sz w:val="24"/>
          <w:szCs w:val="24"/>
        </w:rPr>
        <w:t>, 2019.</w:t>
      </w:r>
    </w:p>
    <w:p w14:paraId="4DFE8258"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[125] A. Schroeder and T. Traber, “The Economics of Fast Charging Infrastructure for Electric Vehicles,” </w:t>
      </w:r>
      <w:r>
        <w:rPr>
          <w:rFonts w:ascii="Times New Roman" w:eastAsia="Times New Roman" w:hAnsi="Times New Roman" w:cs="Times New Roman"/>
          <w:i/>
          <w:iCs/>
          <w:sz w:val="24"/>
          <w:szCs w:val="24"/>
        </w:rPr>
        <w:t>Energy Policy</w:t>
      </w:r>
      <w:r>
        <w:rPr>
          <w:rFonts w:ascii="Times New Roman" w:eastAsia="Times New Roman" w:hAnsi="Times New Roman" w:cs="Times New Roman"/>
          <w:sz w:val="24"/>
          <w:szCs w:val="24"/>
        </w:rPr>
        <w:t>, vol. 43, pp. 136–144, 2012.</w:t>
      </w:r>
    </w:p>
    <w:p w14:paraId="37DB4648"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126]A.</w:t>
      </w:r>
      <w:proofErr w:type="gramEnd"/>
      <w:r>
        <w:rPr>
          <w:rFonts w:ascii="Times New Roman" w:eastAsia="Times New Roman" w:hAnsi="Times New Roman" w:cs="Times New Roman"/>
          <w:sz w:val="24"/>
          <w:szCs w:val="24"/>
        </w:rPr>
        <w:t xml:space="preserve"> Schroeder and T. Traber, “Charging infrastructure cost analysis and grid reinforcement,” </w:t>
      </w:r>
      <w:r>
        <w:rPr>
          <w:rFonts w:ascii="Times New Roman" w:eastAsia="Times New Roman" w:hAnsi="Times New Roman" w:cs="Times New Roman"/>
          <w:i/>
          <w:iCs/>
          <w:sz w:val="24"/>
          <w:szCs w:val="24"/>
        </w:rPr>
        <w:t>Energy Policy</w:t>
      </w:r>
      <w:r>
        <w:rPr>
          <w:rFonts w:ascii="Times New Roman" w:eastAsia="Times New Roman" w:hAnsi="Times New Roman" w:cs="Times New Roman"/>
          <w:sz w:val="24"/>
          <w:szCs w:val="24"/>
        </w:rPr>
        <w:t>, 2012.</w:t>
      </w:r>
    </w:p>
    <w:p w14:paraId="7224099A"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[127] Transportation Policy, “Smart charging scheduling and demand management strategies,” 2019.</w:t>
      </w:r>
    </w:p>
    <w:p w14:paraId="6B9143CA"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[128] IEEE Access, “Charging Infrastructure for Commercial Electric Vehicles: Challenges and Future Works,” 2021.</w:t>
      </w:r>
    </w:p>
    <w:p w14:paraId="3EE29D7C"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[129] IEEE Paper, “Fleet depot charging infrastructure and grid interaction,” 2019.</w:t>
      </w:r>
    </w:p>
    <w:p w14:paraId="16C076B1"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[130] “Charging Infrastructure for Commercial Electric Vehicles,” 2021.</w:t>
      </w:r>
    </w:p>
    <w:p w14:paraId="70961334"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[131] Nature Energy, “Renewable integration and EV charging networks,” 2022.</w:t>
      </w:r>
    </w:p>
    <w:p w14:paraId="486BA6DA"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[132] Energy Policy / Energies Review, “Microgrid-based EV charging with storage systems,” 2020.</w:t>
      </w:r>
    </w:p>
    <w:p w14:paraId="64ECE7DD" w14:textId="77777777" w:rsidR="006D0435" w:rsidRDefault="00000000">
      <w:pPr>
        <w:spacing w:line="360" w:lineRule="auto"/>
        <w:ind w:left="720" w:hanging="6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133</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 xml:space="preserve">H. Saini, T. Rama Rao, S. Saini, G. Anbazhagan, and V. Sharma, “Well-to-wheel performance of internal combustion engine vehicles and electric vehicles–study for future Indian market,” </w:t>
      </w:r>
      <w:r>
        <w:rPr>
          <w:rFonts w:ascii="Times New Roman" w:eastAsia="Times New Roman" w:hAnsi="Times New Roman" w:cs="Times New Roman"/>
          <w:i/>
          <w:iCs/>
          <w:color w:val="000000"/>
          <w:sz w:val="24"/>
          <w:szCs w:val="24"/>
        </w:rPr>
        <w:t>Energy Sources, Part A: Recovery, Utilization and Environmental Effects</w:t>
      </w:r>
      <w:r>
        <w:rPr>
          <w:rFonts w:ascii="Times New Roman" w:eastAsia="Times New Roman" w:hAnsi="Times New Roman" w:cs="Times New Roman"/>
          <w:color w:val="000000"/>
          <w:sz w:val="24"/>
          <w:szCs w:val="24"/>
        </w:rPr>
        <w:t xml:space="preserve">, vol. 45, no. 1, 2023,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10.1080/15567036.2023.2182844.</w:t>
      </w:r>
    </w:p>
    <w:p w14:paraId="6F87EDFC" w14:textId="77777777" w:rsidR="006D0435" w:rsidRDefault="00000000">
      <w:pPr>
        <w:spacing w:line="360" w:lineRule="auto"/>
        <w:ind w:left="720" w:hanging="6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134</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 xml:space="preserve">V. B. F. da Costa, L. Bitencourt, B. H. Dias, T. Soares, J. V. B. de Andrade, and B. D. </w:t>
      </w:r>
      <w:proofErr w:type="spellStart"/>
      <w:r>
        <w:rPr>
          <w:rFonts w:ascii="Times New Roman" w:eastAsia="Times New Roman" w:hAnsi="Times New Roman" w:cs="Times New Roman"/>
          <w:color w:val="000000"/>
          <w:sz w:val="24"/>
          <w:szCs w:val="24"/>
        </w:rPr>
        <w:t>Bonatto</w:t>
      </w:r>
      <w:proofErr w:type="spellEnd"/>
      <w:r>
        <w:rPr>
          <w:rFonts w:ascii="Times New Roman" w:eastAsia="Times New Roman" w:hAnsi="Times New Roman" w:cs="Times New Roman"/>
          <w:color w:val="000000"/>
          <w:sz w:val="24"/>
          <w:szCs w:val="24"/>
        </w:rPr>
        <w:t xml:space="preserve">, “Life cycle assessment comparison of electric and internal combustion vehicles: A review on the main challenges and opportunities,” 2025.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10.1016/j.rser.2024.114988.</w:t>
      </w:r>
    </w:p>
    <w:p w14:paraId="4CC1E18B" w14:textId="77777777" w:rsidR="006D0435" w:rsidRDefault="00000000">
      <w:pPr>
        <w:spacing w:line="360" w:lineRule="auto"/>
        <w:ind w:left="720" w:hanging="6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135</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 xml:space="preserve">P. Aguilar and B. </w:t>
      </w:r>
      <w:proofErr w:type="spellStart"/>
      <w:r>
        <w:rPr>
          <w:rFonts w:ascii="Times New Roman" w:eastAsia="Times New Roman" w:hAnsi="Times New Roman" w:cs="Times New Roman"/>
          <w:color w:val="000000"/>
          <w:sz w:val="24"/>
          <w:szCs w:val="24"/>
        </w:rPr>
        <w:t>Groß</w:t>
      </w:r>
      <w:proofErr w:type="spellEnd"/>
      <w:r>
        <w:rPr>
          <w:rFonts w:ascii="Times New Roman" w:eastAsia="Times New Roman" w:hAnsi="Times New Roman" w:cs="Times New Roman"/>
          <w:color w:val="000000"/>
          <w:sz w:val="24"/>
          <w:szCs w:val="24"/>
        </w:rPr>
        <w:t xml:space="preserve">, “Battery electric vehicles and fuel cell electric vehicles, an analysis of alternative powertrains as a mean to </w:t>
      </w:r>
      <w:proofErr w:type="spellStart"/>
      <w:r>
        <w:rPr>
          <w:rFonts w:ascii="Times New Roman" w:eastAsia="Times New Roman" w:hAnsi="Times New Roman" w:cs="Times New Roman"/>
          <w:color w:val="000000"/>
          <w:sz w:val="24"/>
          <w:szCs w:val="24"/>
        </w:rPr>
        <w:t>decarbonise</w:t>
      </w:r>
      <w:proofErr w:type="spellEnd"/>
      <w:r>
        <w:rPr>
          <w:rFonts w:ascii="Times New Roman" w:eastAsia="Times New Roman" w:hAnsi="Times New Roman" w:cs="Times New Roman"/>
          <w:color w:val="000000"/>
          <w:sz w:val="24"/>
          <w:szCs w:val="24"/>
        </w:rPr>
        <w:t xml:space="preserve"> the transport sector,” </w:t>
      </w:r>
      <w:r>
        <w:rPr>
          <w:rFonts w:ascii="Times New Roman" w:eastAsia="Times New Roman" w:hAnsi="Times New Roman" w:cs="Times New Roman"/>
          <w:i/>
          <w:iCs/>
          <w:color w:val="000000"/>
          <w:sz w:val="24"/>
          <w:szCs w:val="24"/>
        </w:rPr>
        <w:t>Sustainable Energy Technologies and Assessments</w:t>
      </w:r>
      <w:r>
        <w:rPr>
          <w:rFonts w:ascii="Times New Roman" w:eastAsia="Times New Roman" w:hAnsi="Times New Roman" w:cs="Times New Roman"/>
          <w:color w:val="000000"/>
          <w:sz w:val="24"/>
          <w:szCs w:val="24"/>
        </w:rPr>
        <w:t xml:space="preserve">, vol. 53, 2022,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10.1016/j.seta.2022.102624.</w:t>
      </w:r>
    </w:p>
    <w:p w14:paraId="44F67B38" w14:textId="77777777" w:rsidR="006D0435" w:rsidRDefault="00000000">
      <w:pPr>
        <w:spacing w:line="360" w:lineRule="auto"/>
        <w:ind w:left="720" w:hanging="6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136</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 xml:space="preserve">E. E. Michaelides, “Primary energy use and environmental effects of electric vehicles,” </w:t>
      </w:r>
      <w:r>
        <w:rPr>
          <w:rFonts w:ascii="Times New Roman" w:eastAsia="Times New Roman" w:hAnsi="Times New Roman" w:cs="Times New Roman"/>
          <w:i/>
          <w:iCs/>
          <w:color w:val="000000"/>
          <w:sz w:val="24"/>
          <w:szCs w:val="24"/>
        </w:rPr>
        <w:t>World Electric Vehicle Journal</w:t>
      </w:r>
      <w:r>
        <w:rPr>
          <w:rFonts w:ascii="Times New Roman" w:eastAsia="Times New Roman" w:hAnsi="Times New Roman" w:cs="Times New Roman"/>
          <w:color w:val="000000"/>
          <w:sz w:val="24"/>
          <w:szCs w:val="24"/>
        </w:rPr>
        <w:t xml:space="preserve">, vol. 12, no. 3, 2021,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10.3390/wevj12030138.</w:t>
      </w:r>
    </w:p>
    <w:p w14:paraId="3EE1F87F" w14:textId="77777777" w:rsidR="006D0435" w:rsidRDefault="00000000">
      <w:pPr>
        <w:spacing w:line="360" w:lineRule="auto"/>
        <w:ind w:left="720" w:hanging="6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137</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 xml:space="preserve">E. E. Michaelides, “Thermodynamics and energy usage of electric vehicles,” </w:t>
      </w:r>
      <w:r>
        <w:rPr>
          <w:rFonts w:ascii="Times New Roman" w:eastAsia="Times New Roman" w:hAnsi="Times New Roman" w:cs="Times New Roman"/>
          <w:i/>
          <w:iCs/>
          <w:color w:val="000000"/>
          <w:sz w:val="24"/>
          <w:szCs w:val="24"/>
        </w:rPr>
        <w:t>Energy Convers. Manag.</w:t>
      </w:r>
      <w:r>
        <w:rPr>
          <w:rFonts w:ascii="Times New Roman" w:eastAsia="Times New Roman" w:hAnsi="Times New Roman" w:cs="Times New Roman"/>
          <w:color w:val="000000"/>
          <w:sz w:val="24"/>
          <w:szCs w:val="24"/>
        </w:rPr>
        <w:t xml:space="preserve">, vol. 203, 2020,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10.1016/j.enconman.2019.112246.</w:t>
      </w:r>
    </w:p>
    <w:p w14:paraId="7E070237" w14:textId="77777777" w:rsidR="006D0435" w:rsidRDefault="00000000">
      <w:pPr>
        <w:spacing w:line="360" w:lineRule="auto"/>
        <w:ind w:left="720" w:hanging="6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138</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 xml:space="preserve">A. </w:t>
      </w:r>
      <w:proofErr w:type="spellStart"/>
      <w:r>
        <w:rPr>
          <w:rFonts w:ascii="Times New Roman" w:eastAsia="Times New Roman" w:hAnsi="Times New Roman" w:cs="Times New Roman"/>
          <w:color w:val="000000"/>
          <w:sz w:val="24"/>
          <w:szCs w:val="24"/>
        </w:rPr>
        <w:t>Albatayneh</w:t>
      </w:r>
      <w:proofErr w:type="spellEnd"/>
      <w:r>
        <w:rPr>
          <w:rFonts w:ascii="Times New Roman" w:eastAsia="Times New Roman" w:hAnsi="Times New Roman" w:cs="Times New Roman"/>
          <w:color w:val="000000"/>
          <w:sz w:val="24"/>
          <w:szCs w:val="24"/>
        </w:rPr>
        <w:t xml:space="preserve">, M. N. Assaf, D. Alterman, and M. Jaradat, “Comparison of the Overall Energy Efficiency for Internal Combustion Engine Vehicles and Electric Vehicles,” </w:t>
      </w:r>
      <w:r>
        <w:rPr>
          <w:rFonts w:ascii="Times New Roman" w:eastAsia="Times New Roman" w:hAnsi="Times New Roman" w:cs="Times New Roman"/>
          <w:i/>
          <w:iCs/>
          <w:color w:val="000000"/>
          <w:sz w:val="24"/>
          <w:szCs w:val="24"/>
        </w:rPr>
        <w:t>Environmental and Climate Technologies</w:t>
      </w:r>
      <w:r>
        <w:rPr>
          <w:rFonts w:ascii="Times New Roman" w:eastAsia="Times New Roman" w:hAnsi="Times New Roman" w:cs="Times New Roman"/>
          <w:color w:val="000000"/>
          <w:sz w:val="24"/>
          <w:szCs w:val="24"/>
        </w:rPr>
        <w:t xml:space="preserve">, vol. 24, no. 1, pp. 669–680, Jan. 2020,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10.2478/rtuect-2020-0041.</w:t>
      </w:r>
    </w:p>
    <w:p w14:paraId="6DECEF44" w14:textId="77777777" w:rsidR="006D0435" w:rsidRDefault="00000000">
      <w:pPr>
        <w:spacing w:line="360" w:lineRule="auto"/>
        <w:ind w:left="720" w:hanging="6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139</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 xml:space="preserve">E. E. Michaelides, “Taking the measure of: Electric vehicles,” </w:t>
      </w:r>
      <w:r>
        <w:rPr>
          <w:rFonts w:ascii="Times New Roman" w:eastAsia="Times New Roman" w:hAnsi="Times New Roman" w:cs="Times New Roman"/>
          <w:i/>
          <w:iCs/>
          <w:color w:val="000000"/>
          <w:sz w:val="24"/>
          <w:szCs w:val="24"/>
        </w:rPr>
        <w:t>Mechanical Engineering</w:t>
      </w:r>
      <w:r>
        <w:rPr>
          <w:rFonts w:ascii="Times New Roman" w:eastAsia="Times New Roman" w:hAnsi="Times New Roman" w:cs="Times New Roman"/>
          <w:color w:val="000000"/>
          <w:sz w:val="24"/>
          <w:szCs w:val="24"/>
        </w:rPr>
        <w:t xml:space="preserve">, vol. 143, no. 1, 2021,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10.1115/1.2021-JAN8.</w:t>
      </w:r>
    </w:p>
    <w:p w14:paraId="35A3E423" w14:textId="77777777" w:rsidR="006D0435" w:rsidRDefault="00000000">
      <w:pPr>
        <w:spacing w:line="360" w:lineRule="auto"/>
        <w:ind w:left="720" w:hanging="6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140</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 xml:space="preserve">G. Lee, J. Song, J. Han, Y. Lim, and S. Park, “Study on energy consumption characteristics of passenger electric vehicle according to the regenerative braking stages during real-world driving conditions,” </w:t>
      </w:r>
      <w:r>
        <w:rPr>
          <w:rFonts w:ascii="Times New Roman" w:eastAsia="Times New Roman" w:hAnsi="Times New Roman" w:cs="Times New Roman"/>
          <w:i/>
          <w:iCs/>
          <w:color w:val="000000"/>
          <w:sz w:val="24"/>
          <w:szCs w:val="24"/>
        </w:rPr>
        <w:t>Energy</w:t>
      </w:r>
      <w:r>
        <w:rPr>
          <w:rFonts w:ascii="Times New Roman" w:eastAsia="Times New Roman" w:hAnsi="Times New Roman" w:cs="Times New Roman"/>
          <w:color w:val="000000"/>
          <w:sz w:val="24"/>
          <w:szCs w:val="24"/>
        </w:rPr>
        <w:t xml:space="preserve">, vol. 283, 2023,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10.1016/j.energy.2023.128745.</w:t>
      </w:r>
    </w:p>
    <w:p w14:paraId="6B73E3DC" w14:textId="77777777" w:rsidR="006D0435" w:rsidRDefault="00000000">
      <w:pPr>
        <w:spacing w:line="360" w:lineRule="auto"/>
        <w:ind w:left="720" w:hanging="6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t>
      </w:r>
      <w:r>
        <w:rPr>
          <w:rFonts w:ascii="Times New Roman" w:eastAsia="Times New Roman" w:hAnsi="Times New Roman" w:cs="Times New Roman"/>
          <w:sz w:val="24"/>
          <w:szCs w:val="24"/>
        </w:rPr>
        <w:t>141</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 xml:space="preserve">A. A. Ahmed and H. S. Ramadan, “Prototype implementation of advanced electric vehicles drivetrain system: Verification and validation,” </w:t>
      </w:r>
      <w:r>
        <w:rPr>
          <w:rFonts w:ascii="Times New Roman" w:eastAsia="Times New Roman" w:hAnsi="Times New Roman" w:cs="Times New Roman"/>
          <w:i/>
          <w:iCs/>
          <w:color w:val="000000"/>
          <w:sz w:val="24"/>
          <w:szCs w:val="24"/>
        </w:rPr>
        <w:t>Appl. Energy</w:t>
      </w:r>
      <w:r>
        <w:rPr>
          <w:rFonts w:ascii="Times New Roman" w:eastAsia="Times New Roman" w:hAnsi="Times New Roman" w:cs="Times New Roman"/>
          <w:color w:val="000000"/>
          <w:sz w:val="24"/>
          <w:szCs w:val="24"/>
        </w:rPr>
        <w:t xml:space="preserve">, vol. 266, 2020,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10.1016/j.apenergy.2020.114807.</w:t>
      </w:r>
    </w:p>
    <w:p w14:paraId="57F96442" w14:textId="77777777" w:rsidR="006D0435" w:rsidRDefault="00000000">
      <w:pPr>
        <w:spacing w:line="360" w:lineRule="auto"/>
        <w:ind w:left="720" w:hanging="6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42</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 xml:space="preserve">C. Yang, T. Sun, W. Wang, Y. Li, Y. Zhang, and M. Zha, “Regenerative braking system development and perspectives for electric vehicles: An overview,” 2024.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10.1016/j.rser.2024.114389.</w:t>
      </w:r>
    </w:p>
    <w:p w14:paraId="15882334" w14:textId="77777777" w:rsidR="006D0435" w:rsidRDefault="00000000">
      <w:pPr>
        <w:spacing w:line="360" w:lineRule="auto"/>
        <w:ind w:left="720" w:hanging="6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43</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 xml:space="preserve">A. Joy, C. S. </w:t>
      </w:r>
      <w:proofErr w:type="spellStart"/>
      <w:r>
        <w:rPr>
          <w:rFonts w:ascii="Times New Roman" w:eastAsia="Times New Roman" w:hAnsi="Times New Roman" w:cs="Times New Roman"/>
          <w:color w:val="000000"/>
          <w:sz w:val="24"/>
          <w:szCs w:val="24"/>
        </w:rPr>
        <w:t>Sukesini</w:t>
      </w:r>
      <w:proofErr w:type="spellEnd"/>
      <w:r>
        <w:rPr>
          <w:rFonts w:ascii="Times New Roman" w:eastAsia="Times New Roman" w:hAnsi="Times New Roman" w:cs="Times New Roman"/>
          <w:color w:val="000000"/>
          <w:sz w:val="24"/>
          <w:szCs w:val="24"/>
        </w:rPr>
        <w:t xml:space="preserve">, M. S. Sandra, S. G. Thomas, R. S. A. Lal, and K. Rahul, “Advanced regenerative braking system for modern electric vehicles,” in </w:t>
      </w:r>
      <w:r>
        <w:rPr>
          <w:rFonts w:ascii="Times New Roman" w:eastAsia="Times New Roman" w:hAnsi="Times New Roman" w:cs="Times New Roman"/>
          <w:i/>
          <w:iCs/>
          <w:color w:val="000000"/>
          <w:sz w:val="24"/>
          <w:szCs w:val="24"/>
        </w:rPr>
        <w:t>AIP Conference Proceedings</w:t>
      </w:r>
      <w:r>
        <w:rPr>
          <w:rFonts w:ascii="Times New Roman" w:eastAsia="Times New Roman" w:hAnsi="Times New Roman" w:cs="Times New Roman"/>
          <w:color w:val="000000"/>
          <w:sz w:val="24"/>
          <w:szCs w:val="24"/>
        </w:rPr>
        <w:t xml:space="preserve">, 2024.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10.1063/5.0228285.</w:t>
      </w:r>
    </w:p>
    <w:p w14:paraId="22BB3299" w14:textId="77777777" w:rsidR="006D0435" w:rsidRDefault="00000000">
      <w:pPr>
        <w:spacing w:line="360" w:lineRule="auto"/>
        <w:ind w:left="720" w:hanging="6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44</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 xml:space="preserve">S. Kumar and A. Bhattacharjee, “A Comprehensive Review on Energy Management Strategies for Fuel-Cell-Based Electric Vehicles,” 2025.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10.1002/ente.202401341.</w:t>
      </w:r>
    </w:p>
    <w:p w14:paraId="0290CD9C" w14:textId="77777777" w:rsidR="006D0435" w:rsidRDefault="00000000">
      <w:pPr>
        <w:spacing w:line="360" w:lineRule="auto"/>
        <w:ind w:left="720" w:hanging="6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45</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 xml:space="preserve">G. Duarte, C. Rolim, and P. Baptista, “How battery electric vehicles can contribute to sustainable urban logistics: A real-world application in Lisbon, Portugal,” </w:t>
      </w:r>
      <w:r>
        <w:rPr>
          <w:rFonts w:ascii="Times New Roman" w:eastAsia="Times New Roman" w:hAnsi="Times New Roman" w:cs="Times New Roman"/>
          <w:i/>
          <w:iCs/>
          <w:color w:val="000000"/>
          <w:sz w:val="24"/>
          <w:szCs w:val="24"/>
        </w:rPr>
        <w:t>Sustainable Energy Technologies and Assessments</w:t>
      </w:r>
      <w:r>
        <w:rPr>
          <w:rFonts w:ascii="Times New Roman" w:eastAsia="Times New Roman" w:hAnsi="Times New Roman" w:cs="Times New Roman"/>
          <w:color w:val="000000"/>
          <w:sz w:val="24"/>
          <w:szCs w:val="24"/>
        </w:rPr>
        <w:t xml:space="preserve">, vol. 15, 2016,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10.1016/j.seta.2016.03.006.</w:t>
      </w:r>
    </w:p>
    <w:p w14:paraId="082C8BBA" w14:textId="77777777" w:rsidR="006D0435" w:rsidRDefault="00000000">
      <w:pPr>
        <w:spacing w:line="360" w:lineRule="auto"/>
        <w:ind w:left="720" w:hanging="6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[146]</w:t>
      </w:r>
      <w:r>
        <w:rPr>
          <w:rFonts w:ascii="Times New Roman" w:eastAsia="Times New Roman" w:hAnsi="Times New Roman" w:cs="Times New Roman"/>
          <w:color w:val="000000"/>
          <w:sz w:val="24"/>
          <w:szCs w:val="24"/>
        </w:rPr>
        <w:tab/>
        <w:t xml:space="preserve">S. I. Ehrenberger, J. B. Dunn, G. </w:t>
      </w:r>
      <w:proofErr w:type="spellStart"/>
      <w:r>
        <w:rPr>
          <w:rFonts w:ascii="Times New Roman" w:eastAsia="Times New Roman" w:hAnsi="Times New Roman" w:cs="Times New Roman"/>
          <w:color w:val="000000"/>
          <w:sz w:val="24"/>
          <w:szCs w:val="24"/>
        </w:rPr>
        <w:t>Jungemeier</w:t>
      </w:r>
      <w:proofErr w:type="spellEnd"/>
      <w:r>
        <w:rPr>
          <w:rFonts w:ascii="Times New Roman" w:eastAsia="Times New Roman" w:hAnsi="Times New Roman" w:cs="Times New Roman"/>
          <w:color w:val="000000"/>
          <w:sz w:val="24"/>
          <w:szCs w:val="24"/>
        </w:rPr>
        <w:t xml:space="preserve">, and H. Wang, “An international dialogue about electric vehicle deployment to bring energy and greenhouse gas benefits through 2030 on a well-to-wheels basis,” </w:t>
      </w:r>
      <w:r>
        <w:rPr>
          <w:rFonts w:ascii="Times New Roman" w:eastAsia="Times New Roman" w:hAnsi="Times New Roman" w:cs="Times New Roman"/>
          <w:i/>
          <w:iCs/>
          <w:color w:val="000000"/>
          <w:sz w:val="24"/>
          <w:szCs w:val="24"/>
        </w:rPr>
        <w:t>Transp. Res. D Transp. Environ.</w:t>
      </w:r>
      <w:r>
        <w:rPr>
          <w:rFonts w:ascii="Times New Roman" w:eastAsia="Times New Roman" w:hAnsi="Times New Roman" w:cs="Times New Roman"/>
          <w:color w:val="000000"/>
          <w:sz w:val="24"/>
          <w:szCs w:val="24"/>
        </w:rPr>
        <w:t xml:space="preserve">, vol. 74, 2019,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10.1016/j.trd.2019.07.027.</w:t>
      </w:r>
    </w:p>
    <w:p w14:paraId="2FF91EF0" w14:textId="77777777" w:rsidR="006D0435" w:rsidRDefault="00000000">
      <w:pPr>
        <w:spacing w:line="360" w:lineRule="auto"/>
        <w:ind w:left="720" w:hanging="6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47</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 xml:space="preserve">A. Manjunath and G. Gross, “Towards a meaningful metric for the quantification of GHG emissions of electric vehicles (EVs),” </w:t>
      </w:r>
      <w:r>
        <w:rPr>
          <w:rFonts w:ascii="Times New Roman" w:eastAsia="Times New Roman" w:hAnsi="Times New Roman" w:cs="Times New Roman"/>
          <w:i/>
          <w:iCs/>
          <w:color w:val="000000"/>
          <w:sz w:val="24"/>
          <w:szCs w:val="24"/>
        </w:rPr>
        <w:t>Energy Policy</w:t>
      </w:r>
      <w:r>
        <w:rPr>
          <w:rFonts w:ascii="Times New Roman" w:eastAsia="Times New Roman" w:hAnsi="Times New Roman" w:cs="Times New Roman"/>
          <w:color w:val="000000"/>
          <w:sz w:val="24"/>
          <w:szCs w:val="24"/>
        </w:rPr>
        <w:t xml:space="preserve">, vol. 102, 2017,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10.1016/j.enpol.2016.12.003.</w:t>
      </w:r>
    </w:p>
    <w:p w14:paraId="0324A8C9" w14:textId="77777777" w:rsidR="006D0435" w:rsidRDefault="00000000">
      <w:pPr>
        <w:spacing w:line="360" w:lineRule="auto"/>
        <w:ind w:left="720" w:hanging="6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48</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 xml:space="preserve">S. J. Curran, R. M. Wagner, R. L. Graves, M. Keller, and J. B. Green, “Well-to-wheel analysis of direct and indirect use of natural gas in passenger vehicles,” </w:t>
      </w:r>
      <w:r>
        <w:rPr>
          <w:rFonts w:ascii="Times New Roman" w:eastAsia="Times New Roman" w:hAnsi="Times New Roman" w:cs="Times New Roman"/>
          <w:i/>
          <w:iCs/>
          <w:color w:val="000000"/>
          <w:sz w:val="24"/>
          <w:szCs w:val="24"/>
        </w:rPr>
        <w:t>Energy</w:t>
      </w:r>
      <w:r>
        <w:rPr>
          <w:rFonts w:ascii="Times New Roman" w:eastAsia="Times New Roman" w:hAnsi="Times New Roman" w:cs="Times New Roman"/>
          <w:color w:val="000000"/>
          <w:sz w:val="24"/>
          <w:szCs w:val="24"/>
        </w:rPr>
        <w:t xml:space="preserve">, vol. 75, 2014,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10.1016/j.energy.2014.07.035.</w:t>
      </w:r>
    </w:p>
    <w:p w14:paraId="306BD5D0" w14:textId="77777777" w:rsidR="006D0435" w:rsidRDefault="00000000">
      <w:pPr>
        <w:spacing w:line="360" w:lineRule="auto"/>
        <w:ind w:left="720" w:hanging="6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49</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 xml:space="preserve">Y. </w:t>
      </w:r>
      <w:proofErr w:type="spellStart"/>
      <w:r>
        <w:rPr>
          <w:rFonts w:ascii="Times New Roman" w:eastAsia="Times New Roman" w:hAnsi="Times New Roman" w:cs="Times New Roman"/>
          <w:color w:val="000000"/>
          <w:sz w:val="24"/>
          <w:szCs w:val="24"/>
        </w:rPr>
        <w:t>Ligen</w:t>
      </w:r>
      <w:proofErr w:type="spellEnd"/>
      <w:r>
        <w:rPr>
          <w:rFonts w:ascii="Times New Roman" w:eastAsia="Times New Roman" w:hAnsi="Times New Roman" w:cs="Times New Roman"/>
          <w:color w:val="000000"/>
          <w:sz w:val="24"/>
          <w:szCs w:val="24"/>
        </w:rPr>
        <w:t xml:space="preserve">, H. Vrubel, and H. H. Girault, “Mobility from renewable electricity: Infrastructure comparison for battery and hydrogen fuel cell vehicles,” </w:t>
      </w:r>
      <w:r>
        <w:rPr>
          <w:rFonts w:ascii="Times New Roman" w:eastAsia="Times New Roman" w:hAnsi="Times New Roman" w:cs="Times New Roman"/>
          <w:i/>
          <w:iCs/>
          <w:color w:val="000000"/>
          <w:sz w:val="24"/>
          <w:szCs w:val="24"/>
        </w:rPr>
        <w:t>World Electric Vehicle Journal</w:t>
      </w:r>
      <w:r>
        <w:rPr>
          <w:rFonts w:ascii="Times New Roman" w:eastAsia="Times New Roman" w:hAnsi="Times New Roman" w:cs="Times New Roman"/>
          <w:color w:val="000000"/>
          <w:sz w:val="24"/>
          <w:szCs w:val="24"/>
        </w:rPr>
        <w:t xml:space="preserve">, vol. 9, no. 1, 2018,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10.3390/wevj9010003.</w:t>
      </w:r>
    </w:p>
    <w:p w14:paraId="33F663E5" w14:textId="77777777" w:rsidR="006D0435" w:rsidRDefault="00000000">
      <w:pPr>
        <w:spacing w:line="360" w:lineRule="auto"/>
        <w:ind w:left="720" w:hanging="6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50</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 xml:space="preserve">J. Lee and J. Kim, “Are electric vehicles more efficient? A slacks-based data envelopment analysis for European road passenger transportation,” </w:t>
      </w:r>
      <w:r>
        <w:rPr>
          <w:rFonts w:ascii="Times New Roman" w:eastAsia="Times New Roman" w:hAnsi="Times New Roman" w:cs="Times New Roman"/>
          <w:i/>
          <w:iCs/>
          <w:color w:val="000000"/>
          <w:sz w:val="24"/>
          <w:szCs w:val="24"/>
        </w:rPr>
        <w:t>Energy</w:t>
      </w:r>
      <w:r>
        <w:rPr>
          <w:rFonts w:ascii="Times New Roman" w:eastAsia="Times New Roman" w:hAnsi="Times New Roman" w:cs="Times New Roman"/>
          <w:color w:val="000000"/>
          <w:sz w:val="24"/>
          <w:szCs w:val="24"/>
        </w:rPr>
        <w:t xml:space="preserve">, vol. 279, 2023,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10.1016/j.energy.2023.128117.</w:t>
      </w:r>
    </w:p>
    <w:p w14:paraId="0E631A6E" w14:textId="77777777" w:rsidR="006D0435" w:rsidRDefault="00000000">
      <w:pPr>
        <w:spacing w:line="360" w:lineRule="auto"/>
        <w:ind w:left="720" w:hanging="640"/>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sz w:val="24"/>
          <w:szCs w:val="24"/>
        </w:rPr>
        <w:t>51</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 xml:space="preserve">R. Faria, P. Marques, P. Moura, F. Freire, J. Delgado, and A. T. De Almeida, “Impact of the electricity mix and use profile in the life-cycle assessment of electric vehicles,” 2013.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10.1016/j.rser.2013.03.063</w:t>
      </w:r>
    </w:p>
    <w:p w14:paraId="0AF99BB5" w14:textId="77777777" w:rsidR="006D0435" w:rsidRDefault="00000000">
      <w:pPr>
        <w:spacing w:line="360" w:lineRule="auto"/>
        <w:ind w:left="72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[152] </w:t>
      </w:r>
      <w:r>
        <w:rPr>
          <w:rFonts w:ascii="Times New Roman" w:eastAsia="Times New Roman" w:hAnsi="Times New Roman" w:cs="Times New Roman"/>
          <w:color w:val="222222"/>
          <w:sz w:val="24"/>
          <w:szCs w:val="24"/>
          <w:highlight w:val="white"/>
        </w:rPr>
        <w:t xml:space="preserve">Muratori, Matteo, Marcus Alexander, Doug </w:t>
      </w:r>
      <w:proofErr w:type="spellStart"/>
      <w:r>
        <w:rPr>
          <w:rFonts w:ascii="Times New Roman" w:eastAsia="Times New Roman" w:hAnsi="Times New Roman" w:cs="Times New Roman"/>
          <w:color w:val="222222"/>
          <w:sz w:val="24"/>
          <w:szCs w:val="24"/>
          <w:highlight w:val="white"/>
        </w:rPr>
        <w:t>Arent</w:t>
      </w:r>
      <w:proofErr w:type="spellEnd"/>
      <w:r>
        <w:rPr>
          <w:rFonts w:ascii="Times New Roman" w:eastAsia="Times New Roman" w:hAnsi="Times New Roman" w:cs="Times New Roman"/>
          <w:color w:val="222222"/>
          <w:sz w:val="24"/>
          <w:szCs w:val="24"/>
          <w:highlight w:val="white"/>
        </w:rPr>
        <w:t xml:space="preserve">, Morgan Bazilian, Pierpaolo Cazzola, Ercan M. Dede, John Farrell et al. "The rise of electric vehicles—2020 status and future expectations." </w:t>
      </w:r>
      <w:r>
        <w:rPr>
          <w:rFonts w:ascii="Times New Roman" w:eastAsia="Times New Roman" w:hAnsi="Times New Roman" w:cs="Times New Roman"/>
          <w:i/>
          <w:iCs/>
          <w:color w:val="222222"/>
          <w:sz w:val="24"/>
          <w:szCs w:val="24"/>
          <w:highlight w:val="white"/>
        </w:rPr>
        <w:t>Progress in Energy</w:t>
      </w:r>
      <w:r>
        <w:rPr>
          <w:rFonts w:ascii="Times New Roman" w:eastAsia="Times New Roman" w:hAnsi="Times New Roman" w:cs="Times New Roman"/>
          <w:color w:val="222222"/>
          <w:sz w:val="24"/>
          <w:szCs w:val="24"/>
          <w:highlight w:val="white"/>
        </w:rPr>
        <w:t xml:space="preserve"> 3, no. 2 (2021): 022002.</w:t>
      </w:r>
      <w:r>
        <w:rPr>
          <w:rFonts w:ascii="Times New Roman" w:eastAsia="Times New Roman" w:hAnsi="Times New Roman" w:cs="Times New Roman"/>
          <w:color w:val="333333"/>
          <w:sz w:val="24"/>
          <w:szCs w:val="24"/>
        </w:rPr>
        <w:t xml:space="preserve"> </w:t>
      </w:r>
      <w:proofErr w:type="spellStart"/>
      <w:r>
        <w:rPr>
          <w:rFonts w:ascii="Times New Roman" w:eastAsia="Times New Roman" w:hAnsi="Times New Roman" w:cs="Times New Roman"/>
          <w:color w:val="333333"/>
          <w:sz w:val="24"/>
          <w:szCs w:val="24"/>
        </w:rPr>
        <w:t>doi</w:t>
      </w:r>
      <w:proofErr w:type="spellEnd"/>
      <w:r>
        <w:rPr>
          <w:rFonts w:ascii="Times New Roman" w:eastAsia="Times New Roman" w:hAnsi="Times New Roman" w:cs="Times New Roman"/>
          <w:color w:val="333333"/>
          <w:sz w:val="24"/>
          <w:szCs w:val="24"/>
        </w:rPr>
        <w:t xml:space="preserve">: </w:t>
      </w:r>
      <w:r>
        <w:rPr>
          <w:rFonts w:ascii="Times New Roman" w:eastAsia="Times New Roman" w:hAnsi="Times New Roman" w:cs="Times New Roman"/>
          <w:sz w:val="24"/>
          <w:szCs w:val="24"/>
        </w:rPr>
        <w:t>10.1088/2516-1083/abe0ad</w:t>
      </w:r>
    </w:p>
    <w:p w14:paraId="24D73141" w14:textId="77777777" w:rsidR="006D0435" w:rsidRDefault="00000000">
      <w:pPr>
        <w:spacing w:line="360" w:lineRule="auto"/>
        <w:ind w:left="72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[153] </w:t>
      </w:r>
      <w:r>
        <w:rPr>
          <w:rFonts w:ascii="Times New Roman" w:eastAsia="Times New Roman" w:hAnsi="Times New Roman" w:cs="Times New Roman"/>
          <w:color w:val="222222"/>
          <w:sz w:val="24"/>
          <w:szCs w:val="24"/>
          <w:highlight w:val="white"/>
        </w:rPr>
        <w:t xml:space="preserve">König A., Nicoletti L., Schröder D., Wolff S., Waclaw A., </w:t>
      </w:r>
      <w:proofErr w:type="spellStart"/>
      <w:r>
        <w:rPr>
          <w:rFonts w:ascii="Times New Roman" w:eastAsia="Times New Roman" w:hAnsi="Times New Roman" w:cs="Times New Roman"/>
          <w:color w:val="222222"/>
          <w:sz w:val="24"/>
          <w:szCs w:val="24"/>
          <w:highlight w:val="white"/>
        </w:rPr>
        <w:t>Lienkamp</w:t>
      </w:r>
      <w:proofErr w:type="spellEnd"/>
      <w:r>
        <w:rPr>
          <w:rFonts w:ascii="Times New Roman" w:eastAsia="Times New Roman" w:hAnsi="Times New Roman" w:cs="Times New Roman"/>
          <w:color w:val="222222"/>
          <w:sz w:val="24"/>
          <w:szCs w:val="24"/>
          <w:highlight w:val="white"/>
        </w:rPr>
        <w:t xml:space="preserve"> M., “An Overview of Parameter and Cost for Battery Electric Vehicles,” </w:t>
      </w:r>
      <w:r>
        <w:rPr>
          <w:rFonts w:ascii="Times New Roman" w:eastAsia="Times New Roman" w:hAnsi="Times New Roman" w:cs="Times New Roman"/>
          <w:i/>
          <w:iCs/>
          <w:color w:val="222222"/>
          <w:sz w:val="24"/>
          <w:szCs w:val="24"/>
          <w:highlight w:val="white"/>
        </w:rPr>
        <w:t xml:space="preserve">World </w:t>
      </w:r>
      <w:proofErr w:type="spellStart"/>
      <w:r>
        <w:rPr>
          <w:rFonts w:ascii="Times New Roman" w:eastAsia="Times New Roman" w:hAnsi="Times New Roman" w:cs="Times New Roman"/>
          <w:i/>
          <w:iCs/>
          <w:color w:val="222222"/>
          <w:sz w:val="24"/>
          <w:szCs w:val="24"/>
          <w:highlight w:val="white"/>
        </w:rPr>
        <w:t>Electr</w:t>
      </w:r>
      <w:proofErr w:type="spellEnd"/>
      <w:r>
        <w:rPr>
          <w:rFonts w:ascii="Times New Roman" w:eastAsia="Times New Roman" w:hAnsi="Times New Roman" w:cs="Times New Roman"/>
          <w:i/>
          <w:iCs/>
          <w:color w:val="222222"/>
          <w:sz w:val="24"/>
          <w:szCs w:val="24"/>
          <w:highlight w:val="white"/>
        </w:rPr>
        <w:t>. Veh. J.</w:t>
      </w:r>
      <w:r>
        <w:rPr>
          <w:rFonts w:ascii="Times New Roman" w:eastAsia="Times New Roman" w:hAnsi="Times New Roman" w:cs="Times New Roman"/>
          <w:color w:val="222222"/>
          <w:sz w:val="24"/>
          <w:szCs w:val="24"/>
          <w:highlight w:val="white"/>
        </w:rPr>
        <w:t xml:space="preserve"> 2021, </w:t>
      </w:r>
      <w:r>
        <w:rPr>
          <w:rFonts w:ascii="Times New Roman" w:eastAsia="Times New Roman" w:hAnsi="Times New Roman" w:cs="Times New Roman"/>
          <w:i/>
          <w:iCs/>
          <w:color w:val="222222"/>
          <w:sz w:val="24"/>
          <w:szCs w:val="24"/>
          <w:highlight w:val="white"/>
        </w:rPr>
        <w:t>12</w:t>
      </w:r>
      <w:r>
        <w:rPr>
          <w:rFonts w:ascii="Times New Roman" w:eastAsia="Times New Roman" w:hAnsi="Times New Roman" w:cs="Times New Roman"/>
          <w:color w:val="222222"/>
          <w:sz w:val="24"/>
          <w:szCs w:val="24"/>
          <w:highlight w:val="white"/>
        </w:rPr>
        <w:t xml:space="preserve">, 21. </w:t>
      </w:r>
      <w:proofErr w:type="spellStart"/>
      <w:r>
        <w:rPr>
          <w:rFonts w:ascii="Times New Roman" w:eastAsia="Times New Roman" w:hAnsi="Times New Roman" w:cs="Times New Roman"/>
          <w:color w:val="222222"/>
          <w:sz w:val="24"/>
          <w:szCs w:val="24"/>
          <w:highlight w:val="white"/>
        </w:rPr>
        <w:t>doi</w:t>
      </w:r>
      <w:proofErr w:type="spellEnd"/>
      <w:r>
        <w:rPr>
          <w:rFonts w:ascii="Times New Roman" w:eastAsia="Times New Roman" w:hAnsi="Times New Roman" w:cs="Times New Roman"/>
          <w:color w:val="222222"/>
          <w:sz w:val="24"/>
          <w:szCs w:val="24"/>
          <w:highlight w:val="white"/>
        </w:rPr>
        <w:t>: 10.3390/wevj12010021</w:t>
      </w:r>
    </w:p>
    <w:p w14:paraId="6E89592C" w14:textId="77777777" w:rsidR="006D0435" w:rsidRDefault="00000000">
      <w:pPr>
        <w:spacing w:line="360" w:lineRule="auto"/>
        <w:ind w:left="72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[154] </w:t>
      </w:r>
      <w:proofErr w:type="spellStart"/>
      <w:proofErr w:type="gramStart"/>
      <w:r>
        <w:rPr>
          <w:rFonts w:ascii="Times New Roman" w:eastAsia="Times New Roman" w:hAnsi="Times New Roman" w:cs="Times New Roman"/>
          <w:color w:val="222222"/>
          <w:sz w:val="24"/>
          <w:szCs w:val="24"/>
          <w:highlight w:val="white"/>
        </w:rPr>
        <w:t>Rajper</w:t>
      </w:r>
      <w:proofErr w:type="spellEnd"/>
      <w:r>
        <w:rPr>
          <w:rFonts w:ascii="Times New Roman" w:eastAsia="Times New Roman" w:hAnsi="Times New Roman" w:cs="Times New Roman"/>
          <w:color w:val="222222"/>
          <w:sz w:val="24"/>
          <w:szCs w:val="24"/>
          <w:highlight w:val="white"/>
        </w:rPr>
        <w:t xml:space="preserve">  S.Z.</w:t>
      </w:r>
      <w:proofErr w:type="gramEnd"/>
      <w:r>
        <w:rPr>
          <w:rFonts w:ascii="Times New Roman" w:eastAsia="Times New Roman" w:hAnsi="Times New Roman" w:cs="Times New Roman"/>
          <w:color w:val="222222"/>
          <w:sz w:val="24"/>
          <w:szCs w:val="24"/>
          <w:highlight w:val="white"/>
        </w:rPr>
        <w:t xml:space="preserve">, Albrecht J., “Prospects of Electric Vehicles in the Developing Countries: A Literature Review,” </w:t>
      </w:r>
      <w:r>
        <w:rPr>
          <w:rFonts w:ascii="Times New Roman" w:eastAsia="Times New Roman" w:hAnsi="Times New Roman" w:cs="Times New Roman"/>
          <w:i/>
          <w:iCs/>
          <w:color w:val="222222"/>
          <w:sz w:val="24"/>
          <w:szCs w:val="24"/>
          <w:highlight w:val="white"/>
        </w:rPr>
        <w:t>Sustainability</w:t>
      </w:r>
      <w:r>
        <w:rPr>
          <w:rFonts w:ascii="Times New Roman" w:eastAsia="Times New Roman" w:hAnsi="Times New Roman" w:cs="Times New Roman"/>
          <w:color w:val="222222"/>
          <w:sz w:val="24"/>
          <w:szCs w:val="24"/>
          <w:highlight w:val="white"/>
        </w:rPr>
        <w:t xml:space="preserve"> 2020, </w:t>
      </w:r>
      <w:r>
        <w:rPr>
          <w:rFonts w:ascii="Times New Roman" w:eastAsia="Times New Roman" w:hAnsi="Times New Roman" w:cs="Times New Roman"/>
          <w:i/>
          <w:iCs/>
          <w:color w:val="222222"/>
          <w:sz w:val="24"/>
          <w:szCs w:val="24"/>
          <w:highlight w:val="white"/>
        </w:rPr>
        <w:t>12</w:t>
      </w:r>
      <w:r>
        <w:rPr>
          <w:rFonts w:ascii="Times New Roman" w:eastAsia="Times New Roman" w:hAnsi="Times New Roman" w:cs="Times New Roman"/>
          <w:color w:val="222222"/>
          <w:sz w:val="24"/>
          <w:szCs w:val="24"/>
          <w:highlight w:val="white"/>
        </w:rPr>
        <w:t xml:space="preserve">, 1906. </w:t>
      </w:r>
      <w:proofErr w:type="spellStart"/>
      <w:r>
        <w:rPr>
          <w:rFonts w:ascii="Times New Roman" w:eastAsia="Times New Roman" w:hAnsi="Times New Roman" w:cs="Times New Roman"/>
          <w:color w:val="222222"/>
          <w:sz w:val="24"/>
          <w:szCs w:val="24"/>
          <w:highlight w:val="white"/>
        </w:rPr>
        <w:t>doi</w:t>
      </w:r>
      <w:proofErr w:type="spellEnd"/>
      <w:r>
        <w:rPr>
          <w:rFonts w:ascii="Times New Roman" w:eastAsia="Times New Roman" w:hAnsi="Times New Roman" w:cs="Times New Roman"/>
          <w:color w:val="222222"/>
          <w:sz w:val="24"/>
          <w:szCs w:val="24"/>
          <w:highlight w:val="white"/>
        </w:rPr>
        <w:t>: 10.3390/su12051906</w:t>
      </w:r>
    </w:p>
    <w:p w14:paraId="262EEB47" w14:textId="77777777" w:rsidR="006D0435" w:rsidRDefault="00000000">
      <w:pPr>
        <w:spacing w:line="360" w:lineRule="auto"/>
        <w:ind w:left="72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[155] Fazel Mohammadi, Mehrdad Saif, “A comprehensive overview of electric vehicle batteries market, e-Prime - Advances in Electrical Engineering, Electronics and Energy,” Volume 3,2023,100127, ISSN 2772-6711.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10.1016/j.prime.2023.100127.</w:t>
      </w:r>
    </w:p>
    <w:p w14:paraId="7104CF71" w14:textId="77777777" w:rsidR="006D0435" w:rsidRDefault="00000000">
      <w:pPr>
        <w:spacing w:line="360" w:lineRule="auto"/>
        <w:ind w:left="72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[156] </w:t>
      </w:r>
      <w:r>
        <w:rPr>
          <w:rFonts w:ascii="Times New Roman" w:eastAsia="Times New Roman" w:hAnsi="Times New Roman" w:cs="Times New Roman"/>
          <w:color w:val="222222"/>
          <w:sz w:val="24"/>
          <w:szCs w:val="24"/>
          <w:highlight w:val="white"/>
        </w:rPr>
        <w:t xml:space="preserve">Wu, Geng, Alessandro Inderbitzin, and Catharina Bening. "Total cost of ownership of electric vehicles compared to conventional vehicles: A probabilistic analysis and projection across market segments." </w:t>
      </w:r>
      <w:r>
        <w:rPr>
          <w:rFonts w:ascii="Times New Roman" w:eastAsia="Times New Roman" w:hAnsi="Times New Roman" w:cs="Times New Roman"/>
          <w:i/>
          <w:iCs/>
          <w:color w:val="222222"/>
          <w:sz w:val="24"/>
          <w:szCs w:val="24"/>
          <w:highlight w:val="white"/>
        </w:rPr>
        <w:t>Energy policy</w:t>
      </w:r>
      <w:r>
        <w:rPr>
          <w:rFonts w:ascii="Times New Roman" w:eastAsia="Times New Roman" w:hAnsi="Times New Roman" w:cs="Times New Roman"/>
          <w:color w:val="222222"/>
          <w:sz w:val="24"/>
          <w:szCs w:val="24"/>
          <w:highlight w:val="white"/>
        </w:rPr>
        <w:t xml:space="preserve"> 80 (2015): 196-214. </w:t>
      </w:r>
      <w:proofErr w:type="spellStart"/>
      <w:r>
        <w:rPr>
          <w:rFonts w:ascii="Times New Roman" w:eastAsia="Times New Roman" w:hAnsi="Times New Roman" w:cs="Times New Roman"/>
          <w:color w:val="222222"/>
          <w:sz w:val="24"/>
          <w:szCs w:val="24"/>
          <w:highlight w:val="white"/>
        </w:rPr>
        <w:t>doi</w:t>
      </w:r>
      <w:proofErr w:type="spellEnd"/>
      <w:r>
        <w:rPr>
          <w:rFonts w:ascii="Times New Roman" w:eastAsia="Times New Roman" w:hAnsi="Times New Roman" w:cs="Times New Roman"/>
          <w:color w:val="222222"/>
          <w:sz w:val="24"/>
          <w:szCs w:val="24"/>
          <w:highlight w:val="white"/>
        </w:rPr>
        <w:t xml:space="preserve">: </w:t>
      </w:r>
      <w:hyperlink r:id="rId368">
        <w:r>
          <w:rPr>
            <w:rFonts w:ascii="Times New Roman" w:eastAsia="Times New Roman" w:hAnsi="Times New Roman" w:cs="Times New Roman"/>
            <w:sz w:val="24"/>
            <w:szCs w:val="24"/>
          </w:rPr>
          <w:t>10.1016/j.enpol.2015.02.004</w:t>
        </w:r>
      </w:hyperlink>
    </w:p>
    <w:p w14:paraId="60971B48" w14:textId="77777777" w:rsidR="006D0435" w:rsidRDefault="00000000">
      <w:pPr>
        <w:spacing w:line="360" w:lineRule="auto"/>
        <w:ind w:left="72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[157] </w:t>
      </w:r>
      <w:r>
        <w:rPr>
          <w:rFonts w:ascii="Times New Roman" w:eastAsia="Times New Roman" w:hAnsi="Times New Roman" w:cs="Times New Roman"/>
          <w:color w:val="222222"/>
          <w:sz w:val="24"/>
          <w:szCs w:val="24"/>
          <w:highlight w:val="white"/>
        </w:rPr>
        <w:t xml:space="preserve">Liu, Zhe, </w:t>
      </w:r>
      <w:proofErr w:type="spellStart"/>
      <w:r>
        <w:rPr>
          <w:rFonts w:ascii="Times New Roman" w:eastAsia="Times New Roman" w:hAnsi="Times New Roman" w:cs="Times New Roman"/>
          <w:color w:val="222222"/>
          <w:sz w:val="24"/>
          <w:szCs w:val="24"/>
          <w:highlight w:val="white"/>
        </w:rPr>
        <w:t>Juhyun</w:t>
      </w:r>
      <w:proofErr w:type="spellEnd"/>
      <w:r>
        <w:rPr>
          <w:rFonts w:ascii="Times New Roman" w:eastAsia="Times New Roman" w:hAnsi="Times New Roman" w:cs="Times New Roman"/>
          <w:color w:val="222222"/>
          <w:sz w:val="24"/>
          <w:szCs w:val="24"/>
          <w:highlight w:val="white"/>
        </w:rPr>
        <w:t xml:space="preserve"> Song, Joseph Kubal, Naresh Susarla, Kevin W. Knehr, Ehsan Islam, Paul Nelson, and Shabbir Ahmed. "Comparing total cost of ownership of battery electric vehicles and internal combustion engine vehicles." </w:t>
      </w:r>
      <w:r>
        <w:rPr>
          <w:rFonts w:ascii="Times New Roman" w:eastAsia="Times New Roman" w:hAnsi="Times New Roman" w:cs="Times New Roman"/>
          <w:i/>
          <w:iCs/>
          <w:color w:val="222222"/>
          <w:sz w:val="24"/>
          <w:szCs w:val="24"/>
          <w:highlight w:val="white"/>
        </w:rPr>
        <w:t>Energy Policy</w:t>
      </w:r>
      <w:r>
        <w:rPr>
          <w:rFonts w:ascii="Times New Roman" w:eastAsia="Times New Roman" w:hAnsi="Times New Roman" w:cs="Times New Roman"/>
          <w:color w:val="222222"/>
          <w:sz w:val="24"/>
          <w:szCs w:val="24"/>
          <w:highlight w:val="white"/>
        </w:rPr>
        <w:t xml:space="preserve"> 158 (2021): 112564.</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xml:space="preserve">: </w:t>
      </w:r>
      <w:hyperlink r:id="rId369">
        <w:r>
          <w:rPr>
            <w:rFonts w:ascii="Times New Roman" w:eastAsia="Times New Roman" w:hAnsi="Times New Roman" w:cs="Times New Roman"/>
            <w:sz w:val="24"/>
            <w:szCs w:val="24"/>
          </w:rPr>
          <w:t>10.1016/j.enpol.2021.112564</w:t>
        </w:r>
      </w:hyperlink>
    </w:p>
    <w:p w14:paraId="1FFE9577" w14:textId="77777777" w:rsidR="006D0435" w:rsidRDefault="00000000">
      <w:pPr>
        <w:spacing w:line="360" w:lineRule="auto"/>
        <w:ind w:left="72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[158] </w:t>
      </w:r>
      <w:r>
        <w:rPr>
          <w:rFonts w:ascii="Times New Roman" w:eastAsia="Times New Roman" w:hAnsi="Times New Roman" w:cs="Times New Roman"/>
          <w:color w:val="222222"/>
          <w:sz w:val="24"/>
          <w:szCs w:val="24"/>
          <w:highlight w:val="white"/>
        </w:rPr>
        <w:t xml:space="preserve">van Velzen, Arjan, Jan Anne Annema, Geerten van de Kaa, and Bert van Wee. "Proposing a more comprehensive future total cost of ownership estimation framework for electric vehicles." </w:t>
      </w:r>
      <w:r>
        <w:rPr>
          <w:rFonts w:ascii="Times New Roman" w:eastAsia="Times New Roman" w:hAnsi="Times New Roman" w:cs="Times New Roman"/>
          <w:i/>
          <w:iCs/>
          <w:color w:val="222222"/>
          <w:sz w:val="24"/>
          <w:szCs w:val="24"/>
          <w:highlight w:val="white"/>
        </w:rPr>
        <w:t>Energy Policy</w:t>
      </w:r>
      <w:r>
        <w:rPr>
          <w:rFonts w:ascii="Times New Roman" w:eastAsia="Times New Roman" w:hAnsi="Times New Roman" w:cs="Times New Roman"/>
          <w:color w:val="222222"/>
          <w:sz w:val="24"/>
          <w:szCs w:val="24"/>
          <w:highlight w:val="white"/>
        </w:rPr>
        <w:t xml:space="preserve"> 129 (2019): 1034-1046.</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xml:space="preserve">: </w:t>
      </w:r>
      <w:hyperlink r:id="rId370">
        <w:r>
          <w:rPr>
            <w:rFonts w:ascii="Times New Roman" w:eastAsia="Times New Roman" w:hAnsi="Times New Roman" w:cs="Times New Roman"/>
            <w:sz w:val="24"/>
            <w:szCs w:val="24"/>
          </w:rPr>
          <w:t>10.1016/j.enpol.2019.02.071</w:t>
        </w:r>
      </w:hyperlink>
    </w:p>
    <w:p w14:paraId="04B8B6D3" w14:textId="77777777" w:rsidR="006D0435" w:rsidRDefault="00000000">
      <w:pPr>
        <w:spacing w:line="360" w:lineRule="auto"/>
        <w:ind w:left="72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[159] Borge-Diez, David, Daniel Icaza, Emin Açıkkalp, and Hortensia Amaris. "Combined vehicle to building (V2B) and vehicle to home (V2H) strategy to increase electric vehicle market share." Energy 237 (2021): 121608.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xml:space="preserve">: </w:t>
      </w:r>
      <w:hyperlink r:id="rId371">
        <w:r>
          <w:rPr>
            <w:rFonts w:ascii="Times New Roman" w:eastAsia="Times New Roman" w:hAnsi="Times New Roman" w:cs="Times New Roman"/>
            <w:sz w:val="24"/>
            <w:szCs w:val="24"/>
          </w:rPr>
          <w:t>10.1016/j.energy.2021.121608</w:t>
        </w:r>
      </w:hyperlink>
    </w:p>
    <w:p w14:paraId="3D4A5FCB" w14:textId="77777777" w:rsidR="006D0435" w:rsidRDefault="00000000">
      <w:pPr>
        <w:spacing w:line="360" w:lineRule="auto"/>
        <w:ind w:left="72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[160] </w:t>
      </w:r>
      <w:r>
        <w:rPr>
          <w:rFonts w:ascii="Times New Roman" w:eastAsia="Times New Roman" w:hAnsi="Times New Roman" w:cs="Times New Roman"/>
          <w:color w:val="222222"/>
          <w:sz w:val="24"/>
          <w:szCs w:val="24"/>
          <w:highlight w:val="white"/>
        </w:rPr>
        <w:t xml:space="preserve">Patil, Harshavardhan, and </w:t>
      </w:r>
      <w:proofErr w:type="spellStart"/>
      <w:r>
        <w:rPr>
          <w:rFonts w:ascii="Times New Roman" w:eastAsia="Times New Roman" w:hAnsi="Times New Roman" w:cs="Times New Roman"/>
          <w:color w:val="222222"/>
          <w:sz w:val="24"/>
          <w:szCs w:val="24"/>
          <w:highlight w:val="white"/>
        </w:rPr>
        <w:t>Vaiju</w:t>
      </w:r>
      <w:proofErr w:type="spellEnd"/>
      <w:r>
        <w:rPr>
          <w:rFonts w:ascii="Times New Roman" w:eastAsia="Times New Roman" w:hAnsi="Times New Roman" w:cs="Times New Roman"/>
          <w:color w:val="222222"/>
          <w:sz w:val="24"/>
          <w:szCs w:val="24"/>
          <w:highlight w:val="white"/>
        </w:rPr>
        <w:t xml:space="preserve"> Nago Kalkhambkar. "Grid integration of electric vehicles for economic benefits: A review." </w:t>
      </w:r>
      <w:r>
        <w:rPr>
          <w:rFonts w:ascii="Times New Roman" w:eastAsia="Times New Roman" w:hAnsi="Times New Roman" w:cs="Times New Roman"/>
          <w:i/>
          <w:iCs/>
          <w:color w:val="222222"/>
          <w:sz w:val="24"/>
          <w:szCs w:val="24"/>
          <w:highlight w:val="white"/>
        </w:rPr>
        <w:t>Journal of Modern Power Systems and Clean Energy</w:t>
      </w:r>
      <w:r>
        <w:rPr>
          <w:rFonts w:ascii="Times New Roman" w:eastAsia="Times New Roman" w:hAnsi="Times New Roman" w:cs="Times New Roman"/>
          <w:color w:val="222222"/>
          <w:sz w:val="24"/>
          <w:szCs w:val="24"/>
          <w:highlight w:val="white"/>
        </w:rPr>
        <w:t xml:space="preserve"> 9, no. 1 (2020): 13-26.</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xml:space="preserve">: </w:t>
      </w:r>
      <w:hyperlink r:id="rId372">
        <w:r>
          <w:rPr>
            <w:rFonts w:ascii="Times New Roman" w:eastAsia="Times New Roman" w:hAnsi="Times New Roman" w:cs="Times New Roman"/>
            <w:color w:val="000000"/>
            <w:sz w:val="24"/>
            <w:szCs w:val="24"/>
          </w:rPr>
          <w:t>10.35833/MPCE.2019.000326</w:t>
        </w:r>
      </w:hyperlink>
    </w:p>
    <w:p w14:paraId="6949CFDA" w14:textId="77777777" w:rsidR="006D0435" w:rsidRDefault="00000000">
      <w:pPr>
        <w:spacing w:line="360" w:lineRule="auto"/>
        <w:ind w:left="720" w:hanging="6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[161] </w:t>
      </w:r>
      <w:r>
        <w:rPr>
          <w:rFonts w:ascii="Times New Roman" w:eastAsia="Times New Roman" w:hAnsi="Times New Roman" w:cs="Times New Roman"/>
          <w:color w:val="222222"/>
          <w:sz w:val="24"/>
          <w:szCs w:val="24"/>
          <w:highlight w:val="white"/>
        </w:rPr>
        <w:t xml:space="preserve">Shanmugavel, Nagarajan, and Martina Micheal. "Exploring the marketing related stimuli and personal innovativeness on the purchase intention of electric vehicles through Technology Acceptance Model." </w:t>
      </w:r>
      <w:r>
        <w:rPr>
          <w:rFonts w:ascii="Times New Roman" w:eastAsia="Times New Roman" w:hAnsi="Times New Roman" w:cs="Times New Roman"/>
          <w:i/>
          <w:iCs/>
          <w:color w:val="222222"/>
          <w:sz w:val="24"/>
          <w:szCs w:val="24"/>
          <w:highlight w:val="white"/>
        </w:rPr>
        <w:t>Cleaner Logistics and Supply Chain</w:t>
      </w:r>
      <w:r>
        <w:rPr>
          <w:rFonts w:ascii="Times New Roman" w:eastAsia="Times New Roman" w:hAnsi="Times New Roman" w:cs="Times New Roman"/>
          <w:color w:val="222222"/>
          <w:sz w:val="24"/>
          <w:szCs w:val="24"/>
          <w:highlight w:val="white"/>
        </w:rPr>
        <w:t xml:space="preserve"> 3 (2022): 100029. </w:t>
      </w:r>
      <w:proofErr w:type="spellStart"/>
      <w:r>
        <w:rPr>
          <w:rFonts w:ascii="Times New Roman" w:eastAsia="Times New Roman" w:hAnsi="Times New Roman" w:cs="Times New Roman"/>
          <w:color w:val="222222"/>
          <w:sz w:val="24"/>
          <w:szCs w:val="24"/>
          <w:highlight w:val="white"/>
        </w:rPr>
        <w:t>doi</w:t>
      </w:r>
      <w:proofErr w:type="spellEnd"/>
      <w:r>
        <w:rPr>
          <w:rFonts w:ascii="Times New Roman" w:eastAsia="Times New Roman" w:hAnsi="Times New Roman" w:cs="Times New Roman"/>
          <w:color w:val="222222"/>
          <w:sz w:val="24"/>
          <w:szCs w:val="24"/>
          <w:highlight w:val="white"/>
        </w:rPr>
        <w:t xml:space="preserve">: </w:t>
      </w:r>
      <w:hyperlink r:id="rId373">
        <w:r>
          <w:rPr>
            <w:rFonts w:ascii="Times New Roman" w:eastAsia="Times New Roman" w:hAnsi="Times New Roman" w:cs="Times New Roman"/>
            <w:sz w:val="24"/>
            <w:szCs w:val="24"/>
          </w:rPr>
          <w:t>10.1016/j.clscn.2022.100029</w:t>
        </w:r>
      </w:hyperlink>
    </w:p>
    <w:p w14:paraId="4FB7C79E" w14:textId="77777777" w:rsidR="006D0435"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[162] International Energy Agency, </w:t>
      </w:r>
      <w:r>
        <w:rPr>
          <w:rFonts w:ascii="Times New Roman" w:eastAsia="Times New Roman" w:hAnsi="Times New Roman" w:cs="Times New Roman"/>
          <w:i/>
          <w:iCs/>
          <w:sz w:val="24"/>
          <w:szCs w:val="24"/>
        </w:rPr>
        <w:t>Global EV Outlook 2025</w:t>
      </w:r>
      <w:r>
        <w:rPr>
          <w:rFonts w:ascii="Times New Roman" w:eastAsia="Times New Roman" w:hAnsi="Times New Roman" w:cs="Times New Roman"/>
          <w:sz w:val="24"/>
          <w:szCs w:val="24"/>
        </w:rPr>
        <w:t>. [Online]. Available:</w:t>
      </w:r>
      <w:hyperlink r:id="rId374">
        <w:r>
          <w:rPr>
            <w:rFonts w:ascii="Times New Roman" w:eastAsia="Times New Roman" w:hAnsi="Times New Roman" w:cs="Times New Roman"/>
            <w:sz w:val="24"/>
            <w:szCs w:val="24"/>
          </w:rPr>
          <w:t xml:space="preserve"> </w:t>
        </w:r>
      </w:hyperlink>
      <w:hyperlink r:id="rId375">
        <w:r>
          <w:rPr>
            <w:rFonts w:ascii="Times New Roman" w:eastAsia="Times New Roman" w:hAnsi="Times New Roman" w:cs="Times New Roman"/>
            <w:color w:val="1155CC"/>
            <w:sz w:val="24"/>
            <w:szCs w:val="24"/>
            <w:u w:val="single"/>
          </w:rPr>
          <w:t>https://iea.blob.core.windows.net/assets/0aa4762f-c1cb-4495-987a-25945d6de5e8/GlobalEVOutlook2025.pdf</w:t>
        </w:r>
      </w:hyperlink>
    </w:p>
    <w:p w14:paraId="5871E80A" w14:textId="77777777" w:rsidR="006D0435"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lastRenderedPageBreak/>
        <w:t>[163] ScienceDirect, “Electric vehicle study,” [Online]. Available:</w:t>
      </w:r>
      <w:hyperlink r:id="rId376">
        <w:r>
          <w:rPr>
            <w:rFonts w:ascii="Times New Roman" w:eastAsia="Times New Roman" w:hAnsi="Times New Roman" w:cs="Times New Roman"/>
            <w:sz w:val="24"/>
            <w:szCs w:val="24"/>
          </w:rPr>
          <w:t xml:space="preserve"> </w:t>
        </w:r>
      </w:hyperlink>
      <w:hyperlink r:id="rId377">
        <w:r>
          <w:rPr>
            <w:rFonts w:ascii="Times New Roman" w:eastAsia="Times New Roman" w:hAnsi="Times New Roman" w:cs="Times New Roman"/>
            <w:color w:val="1155CC"/>
            <w:sz w:val="24"/>
            <w:szCs w:val="24"/>
            <w:u w:val="single"/>
          </w:rPr>
          <w:t>https://www.sciencedirect.com/science/article/abs/pii/S136192092400381X</w:t>
        </w:r>
      </w:hyperlink>
    </w:p>
    <w:p w14:paraId="24DFBA33" w14:textId="77777777" w:rsidR="006D0435"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[164] European Commission, “Cars and vans – transport </w:t>
      </w:r>
      <w:proofErr w:type="spellStart"/>
      <w:r>
        <w:rPr>
          <w:rFonts w:ascii="Times New Roman" w:eastAsia="Times New Roman" w:hAnsi="Times New Roman" w:cs="Times New Roman"/>
          <w:sz w:val="24"/>
          <w:szCs w:val="24"/>
        </w:rPr>
        <w:t>decarbonisation</w:t>
      </w:r>
      <w:proofErr w:type="spellEnd"/>
      <w:r>
        <w:rPr>
          <w:rFonts w:ascii="Times New Roman" w:eastAsia="Times New Roman" w:hAnsi="Times New Roman" w:cs="Times New Roman"/>
          <w:sz w:val="24"/>
          <w:szCs w:val="24"/>
        </w:rPr>
        <w:t>,” [Online]. Available:</w:t>
      </w:r>
      <w:hyperlink r:id="rId378">
        <w:r>
          <w:rPr>
            <w:rFonts w:ascii="Times New Roman" w:eastAsia="Times New Roman" w:hAnsi="Times New Roman" w:cs="Times New Roman"/>
            <w:sz w:val="24"/>
            <w:szCs w:val="24"/>
          </w:rPr>
          <w:t xml:space="preserve"> </w:t>
        </w:r>
      </w:hyperlink>
      <w:hyperlink r:id="rId379">
        <w:r>
          <w:rPr>
            <w:rFonts w:ascii="Times New Roman" w:eastAsia="Times New Roman" w:hAnsi="Times New Roman" w:cs="Times New Roman"/>
            <w:color w:val="1155CC"/>
            <w:sz w:val="24"/>
            <w:szCs w:val="24"/>
            <w:u w:val="single"/>
          </w:rPr>
          <w:t>https://climate.ec.europa.eu/eu-action/transport-decarbonisation/road-transport/cars-and-vans_en</w:t>
        </w:r>
      </w:hyperlink>
    </w:p>
    <w:p w14:paraId="35F705F4" w14:textId="77777777" w:rsidR="006D0435"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[165] Internal Revenue Service (IRS), “Credits for new clean vehicles,” [Online]. Available:</w:t>
      </w:r>
      <w:hyperlink r:id="rId380">
        <w:r>
          <w:rPr>
            <w:rFonts w:ascii="Times New Roman" w:eastAsia="Times New Roman" w:hAnsi="Times New Roman" w:cs="Times New Roman"/>
            <w:sz w:val="24"/>
            <w:szCs w:val="24"/>
          </w:rPr>
          <w:t xml:space="preserve"> </w:t>
        </w:r>
      </w:hyperlink>
      <w:hyperlink r:id="rId381">
        <w:r>
          <w:rPr>
            <w:rFonts w:ascii="Times New Roman" w:eastAsia="Times New Roman" w:hAnsi="Times New Roman" w:cs="Times New Roman"/>
            <w:color w:val="1155CC"/>
            <w:sz w:val="24"/>
            <w:szCs w:val="24"/>
            <w:u w:val="single"/>
          </w:rPr>
          <w:t>https://www.irs.gov/credits-deductions/credits-for-new-clean-vehicles-purchased-in-2023-or-after</w:t>
        </w:r>
      </w:hyperlink>
    </w:p>
    <w:p w14:paraId="60AC29CB"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[166] OECD, “Norway’s evolving incentives for zero-emission vehicles,” [Online]. Available: </w:t>
      </w:r>
      <w:hyperlink r:id="rId382">
        <w:r>
          <w:rPr>
            <w:rFonts w:ascii="Times New Roman" w:eastAsia="Times New Roman" w:hAnsi="Times New Roman" w:cs="Times New Roman"/>
            <w:color w:val="1155CC"/>
            <w:sz w:val="24"/>
            <w:szCs w:val="24"/>
            <w:u w:val="single"/>
          </w:rPr>
          <w:t>https://www.oecd.org/en/publications/2021/09/ipac-policies-in-practice_1a65968e/norways-evolving-incentives-for-zero-emission-vehicles_c74c1e9d.html</w:t>
        </w:r>
      </w:hyperlink>
    </w:p>
    <w:p w14:paraId="47CC4DE0" w14:textId="77777777" w:rsidR="006D0435"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[167] European Commission, “Alternative fuels infrastructure,” [Online]. Available:</w:t>
      </w:r>
      <w:hyperlink r:id="rId383">
        <w:r>
          <w:rPr>
            <w:rFonts w:ascii="Times New Roman" w:eastAsia="Times New Roman" w:hAnsi="Times New Roman" w:cs="Times New Roman"/>
            <w:sz w:val="24"/>
            <w:szCs w:val="24"/>
          </w:rPr>
          <w:t xml:space="preserve"> </w:t>
        </w:r>
      </w:hyperlink>
      <w:hyperlink r:id="rId384">
        <w:r>
          <w:rPr>
            <w:rFonts w:ascii="Times New Roman" w:eastAsia="Times New Roman" w:hAnsi="Times New Roman" w:cs="Times New Roman"/>
            <w:color w:val="1155CC"/>
            <w:sz w:val="24"/>
            <w:szCs w:val="24"/>
            <w:u w:val="single"/>
          </w:rPr>
          <w:t>https://transport.ec.europa.eu/transport-themes/clean-transport/alternative-fuels-sustainable-mobility-europe/alternative-fuels-infrastructure_en</w:t>
        </w:r>
      </w:hyperlink>
    </w:p>
    <w:p w14:paraId="03D47141" w14:textId="77777777" w:rsidR="006D0435"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[168] International Energy Agency, </w:t>
      </w:r>
      <w:r>
        <w:rPr>
          <w:rFonts w:ascii="Times New Roman" w:eastAsia="Times New Roman" w:hAnsi="Times New Roman" w:cs="Times New Roman"/>
          <w:i/>
          <w:iCs/>
          <w:sz w:val="24"/>
          <w:szCs w:val="24"/>
        </w:rPr>
        <w:t>Global EV Outlook 2024</w:t>
      </w:r>
      <w:r>
        <w:rPr>
          <w:rFonts w:ascii="Times New Roman" w:eastAsia="Times New Roman" w:hAnsi="Times New Roman" w:cs="Times New Roman"/>
          <w:sz w:val="24"/>
          <w:szCs w:val="24"/>
        </w:rPr>
        <w:t>. [Online]. Available:</w:t>
      </w:r>
      <w:hyperlink r:id="rId385">
        <w:r>
          <w:rPr>
            <w:rFonts w:ascii="Times New Roman" w:eastAsia="Times New Roman" w:hAnsi="Times New Roman" w:cs="Times New Roman"/>
            <w:sz w:val="24"/>
            <w:szCs w:val="24"/>
          </w:rPr>
          <w:t xml:space="preserve"> </w:t>
        </w:r>
      </w:hyperlink>
      <w:hyperlink r:id="rId386">
        <w:r>
          <w:rPr>
            <w:rFonts w:ascii="Times New Roman" w:eastAsia="Times New Roman" w:hAnsi="Times New Roman" w:cs="Times New Roman"/>
            <w:color w:val="1155CC"/>
            <w:sz w:val="24"/>
            <w:szCs w:val="24"/>
            <w:u w:val="single"/>
          </w:rPr>
          <w:t>https://iea.blob.core.windows.net/assets/a9e3544b-0b12-4e15-b407-65f5c8ce1b5f/GlobalEVOutlook2024.pdf</w:t>
        </w:r>
      </w:hyperlink>
    </w:p>
    <w:p w14:paraId="08098D27" w14:textId="77777777" w:rsidR="006D0435"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[169] ScienceDirect, “Transport research article,” [Online]. Available:</w:t>
      </w:r>
      <w:hyperlink r:id="rId387">
        <w:r>
          <w:rPr>
            <w:rFonts w:ascii="Times New Roman" w:eastAsia="Times New Roman" w:hAnsi="Times New Roman" w:cs="Times New Roman"/>
            <w:sz w:val="24"/>
            <w:szCs w:val="24"/>
          </w:rPr>
          <w:t xml:space="preserve"> </w:t>
        </w:r>
      </w:hyperlink>
      <w:hyperlink r:id="rId388">
        <w:r>
          <w:rPr>
            <w:rFonts w:ascii="Times New Roman" w:eastAsia="Times New Roman" w:hAnsi="Times New Roman" w:cs="Times New Roman"/>
            <w:color w:val="1155CC"/>
            <w:sz w:val="24"/>
            <w:szCs w:val="24"/>
            <w:u w:val="single"/>
          </w:rPr>
          <w:t>https://www.sciencedirect.com/science/article/pii/S0965856424002659</w:t>
        </w:r>
      </w:hyperlink>
    </w:p>
    <w:p w14:paraId="7178D008" w14:textId="77777777" w:rsidR="006D0435"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[170] International Energy Agency, “Global EV Outlook 2025,” [Online]. Available:</w:t>
      </w:r>
      <w:hyperlink r:id="rId389">
        <w:r>
          <w:rPr>
            <w:rFonts w:ascii="Times New Roman" w:eastAsia="Times New Roman" w:hAnsi="Times New Roman" w:cs="Times New Roman"/>
            <w:sz w:val="24"/>
            <w:szCs w:val="24"/>
          </w:rPr>
          <w:t xml:space="preserve"> </w:t>
        </w:r>
      </w:hyperlink>
      <w:hyperlink r:id="rId390">
        <w:r>
          <w:rPr>
            <w:rFonts w:ascii="Times New Roman" w:eastAsia="Times New Roman" w:hAnsi="Times New Roman" w:cs="Times New Roman"/>
            <w:color w:val="1155CC"/>
            <w:sz w:val="24"/>
            <w:szCs w:val="24"/>
            <w:u w:val="single"/>
          </w:rPr>
          <w:t>https://www.iea.org/reports/global-ev-outlook-2025</w:t>
        </w:r>
      </w:hyperlink>
    </w:p>
    <w:p w14:paraId="42D1ABF5" w14:textId="77777777" w:rsidR="006D0435"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[171] International Energy Agency, “Global EV policy explorer,” [Online]. Available:</w:t>
      </w:r>
      <w:hyperlink r:id="rId391">
        <w:r>
          <w:rPr>
            <w:rFonts w:ascii="Times New Roman" w:eastAsia="Times New Roman" w:hAnsi="Times New Roman" w:cs="Times New Roman"/>
            <w:sz w:val="24"/>
            <w:szCs w:val="24"/>
          </w:rPr>
          <w:t xml:space="preserve"> </w:t>
        </w:r>
      </w:hyperlink>
      <w:hyperlink r:id="rId392">
        <w:r>
          <w:rPr>
            <w:rFonts w:ascii="Times New Roman" w:eastAsia="Times New Roman" w:hAnsi="Times New Roman" w:cs="Times New Roman"/>
            <w:color w:val="1155CC"/>
            <w:sz w:val="24"/>
            <w:szCs w:val="24"/>
            <w:u w:val="single"/>
          </w:rPr>
          <w:t>https://www.iea.org/data-and-statistics/data-tools/global-ev-policy-explorer</w:t>
        </w:r>
      </w:hyperlink>
    </w:p>
    <w:p w14:paraId="00BEA2F6" w14:textId="77777777" w:rsidR="006D0435"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[172] ACEA, “New car registrations 2025,” [Online]. Available:</w:t>
      </w:r>
      <w:hyperlink r:id="rId393">
        <w:r>
          <w:rPr>
            <w:rFonts w:ascii="Times New Roman" w:eastAsia="Times New Roman" w:hAnsi="Times New Roman" w:cs="Times New Roman"/>
            <w:sz w:val="24"/>
            <w:szCs w:val="24"/>
          </w:rPr>
          <w:t xml:space="preserve"> </w:t>
        </w:r>
      </w:hyperlink>
      <w:hyperlink r:id="rId394">
        <w:r>
          <w:rPr>
            <w:rFonts w:ascii="Times New Roman" w:eastAsia="Times New Roman" w:hAnsi="Times New Roman" w:cs="Times New Roman"/>
            <w:color w:val="1155CC"/>
            <w:sz w:val="24"/>
            <w:szCs w:val="24"/>
            <w:u w:val="single"/>
          </w:rPr>
          <w:t>https://www.acea.auto/pc-registrations/new-car-registrations-1-8-in-2025-battery-electric-17-4-market-share/</w:t>
        </w:r>
      </w:hyperlink>
    </w:p>
    <w:p w14:paraId="2C7E5963" w14:textId="77777777" w:rsidR="006D0435"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[173] Federal Register, “National EV infrastructure standards,” [Online]. Available:</w:t>
      </w:r>
      <w:hyperlink r:id="rId395">
        <w:r>
          <w:rPr>
            <w:rFonts w:ascii="Times New Roman" w:eastAsia="Times New Roman" w:hAnsi="Times New Roman" w:cs="Times New Roman"/>
            <w:sz w:val="24"/>
            <w:szCs w:val="24"/>
          </w:rPr>
          <w:t xml:space="preserve"> </w:t>
        </w:r>
      </w:hyperlink>
      <w:hyperlink r:id="rId396">
        <w:r>
          <w:rPr>
            <w:rFonts w:ascii="Times New Roman" w:eastAsia="Times New Roman" w:hAnsi="Times New Roman" w:cs="Times New Roman"/>
            <w:color w:val="1155CC"/>
            <w:sz w:val="24"/>
            <w:szCs w:val="24"/>
            <w:u w:val="single"/>
          </w:rPr>
          <w:t>https://www.federalregister.gov/documents/2023/02/28/2023-03500/national-electric-vehicle-infrastructure-standards-and-requirements</w:t>
        </w:r>
      </w:hyperlink>
    </w:p>
    <w:p w14:paraId="0637F047" w14:textId="77777777" w:rsidR="006D0435"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[174] International Energy Agency, “Global EV Outlook 2025 – Executive Summary,” [Online]. Available:</w:t>
      </w:r>
      <w:hyperlink r:id="rId397">
        <w:r>
          <w:rPr>
            <w:rFonts w:ascii="Times New Roman" w:eastAsia="Times New Roman" w:hAnsi="Times New Roman" w:cs="Times New Roman"/>
            <w:sz w:val="24"/>
            <w:szCs w:val="24"/>
          </w:rPr>
          <w:t xml:space="preserve"> </w:t>
        </w:r>
      </w:hyperlink>
      <w:hyperlink r:id="rId398">
        <w:r>
          <w:rPr>
            <w:rFonts w:ascii="Times New Roman" w:eastAsia="Times New Roman" w:hAnsi="Times New Roman" w:cs="Times New Roman"/>
            <w:color w:val="1155CC"/>
            <w:sz w:val="24"/>
            <w:szCs w:val="24"/>
            <w:u w:val="single"/>
          </w:rPr>
          <w:t>https://www.iea.org/reports/global-ev-outlook-2025/executive-summary</w:t>
        </w:r>
      </w:hyperlink>
    </w:p>
    <w:p w14:paraId="2B099372" w14:textId="77777777" w:rsidR="006D0435"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lastRenderedPageBreak/>
        <w:t>[175] ScienceDirect, “Energy study article,” [Online]. Available:</w:t>
      </w:r>
      <w:hyperlink r:id="rId399">
        <w:r>
          <w:rPr>
            <w:rFonts w:ascii="Times New Roman" w:eastAsia="Times New Roman" w:hAnsi="Times New Roman" w:cs="Times New Roman"/>
            <w:sz w:val="24"/>
            <w:szCs w:val="24"/>
          </w:rPr>
          <w:t xml:space="preserve"> </w:t>
        </w:r>
      </w:hyperlink>
      <w:hyperlink r:id="rId400">
        <w:r>
          <w:rPr>
            <w:rFonts w:ascii="Times New Roman" w:eastAsia="Times New Roman" w:hAnsi="Times New Roman" w:cs="Times New Roman"/>
            <w:color w:val="1155CC"/>
            <w:sz w:val="24"/>
            <w:szCs w:val="24"/>
            <w:u w:val="single"/>
          </w:rPr>
          <w:t>https://www.sciencedirect.com/science/article/abs/pii/S1364032123008729</w:t>
        </w:r>
      </w:hyperlink>
    </w:p>
    <w:p w14:paraId="296A4EB9" w14:textId="77777777" w:rsidR="006D0435"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[176] MDPI, “Sustainability journal article,” [Online]. Available:</w:t>
      </w:r>
      <w:hyperlink r:id="rId401">
        <w:r>
          <w:rPr>
            <w:rFonts w:ascii="Times New Roman" w:eastAsia="Times New Roman" w:hAnsi="Times New Roman" w:cs="Times New Roman"/>
            <w:sz w:val="24"/>
            <w:szCs w:val="24"/>
          </w:rPr>
          <w:t xml:space="preserve"> </w:t>
        </w:r>
      </w:hyperlink>
      <w:hyperlink r:id="rId402">
        <w:r>
          <w:rPr>
            <w:rFonts w:ascii="Times New Roman" w:eastAsia="Times New Roman" w:hAnsi="Times New Roman" w:cs="Times New Roman"/>
            <w:color w:val="1155CC"/>
            <w:sz w:val="24"/>
            <w:szCs w:val="24"/>
            <w:u w:val="single"/>
          </w:rPr>
          <w:t>https://www.mdpi.com/2071-1050/13/5/2928</w:t>
        </w:r>
      </w:hyperlink>
    </w:p>
    <w:p w14:paraId="6E5AEA48" w14:textId="77777777" w:rsidR="006D0435"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[177] ScienceDirect, “Transport policy article,” [Online]. Available:</w:t>
      </w:r>
      <w:hyperlink r:id="rId403">
        <w:r>
          <w:rPr>
            <w:rFonts w:ascii="Times New Roman" w:eastAsia="Times New Roman" w:hAnsi="Times New Roman" w:cs="Times New Roman"/>
            <w:sz w:val="24"/>
            <w:szCs w:val="24"/>
          </w:rPr>
          <w:t xml:space="preserve"> </w:t>
        </w:r>
      </w:hyperlink>
      <w:hyperlink r:id="rId404">
        <w:r>
          <w:rPr>
            <w:rFonts w:ascii="Times New Roman" w:eastAsia="Times New Roman" w:hAnsi="Times New Roman" w:cs="Times New Roman"/>
            <w:color w:val="1155CC"/>
            <w:sz w:val="24"/>
            <w:szCs w:val="24"/>
            <w:u w:val="single"/>
          </w:rPr>
          <w:t>https://www.sciencedirect.com/science/article/abs/pii/S0965856421001415</w:t>
        </w:r>
      </w:hyperlink>
    </w:p>
    <w:p w14:paraId="30DAB0E6" w14:textId="77777777" w:rsidR="006D0435"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[178] ScienceDirect, “Recent transport research,” [Online]. Available:</w:t>
      </w:r>
      <w:hyperlink r:id="rId405">
        <w:r>
          <w:rPr>
            <w:rFonts w:ascii="Times New Roman" w:eastAsia="Times New Roman" w:hAnsi="Times New Roman" w:cs="Times New Roman"/>
            <w:sz w:val="24"/>
            <w:szCs w:val="24"/>
          </w:rPr>
          <w:t xml:space="preserve"> </w:t>
        </w:r>
      </w:hyperlink>
      <w:hyperlink r:id="rId406">
        <w:r>
          <w:rPr>
            <w:rFonts w:ascii="Times New Roman" w:eastAsia="Times New Roman" w:hAnsi="Times New Roman" w:cs="Times New Roman"/>
            <w:color w:val="1155CC"/>
            <w:sz w:val="24"/>
            <w:szCs w:val="24"/>
            <w:u w:val="single"/>
          </w:rPr>
          <w:t>https://www.sciencedirect.com/science/article/pii/S0965856424002830</w:t>
        </w:r>
      </w:hyperlink>
    </w:p>
    <w:p w14:paraId="50C1369A" w14:textId="77777777" w:rsidR="006D0435"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[179] ScienceDirect, “Transport study,” [Online]. Available:</w:t>
      </w:r>
      <w:hyperlink r:id="rId407">
        <w:r>
          <w:rPr>
            <w:rFonts w:ascii="Times New Roman" w:eastAsia="Times New Roman" w:hAnsi="Times New Roman" w:cs="Times New Roman"/>
            <w:sz w:val="24"/>
            <w:szCs w:val="24"/>
          </w:rPr>
          <w:t xml:space="preserve"> </w:t>
        </w:r>
      </w:hyperlink>
      <w:hyperlink r:id="rId408">
        <w:r>
          <w:rPr>
            <w:rFonts w:ascii="Times New Roman" w:eastAsia="Times New Roman" w:hAnsi="Times New Roman" w:cs="Times New Roman"/>
            <w:color w:val="1155CC"/>
            <w:sz w:val="24"/>
            <w:szCs w:val="24"/>
            <w:u w:val="single"/>
          </w:rPr>
          <w:t>https://www.sciencedirect.com/science/article/pii/S1361920920306234</w:t>
        </w:r>
      </w:hyperlink>
    </w:p>
    <w:p w14:paraId="1F58A3FD" w14:textId="77777777" w:rsidR="006D0435"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[180] International Energy Agency, “EV charging,” [Online]. Available:</w:t>
      </w:r>
      <w:hyperlink r:id="rId409">
        <w:r>
          <w:rPr>
            <w:rFonts w:ascii="Times New Roman" w:eastAsia="Times New Roman" w:hAnsi="Times New Roman" w:cs="Times New Roman"/>
            <w:sz w:val="24"/>
            <w:szCs w:val="24"/>
          </w:rPr>
          <w:t xml:space="preserve"> </w:t>
        </w:r>
      </w:hyperlink>
      <w:hyperlink r:id="rId410">
        <w:r>
          <w:rPr>
            <w:rFonts w:ascii="Times New Roman" w:eastAsia="Times New Roman" w:hAnsi="Times New Roman" w:cs="Times New Roman"/>
            <w:color w:val="1155CC"/>
            <w:sz w:val="24"/>
            <w:szCs w:val="24"/>
            <w:u w:val="single"/>
          </w:rPr>
          <w:t>https://www.iea.org/reports/global-ev-outlook-2025/electric-vehicle-charging</w:t>
        </w:r>
      </w:hyperlink>
    </w:p>
    <w:p w14:paraId="2697E5EC" w14:textId="77777777" w:rsidR="006D0435"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[181] European Union, “Regulation (EU) 2021/2190,” [Online]. Available:</w:t>
      </w:r>
      <w:hyperlink r:id="rId411">
        <w:r>
          <w:rPr>
            <w:rFonts w:ascii="Times New Roman" w:eastAsia="Times New Roman" w:hAnsi="Times New Roman" w:cs="Times New Roman"/>
            <w:sz w:val="24"/>
            <w:szCs w:val="24"/>
          </w:rPr>
          <w:t xml:space="preserve"> </w:t>
        </w:r>
      </w:hyperlink>
      <w:hyperlink r:id="rId412">
        <w:r>
          <w:rPr>
            <w:rFonts w:ascii="Times New Roman" w:eastAsia="Times New Roman" w:hAnsi="Times New Roman" w:cs="Times New Roman"/>
            <w:color w:val="1155CC"/>
            <w:sz w:val="24"/>
            <w:szCs w:val="24"/>
            <w:u w:val="single"/>
          </w:rPr>
          <w:t>https://eur-lex.europa.eu/eli/reg/2021/2190/oj/eng</w:t>
        </w:r>
      </w:hyperlink>
    </w:p>
    <w:p w14:paraId="2C5C4D60" w14:textId="77777777" w:rsidR="006D0435"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[182] International Energy Agency, “Alternative fuels infrastructure regulation,” [Online]. Available:</w:t>
      </w:r>
      <w:hyperlink r:id="rId413">
        <w:r>
          <w:rPr>
            <w:rFonts w:ascii="Times New Roman" w:eastAsia="Times New Roman" w:hAnsi="Times New Roman" w:cs="Times New Roman"/>
            <w:sz w:val="24"/>
            <w:szCs w:val="24"/>
          </w:rPr>
          <w:t xml:space="preserve"> </w:t>
        </w:r>
      </w:hyperlink>
      <w:hyperlink r:id="rId414">
        <w:r>
          <w:rPr>
            <w:rFonts w:ascii="Times New Roman" w:eastAsia="Times New Roman" w:hAnsi="Times New Roman" w:cs="Times New Roman"/>
            <w:color w:val="1155CC"/>
            <w:sz w:val="24"/>
            <w:szCs w:val="24"/>
            <w:u w:val="single"/>
          </w:rPr>
          <w:t>https://www.iea.org/policies/27375-regulation-eu-20231804-alternative-fuels-infrastructure-regulation</w:t>
        </w:r>
      </w:hyperlink>
    </w:p>
    <w:p w14:paraId="6C113004" w14:textId="77777777" w:rsidR="006D0435"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[183] U.S. Department of the Treasury, “Press release,” [Online]. Available:</w:t>
      </w:r>
      <w:hyperlink r:id="rId415">
        <w:r>
          <w:rPr>
            <w:rFonts w:ascii="Times New Roman" w:eastAsia="Times New Roman" w:hAnsi="Times New Roman" w:cs="Times New Roman"/>
            <w:sz w:val="24"/>
            <w:szCs w:val="24"/>
          </w:rPr>
          <w:t xml:space="preserve"> </w:t>
        </w:r>
      </w:hyperlink>
      <w:hyperlink r:id="rId416">
        <w:r>
          <w:rPr>
            <w:rFonts w:ascii="Times New Roman" w:eastAsia="Times New Roman" w:hAnsi="Times New Roman" w:cs="Times New Roman"/>
            <w:color w:val="1155CC"/>
            <w:sz w:val="24"/>
            <w:szCs w:val="24"/>
            <w:u w:val="single"/>
          </w:rPr>
          <w:t>https://home.treasury.gov/news/press-releases/jy1379</w:t>
        </w:r>
      </w:hyperlink>
    </w:p>
    <w:p w14:paraId="6A6C08FB" w14:textId="77777777" w:rsidR="006D0435"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[184] U.S. Congress, “CRS report IF12600,” [Online]. Available:</w:t>
      </w:r>
      <w:hyperlink r:id="rId417">
        <w:r>
          <w:rPr>
            <w:rFonts w:ascii="Times New Roman" w:eastAsia="Times New Roman" w:hAnsi="Times New Roman" w:cs="Times New Roman"/>
            <w:sz w:val="24"/>
            <w:szCs w:val="24"/>
          </w:rPr>
          <w:t xml:space="preserve"> </w:t>
        </w:r>
      </w:hyperlink>
      <w:hyperlink r:id="rId418">
        <w:r>
          <w:rPr>
            <w:rFonts w:ascii="Times New Roman" w:eastAsia="Times New Roman" w:hAnsi="Times New Roman" w:cs="Times New Roman"/>
            <w:color w:val="1155CC"/>
            <w:sz w:val="24"/>
            <w:szCs w:val="24"/>
            <w:u w:val="single"/>
          </w:rPr>
          <w:t>https://www.congress.gov/crs-product/IF12600</w:t>
        </w:r>
      </w:hyperlink>
    </w:p>
    <w:p w14:paraId="4DA16504" w14:textId="77777777" w:rsidR="006D0435"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[185] European Union, “Regulation (EU) 2023/1542,” [Online]. Available:</w:t>
      </w:r>
      <w:hyperlink r:id="rId419">
        <w:r>
          <w:rPr>
            <w:rFonts w:ascii="Times New Roman" w:eastAsia="Times New Roman" w:hAnsi="Times New Roman" w:cs="Times New Roman"/>
            <w:sz w:val="24"/>
            <w:szCs w:val="24"/>
          </w:rPr>
          <w:t xml:space="preserve"> </w:t>
        </w:r>
      </w:hyperlink>
      <w:hyperlink r:id="rId420">
        <w:r>
          <w:rPr>
            <w:rFonts w:ascii="Times New Roman" w:eastAsia="Times New Roman" w:hAnsi="Times New Roman" w:cs="Times New Roman"/>
            <w:color w:val="1155CC"/>
            <w:sz w:val="24"/>
            <w:szCs w:val="24"/>
            <w:u w:val="single"/>
          </w:rPr>
          <w:t>https://eur-lex.europa.eu/legal-content/EN/TXT/PDF/?uri=CELEX%3A32023R1542</w:t>
        </w:r>
      </w:hyperlink>
    </w:p>
    <w:p w14:paraId="43AD3081" w14:textId="77777777" w:rsidR="006D0435"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[186] ICCT, “China NEV mandate policy update,” [Online]. Available:</w:t>
      </w:r>
      <w:hyperlink r:id="rId421">
        <w:r>
          <w:rPr>
            <w:rFonts w:ascii="Times New Roman" w:eastAsia="Times New Roman" w:hAnsi="Times New Roman" w:cs="Times New Roman"/>
            <w:sz w:val="24"/>
            <w:szCs w:val="24"/>
          </w:rPr>
          <w:t xml:space="preserve"> </w:t>
        </w:r>
      </w:hyperlink>
      <w:hyperlink r:id="rId422">
        <w:r>
          <w:rPr>
            <w:rFonts w:ascii="Times New Roman" w:eastAsia="Times New Roman" w:hAnsi="Times New Roman" w:cs="Times New Roman"/>
            <w:color w:val="1155CC"/>
            <w:sz w:val="24"/>
            <w:szCs w:val="24"/>
            <w:u w:val="single"/>
          </w:rPr>
          <w:t>https://theicct.org/sites/default/files/publications/ICCT_China-NEV-mandate_policy-update_20180111.pdf</w:t>
        </w:r>
      </w:hyperlink>
    </w:p>
    <w:p w14:paraId="662AADD6" w14:textId="77777777" w:rsidR="006D0435"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[187] Government of China, “EV policy news,” [Online]. Available:</w:t>
      </w:r>
      <w:hyperlink r:id="rId423">
        <w:r>
          <w:rPr>
            <w:rFonts w:ascii="Times New Roman" w:eastAsia="Times New Roman" w:hAnsi="Times New Roman" w:cs="Times New Roman"/>
            <w:sz w:val="24"/>
            <w:szCs w:val="24"/>
          </w:rPr>
          <w:t xml:space="preserve"> </w:t>
        </w:r>
      </w:hyperlink>
      <w:hyperlink r:id="rId424">
        <w:r>
          <w:rPr>
            <w:rFonts w:ascii="Times New Roman" w:eastAsia="Times New Roman" w:hAnsi="Times New Roman" w:cs="Times New Roman"/>
            <w:color w:val="1155CC"/>
            <w:sz w:val="24"/>
            <w:szCs w:val="24"/>
            <w:u w:val="single"/>
          </w:rPr>
          <w:t>https://english.www.gov.cn/news/202306/21/content_WS64929394c6d0868f4e8dd11c.html</w:t>
        </w:r>
      </w:hyperlink>
    </w:p>
    <w:p w14:paraId="0E5BD6F1" w14:textId="77777777" w:rsidR="006D0435"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[188] UK Government, “Zero-emission vehicle transition law,” [Online]. Available:</w:t>
      </w:r>
      <w:hyperlink r:id="rId425">
        <w:r>
          <w:rPr>
            <w:rFonts w:ascii="Times New Roman" w:eastAsia="Times New Roman" w:hAnsi="Times New Roman" w:cs="Times New Roman"/>
            <w:sz w:val="24"/>
            <w:szCs w:val="24"/>
          </w:rPr>
          <w:t xml:space="preserve"> </w:t>
        </w:r>
      </w:hyperlink>
      <w:hyperlink r:id="rId426">
        <w:r>
          <w:rPr>
            <w:rFonts w:ascii="Times New Roman" w:eastAsia="Times New Roman" w:hAnsi="Times New Roman" w:cs="Times New Roman"/>
            <w:color w:val="1155CC"/>
            <w:sz w:val="24"/>
            <w:szCs w:val="24"/>
            <w:u w:val="single"/>
          </w:rPr>
          <w:t>https://www.gov.uk/government/news/pathway-for-zero-emission-vehicle-transition-by-2035-becomes-law</w:t>
        </w:r>
      </w:hyperlink>
    </w:p>
    <w:p w14:paraId="74519A1D" w14:textId="77777777" w:rsidR="006D0435"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lastRenderedPageBreak/>
        <w:t>[189] Government of India, “FAME II scheme,” [Online]. Available:</w:t>
      </w:r>
      <w:hyperlink r:id="rId427">
        <w:r>
          <w:rPr>
            <w:rFonts w:ascii="Times New Roman" w:eastAsia="Times New Roman" w:hAnsi="Times New Roman" w:cs="Times New Roman"/>
            <w:sz w:val="24"/>
            <w:szCs w:val="24"/>
          </w:rPr>
          <w:t xml:space="preserve"> </w:t>
        </w:r>
      </w:hyperlink>
      <w:hyperlink r:id="rId428">
        <w:r>
          <w:rPr>
            <w:rFonts w:ascii="Times New Roman" w:eastAsia="Times New Roman" w:hAnsi="Times New Roman" w:cs="Times New Roman"/>
            <w:color w:val="1155CC"/>
            <w:sz w:val="24"/>
            <w:szCs w:val="24"/>
            <w:u w:val="single"/>
          </w:rPr>
          <w:t>https://heavyindustries.gov.in/en/fame-ii</w:t>
        </w:r>
      </w:hyperlink>
    </w:p>
    <w:p w14:paraId="79923E12" w14:textId="77777777" w:rsidR="006D0435"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[190] Reuters, “Norway EV sales 2025,” [Online]. Available:</w:t>
      </w:r>
      <w:hyperlink r:id="rId429">
        <w:r>
          <w:rPr>
            <w:rFonts w:ascii="Times New Roman" w:eastAsia="Times New Roman" w:hAnsi="Times New Roman" w:cs="Times New Roman"/>
            <w:sz w:val="24"/>
            <w:szCs w:val="24"/>
          </w:rPr>
          <w:t xml:space="preserve"> </w:t>
        </w:r>
      </w:hyperlink>
      <w:hyperlink r:id="rId430">
        <w:r>
          <w:rPr>
            <w:rFonts w:ascii="Times New Roman" w:eastAsia="Times New Roman" w:hAnsi="Times New Roman" w:cs="Times New Roman"/>
            <w:color w:val="1155CC"/>
            <w:sz w:val="24"/>
            <w:szCs w:val="24"/>
            <w:u w:val="single"/>
          </w:rPr>
          <w:t>https://www.reuters.com/sustainability/climate-energy/norways-new-car-sales-were-96-electric-2025-2026-01-02/</w:t>
        </w:r>
      </w:hyperlink>
    </w:p>
    <w:p w14:paraId="7A643C56" w14:textId="77777777" w:rsidR="006D0435"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[191] U.S. EPA, “</w:t>
      </w:r>
      <w:proofErr w:type="gramStart"/>
      <w:r>
        <w:rPr>
          <w:rFonts w:ascii="Times New Roman" w:eastAsia="Times New Roman" w:hAnsi="Times New Roman" w:cs="Times New Roman"/>
          <w:sz w:val="24"/>
          <w:szCs w:val="24"/>
        </w:rPr>
        <w:t>Multi-pollutant</w:t>
      </w:r>
      <w:proofErr w:type="gramEnd"/>
      <w:r>
        <w:rPr>
          <w:rFonts w:ascii="Times New Roman" w:eastAsia="Times New Roman" w:hAnsi="Times New Roman" w:cs="Times New Roman"/>
          <w:sz w:val="24"/>
          <w:szCs w:val="24"/>
        </w:rPr>
        <w:t xml:space="preserve"> emissions standards,” [Online]. Available:</w:t>
      </w:r>
      <w:hyperlink r:id="rId431">
        <w:r>
          <w:rPr>
            <w:rFonts w:ascii="Times New Roman" w:eastAsia="Times New Roman" w:hAnsi="Times New Roman" w:cs="Times New Roman"/>
            <w:sz w:val="24"/>
            <w:szCs w:val="24"/>
          </w:rPr>
          <w:t xml:space="preserve"> </w:t>
        </w:r>
      </w:hyperlink>
      <w:hyperlink r:id="rId432">
        <w:r>
          <w:rPr>
            <w:rFonts w:ascii="Times New Roman" w:eastAsia="Times New Roman" w:hAnsi="Times New Roman" w:cs="Times New Roman"/>
            <w:color w:val="1155CC"/>
            <w:sz w:val="24"/>
            <w:szCs w:val="24"/>
            <w:u w:val="single"/>
          </w:rPr>
          <w:t>https://www.epa.gov/regulations-emissions-vehicles-and-engines/final-rule-multi-pollutant-emissions-standards-model</w:t>
        </w:r>
      </w:hyperlink>
    </w:p>
    <w:p w14:paraId="726B9C8F" w14:textId="77777777" w:rsidR="006D0435"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[192] California Air Resources Board, “Advanced clean cars program,” [Online]. Available:</w:t>
      </w:r>
      <w:hyperlink r:id="rId433">
        <w:r>
          <w:rPr>
            <w:rFonts w:ascii="Times New Roman" w:eastAsia="Times New Roman" w:hAnsi="Times New Roman" w:cs="Times New Roman"/>
            <w:sz w:val="24"/>
            <w:szCs w:val="24"/>
          </w:rPr>
          <w:t xml:space="preserve"> </w:t>
        </w:r>
      </w:hyperlink>
      <w:hyperlink r:id="rId434">
        <w:r>
          <w:rPr>
            <w:rFonts w:ascii="Times New Roman" w:eastAsia="Times New Roman" w:hAnsi="Times New Roman" w:cs="Times New Roman"/>
            <w:color w:val="1155CC"/>
            <w:sz w:val="24"/>
            <w:szCs w:val="24"/>
            <w:u w:val="single"/>
          </w:rPr>
          <w:t>https://ww2.arb.ca.gov/our-work/programs/drive-forward-light-duty-vehicle-program/advanced-clean-cars</w:t>
        </w:r>
      </w:hyperlink>
    </w:p>
    <w:p w14:paraId="25621AC1" w14:textId="77777777" w:rsidR="006D0435"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[193] European Union, “Regulation (EU) 2021/388,” [Online]. Available:</w:t>
      </w:r>
      <w:hyperlink r:id="rId435">
        <w:r>
          <w:rPr>
            <w:rFonts w:ascii="Times New Roman" w:eastAsia="Times New Roman" w:hAnsi="Times New Roman" w:cs="Times New Roman"/>
            <w:sz w:val="24"/>
            <w:szCs w:val="24"/>
          </w:rPr>
          <w:t xml:space="preserve"> </w:t>
        </w:r>
      </w:hyperlink>
      <w:hyperlink r:id="rId436">
        <w:r>
          <w:rPr>
            <w:rFonts w:ascii="Times New Roman" w:eastAsia="Times New Roman" w:hAnsi="Times New Roman" w:cs="Times New Roman"/>
            <w:color w:val="1155CC"/>
            <w:sz w:val="24"/>
            <w:szCs w:val="24"/>
            <w:u w:val="single"/>
          </w:rPr>
          <w:t>https://eur-lex.europa.eu/eli/reg/2021/388/oj/eng</w:t>
        </w:r>
      </w:hyperlink>
    </w:p>
    <w:p w14:paraId="3FA91AE1" w14:textId="77777777" w:rsidR="006D0435" w:rsidRDefault="00000000">
      <w:pPr>
        <w:spacing w:after="240" w:line="360" w:lineRule="auto"/>
        <w:ind w:left="128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[194] J. Porzio and C. D. Scown, “Life-Cycle Assessment Considerations for Batteries and Battery Materials,” Sep. 01, 2021, </w:t>
      </w:r>
      <w:r>
        <w:rPr>
          <w:rFonts w:ascii="Times New Roman" w:eastAsia="Times New Roman" w:hAnsi="Times New Roman" w:cs="Times New Roman"/>
          <w:i/>
          <w:iCs/>
          <w:sz w:val="24"/>
          <w:szCs w:val="24"/>
        </w:rPr>
        <w:t>John Wiley and Sons Inc</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10.1002/aenm.202100771.</w:t>
      </w:r>
    </w:p>
    <w:p w14:paraId="55790F7D" w14:textId="77777777" w:rsidR="006D0435" w:rsidRDefault="00000000">
      <w:pPr>
        <w:spacing w:before="240" w:after="240" w:line="360" w:lineRule="auto"/>
        <w:ind w:left="128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[195] Y. K. Sun, “Promising All-Solid-State Batteries for Future Electric Vehicles,” Oct. 09, 2020, </w:t>
      </w:r>
      <w:r>
        <w:rPr>
          <w:rFonts w:ascii="Times New Roman" w:eastAsia="Times New Roman" w:hAnsi="Times New Roman" w:cs="Times New Roman"/>
          <w:i/>
          <w:iCs/>
          <w:sz w:val="24"/>
          <w:szCs w:val="24"/>
        </w:rPr>
        <w:t>American Chemical Society</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10.1021/acsenergylett.0c01977.</w:t>
      </w:r>
    </w:p>
    <w:p w14:paraId="205421E0" w14:textId="77777777" w:rsidR="006D0435" w:rsidRDefault="00000000">
      <w:pPr>
        <w:spacing w:before="240" w:after="240" w:line="360" w:lineRule="auto"/>
        <w:ind w:left="128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[196] I. Husain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“Electric Drive Technology Trends, Challenges, and Opportunities for Future Electric Vehicles,” </w:t>
      </w:r>
      <w:r>
        <w:rPr>
          <w:rFonts w:ascii="Times New Roman" w:eastAsia="Times New Roman" w:hAnsi="Times New Roman" w:cs="Times New Roman"/>
          <w:i/>
          <w:iCs/>
          <w:sz w:val="24"/>
          <w:szCs w:val="24"/>
        </w:rPr>
        <w:t>Proceedings of the IEEE</w:t>
      </w:r>
      <w:r>
        <w:rPr>
          <w:rFonts w:ascii="Times New Roman" w:eastAsia="Times New Roman" w:hAnsi="Times New Roman" w:cs="Times New Roman"/>
          <w:sz w:val="24"/>
          <w:szCs w:val="24"/>
        </w:rPr>
        <w:t xml:space="preserve">, vol. 109, no. 6, pp. 1039–1059, Jun. 2021,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10.1109/JPROC.2020.3046112.</w:t>
      </w:r>
    </w:p>
    <w:p w14:paraId="56A464B1" w14:textId="77777777" w:rsidR="006D0435" w:rsidRDefault="00000000">
      <w:pPr>
        <w:spacing w:before="240" w:after="240" w:line="360" w:lineRule="auto"/>
        <w:ind w:left="128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[197] A. </w:t>
      </w:r>
      <w:proofErr w:type="spellStart"/>
      <w:r>
        <w:rPr>
          <w:rFonts w:ascii="Times New Roman" w:eastAsia="Times New Roman" w:hAnsi="Times New Roman" w:cs="Times New Roman"/>
          <w:sz w:val="24"/>
          <w:szCs w:val="24"/>
        </w:rPr>
        <w:t>Jannesar</w:t>
      </w:r>
      <w:proofErr w:type="spellEnd"/>
      <w:r>
        <w:rPr>
          <w:rFonts w:ascii="Times New Roman" w:eastAsia="Times New Roman" w:hAnsi="Times New Roman" w:cs="Times New Roman"/>
          <w:sz w:val="24"/>
          <w:szCs w:val="24"/>
        </w:rPr>
        <w:t xml:space="preserve"> Niri, G. A. Poelzer, S. E. Zhang, J. Rosenkranz, M. Pettersson, and Y. Ghorbani, “Sustainability challenges throughout the electric vehicle battery value chain,” Mar. 01, 2024, </w:t>
      </w:r>
      <w:r>
        <w:rPr>
          <w:rFonts w:ascii="Times New Roman" w:eastAsia="Times New Roman" w:hAnsi="Times New Roman" w:cs="Times New Roman"/>
          <w:i/>
          <w:iCs/>
          <w:sz w:val="24"/>
          <w:szCs w:val="24"/>
        </w:rPr>
        <w:t>Elsevier Ltd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10.1016/j.rser.2023.114176.</w:t>
      </w:r>
    </w:p>
    <w:p w14:paraId="7BB7BDBA" w14:textId="77777777" w:rsidR="006D0435" w:rsidRDefault="00000000">
      <w:pPr>
        <w:spacing w:before="240" w:after="240" w:line="360" w:lineRule="auto"/>
        <w:ind w:left="128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[198] A. Machín, C. Morant, and F. Márquez, “Advancements and Challenges in Solid-State Battery Technology: An In-Depth Review of Solid Electrolytes and Anode Innovations,” Jan. 01, 2024, </w:t>
      </w:r>
      <w:r>
        <w:rPr>
          <w:rFonts w:ascii="Times New Roman" w:eastAsia="Times New Roman" w:hAnsi="Times New Roman" w:cs="Times New Roman"/>
          <w:i/>
          <w:iCs/>
          <w:sz w:val="24"/>
          <w:szCs w:val="24"/>
        </w:rPr>
        <w:t>Multidisciplinary Digital Publishing Institute (MDPI)</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10.3390/batteries10010029.</w:t>
      </w:r>
    </w:p>
    <w:p w14:paraId="52F68A32" w14:textId="77777777" w:rsidR="006D0435" w:rsidRDefault="00000000">
      <w:pPr>
        <w:spacing w:before="240" w:after="240" w:line="360" w:lineRule="auto"/>
        <w:ind w:left="128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[199] X. Zhang, Z. Li, L. Luo, Y. Fan, and Z. Du, “A review on thermal management of lithium-ion batteries for electric vehicles,” 2021.</w:t>
      </w:r>
    </w:p>
    <w:p w14:paraId="5720834B" w14:textId="77777777" w:rsidR="006D0435" w:rsidRDefault="00000000">
      <w:pPr>
        <w:spacing w:before="240" w:after="240" w:line="360" w:lineRule="auto"/>
        <w:ind w:left="128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[200] A. A. </w:t>
      </w:r>
      <w:proofErr w:type="spellStart"/>
      <w:r>
        <w:rPr>
          <w:rFonts w:ascii="Times New Roman" w:eastAsia="Times New Roman" w:hAnsi="Times New Roman" w:cs="Times New Roman"/>
          <w:sz w:val="24"/>
          <w:szCs w:val="24"/>
        </w:rPr>
        <w:t>Pesaran</w:t>
      </w:r>
      <w:proofErr w:type="spellEnd"/>
      <w:r>
        <w:rPr>
          <w:rFonts w:ascii="Times New Roman" w:eastAsia="Times New Roman" w:hAnsi="Times New Roman" w:cs="Times New Roman"/>
          <w:sz w:val="24"/>
          <w:szCs w:val="24"/>
        </w:rPr>
        <w:t xml:space="preserve">, “Lithium-Ion Battery Technologies for Electric Vehicles: Progress and challenges,” </w:t>
      </w:r>
      <w:r>
        <w:rPr>
          <w:rFonts w:ascii="Times New Roman" w:eastAsia="Times New Roman" w:hAnsi="Times New Roman" w:cs="Times New Roman"/>
          <w:i/>
          <w:iCs/>
          <w:sz w:val="24"/>
          <w:szCs w:val="24"/>
        </w:rPr>
        <w:t>IEEE Electrification Magazine</w:t>
      </w:r>
      <w:r>
        <w:rPr>
          <w:rFonts w:ascii="Times New Roman" w:eastAsia="Times New Roman" w:hAnsi="Times New Roman" w:cs="Times New Roman"/>
          <w:sz w:val="24"/>
          <w:szCs w:val="24"/>
        </w:rPr>
        <w:t xml:space="preserve">, vol. 11, no. 2, pp. 35–43, Jun. 2023,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10.1109/MELE.2023.3264919.</w:t>
      </w:r>
    </w:p>
    <w:p w14:paraId="1559BA00" w14:textId="77777777" w:rsidR="006D0435" w:rsidRDefault="00000000">
      <w:pPr>
        <w:spacing w:before="240" w:after="240" w:line="360" w:lineRule="auto"/>
        <w:ind w:left="128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[201] A. Beaudet, F. Larouche, K. </w:t>
      </w:r>
      <w:proofErr w:type="spellStart"/>
      <w:r>
        <w:rPr>
          <w:rFonts w:ascii="Times New Roman" w:eastAsia="Times New Roman" w:hAnsi="Times New Roman" w:cs="Times New Roman"/>
          <w:sz w:val="24"/>
          <w:szCs w:val="24"/>
        </w:rPr>
        <w:t>Amouzegar</w:t>
      </w:r>
      <w:proofErr w:type="spellEnd"/>
      <w:r>
        <w:rPr>
          <w:rFonts w:ascii="Times New Roman" w:eastAsia="Times New Roman" w:hAnsi="Times New Roman" w:cs="Times New Roman"/>
          <w:sz w:val="24"/>
          <w:szCs w:val="24"/>
        </w:rPr>
        <w:t xml:space="preserve">, P. Bouchard, and K. </w:t>
      </w:r>
      <w:proofErr w:type="spellStart"/>
      <w:r>
        <w:rPr>
          <w:rFonts w:ascii="Times New Roman" w:eastAsia="Times New Roman" w:hAnsi="Times New Roman" w:cs="Times New Roman"/>
          <w:sz w:val="24"/>
          <w:szCs w:val="24"/>
        </w:rPr>
        <w:t>Zaghib</w:t>
      </w:r>
      <w:proofErr w:type="spellEnd"/>
      <w:r>
        <w:rPr>
          <w:rFonts w:ascii="Times New Roman" w:eastAsia="Times New Roman" w:hAnsi="Times New Roman" w:cs="Times New Roman"/>
          <w:sz w:val="24"/>
          <w:szCs w:val="24"/>
        </w:rPr>
        <w:t xml:space="preserve">, “Key challenges and opportunities for recycling electric vehicle battery materials,” Jul. 01, 2020, </w:t>
      </w:r>
      <w:r>
        <w:rPr>
          <w:rFonts w:ascii="Times New Roman" w:eastAsia="Times New Roman" w:hAnsi="Times New Roman" w:cs="Times New Roman"/>
          <w:i/>
          <w:iCs/>
          <w:sz w:val="24"/>
          <w:szCs w:val="24"/>
        </w:rPr>
        <w:t>MDPI</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10.3390/su12145837.</w:t>
      </w:r>
    </w:p>
    <w:p w14:paraId="2E415F1A" w14:textId="77777777" w:rsidR="006D0435" w:rsidRDefault="00000000">
      <w:pPr>
        <w:spacing w:before="240" w:after="240" w:line="360" w:lineRule="auto"/>
        <w:ind w:left="128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[202] R. Zaino, V. Ahmed, A. M. Alhammadi, and M. </w:t>
      </w:r>
      <w:proofErr w:type="spellStart"/>
      <w:r>
        <w:rPr>
          <w:rFonts w:ascii="Times New Roman" w:eastAsia="Times New Roman" w:hAnsi="Times New Roman" w:cs="Times New Roman"/>
          <w:sz w:val="24"/>
          <w:szCs w:val="24"/>
        </w:rPr>
        <w:t>Alghoush</w:t>
      </w:r>
      <w:proofErr w:type="spellEnd"/>
      <w:r>
        <w:rPr>
          <w:rFonts w:ascii="Times New Roman" w:eastAsia="Times New Roman" w:hAnsi="Times New Roman" w:cs="Times New Roman"/>
          <w:sz w:val="24"/>
          <w:szCs w:val="24"/>
        </w:rPr>
        <w:t xml:space="preserve">, “Electric Vehicle Adoption: A Comprehensive Systematic Review of Technological, Environmental, Organizational and Policy Impacts,” Aug. 01, 2024, </w:t>
      </w:r>
      <w:r>
        <w:rPr>
          <w:rFonts w:ascii="Times New Roman" w:eastAsia="Times New Roman" w:hAnsi="Times New Roman" w:cs="Times New Roman"/>
          <w:i/>
          <w:iCs/>
          <w:sz w:val="24"/>
          <w:szCs w:val="24"/>
        </w:rPr>
        <w:t>Multidisciplinary Digital Publishing Institute (MDPI)</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10.3390/wevj15080375.</w:t>
      </w:r>
    </w:p>
    <w:p w14:paraId="1CEA3EC4" w14:textId="77777777" w:rsidR="006D0435" w:rsidRDefault="00000000">
      <w:pPr>
        <w:spacing w:before="240" w:after="240" w:line="360" w:lineRule="auto"/>
        <w:ind w:left="128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[203] X. Xia and P. Li, “A review of the life cycle assessment of electric vehicles: Considering the influence of batteries,” Mar. 25, 2022, </w:t>
      </w:r>
      <w:r>
        <w:rPr>
          <w:rFonts w:ascii="Times New Roman" w:eastAsia="Times New Roman" w:hAnsi="Times New Roman" w:cs="Times New Roman"/>
          <w:i/>
          <w:iCs/>
          <w:sz w:val="24"/>
          <w:szCs w:val="24"/>
        </w:rPr>
        <w:t>Elsevier B.V.</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10.1016/j.scitotenv.2021.152870.</w:t>
      </w:r>
    </w:p>
    <w:p w14:paraId="6176A245" w14:textId="77777777" w:rsidR="006D0435" w:rsidRDefault="006D0435">
      <w:pPr>
        <w:spacing w:before="240" w:after="240" w:line="360" w:lineRule="auto"/>
        <w:ind w:left="1280" w:hanging="640"/>
        <w:rPr>
          <w:rFonts w:ascii="Times New Roman" w:eastAsia="Times New Roman" w:hAnsi="Times New Roman" w:cs="Times New Roman"/>
          <w:sz w:val="24"/>
          <w:szCs w:val="24"/>
        </w:rPr>
      </w:pPr>
    </w:p>
    <w:p w14:paraId="1F3C0C55" w14:textId="77777777" w:rsidR="006D0435" w:rsidRDefault="006D0435">
      <w:pPr>
        <w:spacing w:after="605" w:line="360" w:lineRule="auto"/>
        <w:ind w:right="167"/>
        <w:rPr>
          <w:rFonts w:ascii="Times New Roman" w:eastAsia="Times New Roman" w:hAnsi="Times New Roman" w:cs="Times New Roman"/>
          <w:b/>
          <w:bCs/>
          <w:color w:val="000000"/>
          <w:sz w:val="24"/>
          <w:szCs w:val="24"/>
        </w:rPr>
      </w:pPr>
    </w:p>
    <w:p w14:paraId="5DB1D57F" w14:textId="77777777" w:rsidR="006D0435" w:rsidRDefault="006D0435">
      <w:pPr>
        <w:spacing w:after="0" w:line="360" w:lineRule="auto"/>
        <w:rPr>
          <w:rFonts w:ascii="Times New Roman" w:eastAsia="Times New Roman" w:hAnsi="Times New Roman" w:cs="Times New Roman"/>
          <w:color w:val="000000"/>
          <w:sz w:val="24"/>
          <w:szCs w:val="24"/>
        </w:rPr>
      </w:pPr>
    </w:p>
    <w:sectPr w:rsidR="006D0435">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A969276-E459-414F-942D-96DB4A74B889}"/>
    <w:embedBold r:id="rId2" w:fontKey="{868782E7-B2D4-419D-AEEC-5F52F4127727}"/>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CA2A807D-D78F-4DC5-8BD6-016FD586BD12}"/>
    <w:embedBold r:id="rId4" w:fontKey="{E734F017-9AFC-4B45-B1FC-7047B333FD57}"/>
  </w:font>
  <w:font w:name="Times New Roman">
    <w:panose1 w:val="02020603050405020304"/>
    <w:charset w:val="00"/>
    <w:family w:val="roman"/>
    <w:pitch w:val="variable"/>
    <w:sig w:usb0="E0002EFF" w:usb1="C000785B" w:usb2="00000009" w:usb3="00000000" w:csb0="000001FF" w:csb1="00000000"/>
  </w:font>
  <w:font w:name="Cardo">
    <w:charset w:val="00"/>
    <w:family w:val="auto"/>
    <w:pitch w:val="default"/>
    <w:embedRegular r:id="rId5" w:fontKey="{42D098DA-D0A9-48A5-9193-B78E8D67AD4D}"/>
  </w:font>
  <w:font w:name="Gungsuh">
    <w:charset w:val="81"/>
    <w:family w:val="roman"/>
    <w:pitch w:val="variable"/>
    <w:sig w:usb0="B00002AF" w:usb1="69D77CFB" w:usb2="00000030" w:usb3="00000000" w:csb0="0008009F" w:csb1="00000000"/>
    <w:embedRegular r:id="rId6" w:subsetted="1" w:fontKey="{BD20B3E1-40FA-47B7-AA38-0C7A8D6BE118}"/>
  </w:font>
  <w:font w:name="Cambria">
    <w:panose1 w:val="02040503050406030204"/>
    <w:charset w:val="00"/>
    <w:family w:val="roman"/>
    <w:pitch w:val="variable"/>
    <w:sig w:usb0="E00006FF" w:usb1="420024FF" w:usb2="02000000" w:usb3="00000000" w:csb0="0000019F" w:csb1="00000000"/>
    <w:embedRegular r:id="rId7" w:fontKey="{8B7FDC93-1C48-4A78-A9D2-3AB97224663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7776F"/>
    <w:multiLevelType w:val="multilevel"/>
    <w:tmpl w:val="53182DFE"/>
    <w:lvl w:ilvl="0">
      <w:numFmt w:val="bullet"/>
      <w:lvlText w:val="●"/>
      <w:lvlJc w:val="left"/>
      <w:pPr>
        <w:ind w:left="45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B66501E"/>
    <w:multiLevelType w:val="multilevel"/>
    <w:tmpl w:val="C16E3CE4"/>
    <w:lvl w:ilvl="0">
      <w:start w:val="1"/>
      <w:numFmt w:val="bullet"/>
      <w:lvlText w:val="-"/>
      <w:lvlJc w:val="left"/>
      <w:pPr>
        <w:ind w:left="155" w:hanging="155"/>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
      <w:lvlJc w:val="left"/>
      <w:pPr>
        <w:ind w:left="733" w:hanging="733"/>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bullet"/>
      <w:lvlText w:val="▪"/>
      <w:lvlJc w:val="left"/>
      <w:pPr>
        <w:ind w:left="1453" w:hanging="1453"/>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bullet"/>
      <w:lvlText w:val="•"/>
      <w:lvlJc w:val="left"/>
      <w:pPr>
        <w:ind w:left="2173" w:hanging="2173"/>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2893" w:hanging="2893"/>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bullet"/>
      <w:lvlText w:val="▪"/>
      <w:lvlJc w:val="left"/>
      <w:pPr>
        <w:ind w:left="3613" w:hanging="3613"/>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bullet"/>
      <w:lvlText w:val="•"/>
      <w:lvlJc w:val="left"/>
      <w:pPr>
        <w:ind w:left="4333" w:hanging="4333"/>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053" w:hanging="5053"/>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bullet"/>
      <w:lvlText w:val="▪"/>
      <w:lvlJc w:val="left"/>
      <w:pPr>
        <w:ind w:left="5773" w:hanging="5773"/>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2" w15:restartNumberingAfterBreak="0">
    <w:nsid w:val="1C3D17DD"/>
    <w:multiLevelType w:val="multilevel"/>
    <w:tmpl w:val="4C26CD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38E2EDB"/>
    <w:multiLevelType w:val="multilevel"/>
    <w:tmpl w:val="9A16DB6E"/>
    <w:lvl w:ilvl="0">
      <w:start w:val="1"/>
      <w:numFmt w:val="decimal"/>
      <w:lvlText w:val="%1)"/>
      <w:lvlJc w:val="left"/>
      <w:pPr>
        <w:ind w:left="280" w:hanging="280"/>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
      <w:lvlJc w:val="left"/>
      <w:pPr>
        <w:ind w:left="733" w:hanging="733"/>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bullet"/>
      <w:lvlText w:val="▪"/>
      <w:lvlJc w:val="left"/>
      <w:pPr>
        <w:ind w:left="1440" w:hanging="1440"/>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bullet"/>
      <w:lvlText w:val="•"/>
      <w:lvlJc w:val="left"/>
      <w:pPr>
        <w:ind w:left="2160" w:hanging="216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bullet"/>
      <w:lvlText w:val="▪"/>
      <w:lvlJc w:val="left"/>
      <w:pPr>
        <w:ind w:left="3600" w:hanging="3600"/>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bullet"/>
      <w:lvlText w:val="•"/>
      <w:lvlJc w:val="left"/>
      <w:pPr>
        <w:ind w:left="4320" w:hanging="432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bullet"/>
      <w:lvlText w:val="▪"/>
      <w:lvlJc w:val="left"/>
      <w:pPr>
        <w:ind w:left="5760" w:hanging="5760"/>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4" w15:restartNumberingAfterBreak="0">
    <w:nsid w:val="49BE37AB"/>
    <w:multiLevelType w:val="multilevel"/>
    <w:tmpl w:val="A6348D96"/>
    <w:lvl w:ilvl="0">
      <w:start w:val="1"/>
      <w:numFmt w:val="decimal"/>
      <w:lvlText w:val="%1)"/>
      <w:lvlJc w:val="left"/>
      <w:pPr>
        <w:ind w:left="280" w:hanging="280"/>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lowerRoman"/>
      <w:lvlText w:val="%3"/>
      <w:lvlJc w:val="left"/>
      <w:pPr>
        <w:ind w:left="1800" w:hanging="1800"/>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decimal"/>
      <w:lvlText w:val="%4"/>
      <w:lvlJc w:val="left"/>
      <w:pPr>
        <w:ind w:left="2520" w:hanging="252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lowerLetter"/>
      <w:lvlText w:val="%5"/>
      <w:lvlJc w:val="left"/>
      <w:pPr>
        <w:ind w:left="3240" w:hanging="3240"/>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lowerRoman"/>
      <w:lvlText w:val="%6"/>
      <w:lvlJc w:val="left"/>
      <w:pPr>
        <w:ind w:left="3960" w:hanging="3960"/>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decimal"/>
      <w:lvlText w:val="%7"/>
      <w:lvlJc w:val="left"/>
      <w:pPr>
        <w:ind w:left="4680" w:hanging="468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lowerLetter"/>
      <w:lvlText w:val="%8"/>
      <w:lvlJc w:val="left"/>
      <w:pPr>
        <w:ind w:left="5400" w:hanging="5400"/>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lowerRoman"/>
      <w:lvlText w:val="%9"/>
      <w:lvlJc w:val="left"/>
      <w:pPr>
        <w:ind w:left="6120" w:hanging="6120"/>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5" w15:restartNumberingAfterBreak="0">
    <w:nsid w:val="4B7C080A"/>
    <w:multiLevelType w:val="multilevel"/>
    <w:tmpl w:val="95DC94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4CF92CDF"/>
    <w:multiLevelType w:val="multilevel"/>
    <w:tmpl w:val="3C504852"/>
    <w:lvl w:ilvl="0">
      <w:start w:val="1"/>
      <w:numFmt w:val="bullet"/>
      <w:lvlText w:val="▪"/>
      <w:lvlJc w:val="left"/>
      <w:pPr>
        <w:ind w:left="1620" w:hanging="360"/>
      </w:pPr>
      <w:rPr>
        <w:rFonts w:ascii="Noto Sans Symbols" w:eastAsia="Noto Sans Symbols" w:hAnsi="Noto Sans Symbols" w:cs="Noto Sans Symbols"/>
        <w:b/>
        <w:bCs/>
      </w:r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num w:numId="1" w16cid:durableId="1554344419">
    <w:abstractNumId w:val="5"/>
  </w:num>
  <w:num w:numId="2" w16cid:durableId="1808039543">
    <w:abstractNumId w:val="0"/>
  </w:num>
  <w:num w:numId="3" w16cid:durableId="2109504188">
    <w:abstractNumId w:val="2"/>
  </w:num>
  <w:num w:numId="4" w16cid:durableId="174224108">
    <w:abstractNumId w:val="3"/>
  </w:num>
  <w:num w:numId="5" w16cid:durableId="456140733">
    <w:abstractNumId w:val="1"/>
  </w:num>
  <w:num w:numId="6" w16cid:durableId="858930579">
    <w:abstractNumId w:val="4"/>
  </w:num>
  <w:num w:numId="7" w16cid:durableId="14045972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435"/>
    <w:rsid w:val="001168B4"/>
    <w:rsid w:val="006D0435"/>
    <w:rsid w:val="007338B5"/>
    <w:rsid w:val="00CD4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56A05"/>
  <w15:docId w15:val="{B6B3DC05-1360-420B-8925-78A4291AC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sz w:val="24"/>
      <w:szCs w:val="24"/>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200" w:line="240" w:lineRule="auto"/>
    </w:pPr>
    <w:rPr>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4">
    <w:basedOn w:val="TableNormal0"/>
    <w:pPr>
      <w:spacing w:after="200" w:line="240" w:lineRule="auto"/>
    </w:pPr>
    <w:rPr>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pPr>
      <w:spacing w:after="0" w:line="240" w:lineRule="auto"/>
    </w:pPr>
    <w:tblPr>
      <w:tblStyleRowBandSize w:val="1"/>
      <w:tblStyleColBandSize w:val="1"/>
      <w:tblCellMar>
        <w:top w:w="173" w:type="dxa"/>
        <w:left w:w="95" w:type="dxa"/>
        <w:bottom w:w="0" w:type="dxa"/>
        <w:right w:w="115" w:type="dxa"/>
      </w:tblCellMar>
    </w:tblPr>
  </w:style>
  <w:style w:type="table" w:customStyle="1" w:styleId="ad">
    <w:basedOn w:val="TableNormal0"/>
    <w:pPr>
      <w:spacing w:after="0" w:line="240" w:lineRule="auto"/>
    </w:pPr>
    <w:tblPr>
      <w:tblStyleRowBandSize w:val="1"/>
      <w:tblStyleColBandSize w:val="1"/>
      <w:tblCellMar>
        <w:top w:w="173" w:type="dxa"/>
        <w:left w:w="95" w:type="dxa"/>
        <w:bottom w:w="0" w:type="dxa"/>
        <w:right w:w="115" w:type="dxa"/>
      </w:tblCellMar>
    </w:tblPr>
  </w:style>
  <w:style w:type="table" w:customStyle="1" w:styleId="ae">
    <w:basedOn w:val="TableNormal0"/>
    <w:pPr>
      <w:spacing w:after="0" w:line="240" w:lineRule="auto"/>
    </w:pPr>
    <w:tblPr>
      <w:tblStyleRowBandSize w:val="1"/>
      <w:tblStyleColBandSize w:val="1"/>
      <w:tblCellMar>
        <w:top w:w="181" w:type="dxa"/>
        <w:left w:w="95" w:type="dxa"/>
        <w:bottom w:w="0" w:type="dxa"/>
        <w:right w:w="115" w:type="dxa"/>
      </w:tblCellMar>
    </w:tblPr>
  </w:style>
  <w:style w:type="table" w:customStyle="1" w:styleId="af">
    <w:basedOn w:val="TableNormal0"/>
    <w:pPr>
      <w:spacing w:after="0" w:line="240" w:lineRule="auto"/>
    </w:pPr>
    <w:tblPr>
      <w:tblStyleRowBandSize w:val="1"/>
      <w:tblStyleColBandSize w:val="1"/>
      <w:tblCellMar>
        <w:top w:w="0" w:type="dxa"/>
        <w:left w:w="95" w:type="dxa"/>
        <w:bottom w:w="0" w:type="dxa"/>
        <w:right w:w="115" w:type="dxa"/>
      </w:tblCellMar>
    </w:tblPr>
  </w:style>
  <w:style w:type="table" w:customStyle="1" w:styleId="af0">
    <w:basedOn w:val="TableNormal0"/>
    <w:pPr>
      <w:spacing w:after="0" w:line="240" w:lineRule="auto"/>
    </w:pPr>
    <w:tblPr>
      <w:tblStyleRowBandSize w:val="1"/>
      <w:tblStyleColBandSize w:val="1"/>
      <w:tblCellMar>
        <w:top w:w="181" w:type="dxa"/>
        <w:left w:w="95" w:type="dxa"/>
        <w:bottom w:w="0" w:type="dxa"/>
        <w:right w:w="115" w:type="dxa"/>
      </w:tblCellMar>
    </w:tblPr>
  </w:style>
  <w:style w:type="table" w:customStyle="1" w:styleId="af1">
    <w:basedOn w:val="TableNormal0"/>
    <w:pPr>
      <w:spacing w:after="0" w:line="240" w:lineRule="auto"/>
    </w:pPr>
    <w:tblPr>
      <w:tblStyleRowBandSize w:val="1"/>
      <w:tblStyleColBandSize w:val="1"/>
      <w:tblCellMar>
        <w:top w:w="108" w:type="dxa"/>
        <w:left w:w="115" w:type="dxa"/>
        <w:bottom w:w="0" w:type="dxa"/>
        <w:right w:w="86" w:type="dxa"/>
      </w:tblCellMar>
    </w:tblPr>
  </w:style>
  <w:style w:type="table" w:customStyle="1" w:styleId="af2">
    <w:basedOn w:val="TableNormal0"/>
    <w:pPr>
      <w:spacing w:after="0" w:line="240" w:lineRule="auto"/>
    </w:pPr>
    <w:tblPr>
      <w:tblStyleRowBandSize w:val="1"/>
      <w:tblStyleColBandSize w:val="1"/>
      <w:tblCellMar>
        <w:top w:w="79" w:type="dxa"/>
        <w:left w:w="113" w:type="dxa"/>
        <w:bottom w:w="0" w:type="dxa"/>
        <w:right w:w="46" w:type="dxa"/>
      </w:tblCellMar>
    </w:tblPr>
  </w:style>
  <w:style w:type="table" w:customStyle="1" w:styleId="af3">
    <w:basedOn w:val="TableNormal0"/>
    <w:pPr>
      <w:spacing w:after="0" w:line="240" w:lineRule="auto"/>
    </w:pPr>
    <w:tblPr>
      <w:tblStyleRowBandSize w:val="1"/>
      <w:tblStyleColBandSize w:val="1"/>
      <w:tblCellMar>
        <w:top w:w="0" w:type="dxa"/>
        <w:left w:w="61" w:type="dxa"/>
        <w:bottom w:w="0" w:type="dxa"/>
        <w:right w:w="4" w:type="dxa"/>
      </w:tblCellMar>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zotero.org/google-docs/?YFKobt" TargetMode="External"/><Relationship Id="rId299" Type="http://schemas.openxmlformats.org/officeDocument/2006/relationships/hyperlink" Target="https://www.iea.org/policies/27375-regulation-eu-20231804-alternative-fuels-infrastructure-regulation" TargetMode="External"/><Relationship Id="rId21" Type="http://schemas.openxmlformats.org/officeDocument/2006/relationships/hyperlink" Target="https://www.zotero.org/google-docs/?QuoXXa" TargetMode="External"/><Relationship Id="rId63" Type="http://schemas.openxmlformats.org/officeDocument/2006/relationships/hyperlink" Target="https://www.zotero.org/google-docs/?KCskEs" TargetMode="External"/><Relationship Id="rId159" Type="http://schemas.openxmlformats.org/officeDocument/2006/relationships/hyperlink" Target="https://www.zotero.org/google-docs/?ytHeSL" TargetMode="External"/><Relationship Id="rId324" Type="http://schemas.openxmlformats.org/officeDocument/2006/relationships/image" Target="media/image30.jpg"/><Relationship Id="rId366" Type="http://schemas.openxmlformats.org/officeDocument/2006/relationships/hyperlink" Target="https://doi.org/10.3390/en18226020" TargetMode="External"/><Relationship Id="rId170" Type="http://schemas.openxmlformats.org/officeDocument/2006/relationships/hyperlink" Target="https://www.zotero.org/google-docs/?bm9JnR" TargetMode="External"/><Relationship Id="rId226" Type="http://schemas.openxmlformats.org/officeDocument/2006/relationships/image" Target="media/image13.png"/><Relationship Id="rId433" Type="http://schemas.openxmlformats.org/officeDocument/2006/relationships/hyperlink" Target="https://ww2.arb.ca.gov/our-work/programs/drive-forward-light-duty-vehicle-program/advanced-clean-cars" TargetMode="External"/><Relationship Id="rId268" Type="http://schemas.openxmlformats.org/officeDocument/2006/relationships/hyperlink" Target="https://climate.ec.europa.eu/eu-action/transport-decarbonisation/road-transport/cars-and-vans_en" TargetMode="External"/><Relationship Id="rId32" Type="http://schemas.openxmlformats.org/officeDocument/2006/relationships/hyperlink" Target="https://www.zotero.org/google-docs/?iXNdxS" TargetMode="External"/><Relationship Id="rId74" Type="http://schemas.openxmlformats.org/officeDocument/2006/relationships/hyperlink" Target="https://www.zotero.org/google-docs/?Iy0dCJ" TargetMode="External"/><Relationship Id="rId128" Type="http://schemas.openxmlformats.org/officeDocument/2006/relationships/hyperlink" Target="https://www.zotero.org/google-docs/?6777Xi" TargetMode="External"/><Relationship Id="rId335" Type="http://schemas.openxmlformats.org/officeDocument/2006/relationships/hyperlink" Target="https://ww2.arb.ca.gov/our-work/programs/drive-forward-light-duty-vehicle-program/advanced-clean-cars" TargetMode="External"/><Relationship Id="rId377" Type="http://schemas.openxmlformats.org/officeDocument/2006/relationships/hyperlink" Target="https://www.sciencedirect.com/science/article/abs/pii/S136192092400381X" TargetMode="External"/><Relationship Id="rId5" Type="http://schemas.openxmlformats.org/officeDocument/2006/relationships/webSettings" Target="webSettings.xml"/><Relationship Id="rId181" Type="http://schemas.openxmlformats.org/officeDocument/2006/relationships/hyperlink" Target="https://www.zotero.org/google-docs/?CUQFH0" TargetMode="External"/><Relationship Id="rId237" Type="http://schemas.openxmlformats.org/officeDocument/2006/relationships/image" Target="media/image22.png"/><Relationship Id="rId402" Type="http://schemas.openxmlformats.org/officeDocument/2006/relationships/hyperlink" Target="https://www.mdpi.com/2071-1050/13/5/2928" TargetMode="External"/><Relationship Id="rId279" Type="http://schemas.openxmlformats.org/officeDocument/2006/relationships/hyperlink" Target="https://www.oecd.org/en/publications/2021/09/ipac-policies-in-practice_1a65968e/norway-s-evolving-incentives-for-zero-emission-vehicles_c74c1e9d.html" TargetMode="External"/><Relationship Id="rId43" Type="http://schemas.openxmlformats.org/officeDocument/2006/relationships/hyperlink" Target="https://www.zotero.org/google-docs/?Q93fhu" TargetMode="External"/><Relationship Id="rId139" Type="http://schemas.openxmlformats.org/officeDocument/2006/relationships/hyperlink" Target="https://www.zotero.org/google-docs/?okZCiG" TargetMode="External"/><Relationship Id="rId290" Type="http://schemas.openxmlformats.org/officeDocument/2006/relationships/hyperlink" Target="https://www.sciencedirect.com/science/article/pii/S1361920920306234" TargetMode="External"/><Relationship Id="rId304" Type="http://schemas.openxmlformats.org/officeDocument/2006/relationships/hyperlink" Target="https://home.treasury.gov/news/press-releases/jy1379" TargetMode="External"/><Relationship Id="rId346" Type="http://schemas.openxmlformats.org/officeDocument/2006/relationships/hyperlink" Target="https://www.sciencedirect.com/science/article/abs/pii/S136192092400381X" TargetMode="External"/><Relationship Id="rId388" Type="http://schemas.openxmlformats.org/officeDocument/2006/relationships/hyperlink" Target="https://www.sciencedirect.com/science/article/pii/S0965856424002659" TargetMode="External"/><Relationship Id="rId85" Type="http://schemas.openxmlformats.org/officeDocument/2006/relationships/hyperlink" Target="https://www.zotero.org/google-docs/?EvLOUb" TargetMode="External"/><Relationship Id="rId150" Type="http://schemas.openxmlformats.org/officeDocument/2006/relationships/hyperlink" Target="https://www.zotero.org/google-docs/?8rFfps" TargetMode="External"/><Relationship Id="rId192" Type="http://schemas.openxmlformats.org/officeDocument/2006/relationships/hyperlink" Target="https://www.zotero.org/google-docs/?WpVft9" TargetMode="External"/><Relationship Id="rId206" Type="http://schemas.openxmlformats.org/officeDocument/2006/relationships/hyperlink" Target="https://www.zotero.org/google-docs/?Wz9m0x" TargetMode="External"/><Relationship Id="rId413" Type="http://schemas.openxmlformats.org/officeDocument/2006/relationships/hyperlink" Target="https://www.iea.org/policies/27375-regulation-eu-20231804-alternative-fuels-infrastructure-regulation" TargetMode="External"/><Relationship Id="rId248" Type="http://schemas.openxmlformats.org/officeDocument/2006/relationships/hyperlink" Target="https://iea.blob.core.windows.net/assets/0aa4762f-c1cb-4495-987a-25945d6de5e8/GlobalEVOutlook2025.pdf" TargetMode="External"/><Relationship Id="rId12" Type="http://schemas.openxmlformats.org/officeDocument/2006/relationships/hyperlink" Target="https://www.zotero.org/google-docs/?EBNa6H" TargetMode="External"/><Relationship Id="rId108" Type="http://schemas.openxmlformats.org/officeDocument/2006/relationships/hyperlink" Target="https://www.zotero.org/google-docs/?lJidLY" TargetMode="External"/><Relationship Id="rId315" Type="http://schemas.openxmlformats.org/officeDocument/2006/relationships/hyperlink" Target="https://www.sciencedirect.com/science/article/pii/S0965856424002830" TargetMode="External"/><Relationship Id="rId357" Type="http://schemas.openxmlformats.org/officeDocument/2006/relationships/hyperlink" Target="https://doi.org/10.1007/s42154-021-00139-z" TargetMode="External"/><Relationship Id="rId54" Type="http://schemas.openxmlformats.org/officeDocument/2006/relationships/hyperlink" Target="https://www.zotero.org/google-docs/?KCskEs" TargetMode="External"/><Relationship Id="rId96" Type="http://schemas.openxmlformats.org/officeDocument/2006/relationships/hyperlink" Target="https://www.zotero.org/google-docs/?P4zxav" TargetMode="External"/><Relationship Id="rId161" Type="http://schemas.openxmlformats.org/officeDocument/2006/relationships/hyperlink" Target="https://www.zotero.org/google-docs/?REJ8Dh" TargetMode="External"/><Relationship Id="rId217" Type="http://schemas.openxmlformats.org/officeDocument/2006/relationships/hyperlink" Target="https://www.zotero.org/google-docs/?D0f3Kr" TargetMode="External"/><Relationship Id="rId399" Type="http://schemas.openxmlformats.org/officeDocument/2006/relationships/hyperlink" Target="https://www.sciencedirect.com/science/article/abs/pii/S1364032123008729" TargetMode="External"/><Relationship Id="rId259" Type="http://schemas.openxmlformats.org/officeDocument/2006/relationships/hyperlink" Target="https://www.oecd.org/en/publications/2021/09/ipac-policies-in-practice_1a65968e/norway-s-evolving-incentives-for-zero-emission-vehicles_c74c1e9d.html" TargetMode="External"/><Relationship Id="rId424" Type="http://schemas.openxmlformats.org/officeDocument/2006/relationships/hyperlink" Target="https://english.www.gov.cn/news/202306/21/content_WS64929394c6d0868f4e8dd11c.html" TargetMode="External"/><Relationship Id="rId23" Type="http://schemas.openxmlformats.org/officeDocument/2006/relationships/hyperlink" Target="https://www.zotero.org/google-docs/?QuoXXa" TargetMode="External"/><Relationship Id="rId119" Type="http://schemas.openxmlformats.org/officeDocument/2006/relationships/hyperlink" Target="https://www.zotero.org/google-docs/?YFKobt" TargetMode="External"/><Relationship Id="rId270" Type="http://schemas.openxmlformats.org/officeDocument/2006/relationships/hyperlink" Target="https://www.iea.org/reports/global-ev-outlook-2025" TargetMode="External"/><Relationship Id="rId326" Type="http://schemas.openxmlformats.org/officeDocument/2006/relationships/hyperlink" Target="https://climate.ec.europa.eu/eu-action/transport-decarbonisation/road-transport/cars-and-vans_en" TargetMode="External"/><Relationship Id="rId65" Type="http://schemas.openxmlformats.org/officeDocument/2006/relationships/hyperlink" Target="https://www.zotero.org/google-docs/?KCskEs" TargetMode="External"/><Relationship Id="rId130" Type="http://schemas.openxmlformats.org/officeDocument/2006/relationships/hyperlink" Target="https://www.zotero.org/google-docs/?6777Xi" TargetMode="External"/><Relationship Id="rId368" Type="http://schemas.openxmlformats.org/officeDocument/2006/relationships/hyperlink" Target="https://doi.org/10.1016/j.enpol.2015.02.004" TargetMode="External"/><Relationship Id="rId172" Type="http://schemas.openxmlformats.org/officeDocument/2006/relationships/hyperlink" Target="https://www.zotero.org/google-docs/?rbQ0Vj" TargetMode="External"/><Relationship Id="rId228" Type="http://schemas.openxmlformats.org/officeDocument/2006/relationships/image" Target="media/image15.png"/><Relationship Id="rId435" Type="http://schemas.openxmlformats.org/officeDocument/2006/relationships/hyperlink" Target="https://eur-lex.europa.eu/eli/reg/2021/388/oj/eng" TargetMode="External"/><Relationship Id="rId281" Type="http://schemas.openxmlformats.org/officeDocument/2006/relationships/hyperlink" Target="https://www.iea.org/reports/global-ev-outlook-2025/executive-summary" TargetMode="External"/><Relationship Id="rId337" Type="http://schemas.openxmlformats.org/officeDocument/2006/relationships/hyperlink" Target="https://eur-lex.europa.eu/eli/reg/2021/388/oj/eng" TargetMode="External"/><Relationship Id="rId34" Type="http://schemas.openxmlformats.org/officeDocument/2006/relationships/hyperlink" Target="https://www.zotero.org/google-docs/?iXNdxS" TargetMode="External"/><Relationship Id="rId76" Type="http://schemas.openxmlformats.org/officeDocument/2006/relationships/hyperlink" Target="https://www.zotero.org/google-docs/?1ZVVo7" TargetMode="External"/><Relationship Id="rId141" Type="http://schemas.openxmlformats.org/officeDocument/2006/relationships/hyperlink" Target="https://www.zotero.org/google-docs/?HpzzO3" TargetMode="External"/><Relationship Id="rId379" Type="http://schemas.openxmlformats.org/officeDocument/2006/relationships/hyperlink" Target="https://climate.ec.europa.eu/eu-action/transport-decarbonisation/road-transport/cars-and-vans_en" TargetMode="External"/><Relationship Id="rId7" Type="http://schemas.openxmlformats.org/officeDocument/2006/relationships/hyperlink" Target="https://www.zotero.org/google-docs/?d8z50p" TargetMode="External"/><Relationship Id="rId183" Type="http://schemas.openxmlformats.org/officeDocument/2006/relationships/hyperlink" Target="https://www.zotero.org/google-docs/?CUQFH0" TargetMode="External"/><Relationship Id="rId239" Type="http://schemas.openxmlformats.org/officeDocument/2006/relationships/image" Target="media/image24.png"/><Relationship Id="rId390" Type="http://schemas.openxmlformats.org/officeDocument/2006/relationships/hyperlink" Target="https://www.iea.org/reports/global-ev-outlook-2025" TargetMode="External"/><Relationship Id="rId404" Type="http://schemas.openxmlformats.org/officeDocument/2006/relationships/hyperlink" Target="https://www.sciencedirect.com/science/article/abs/pii/S0965856421001415" TargetMode="External"/><Relationship Id="rId250" Type="http://schemas.openxmlformats.org/officeDocument/2006/relationships/hyperlink" Target="https://www.sciencedirect.com/science/article/abs/pii/S136192092400381X" TargetMode="External"/><Relationship Id="rId292" Type="http://schemas.openxmlformats.org/officeDocument/2006/relationships/hyperlink" Target="https://eur-lex.europa.eu/legal-content/EN/TXT/PDF/?uri=OJ%3AL_202500005" TargetMode="External"/><Relationship Id="rId306" Type="http://schemas.openxmlformats.org/officeDocument/2006/relationships/hyperlink" Target="https://www.federalregister.gov/documents/2023/02/28/2023-03500/national-electric-vehicle-infrastructure-standards-and-requirements" TargetMode="External"/><Relationship Id="rId45" Type="http://schemas.openxmlformats.org/officeDocument/2006/relationships/hyperlink" Target="https://www.zotero.org/google-docs/?Q93fhu" TargetMode="External"/><Relationship Id="rId87" Type="http://schemas.openxmlformats.org/officeDocument/2006/relationships/hyperlink" Target="https://www.zotero.org/google-docs/?EvLOUb" TargetMode="External"/><Relationship Id="rId110" Type="http://schemas.openxmlformats.org/officeDocument/2006/relationships/hyperlink" Target="https://www.zotero.org/google-docs/?lJidLY" TargetMode="External"/><Relationship Id="rId348" Type="http://schemas.openxmlformats.org/officeDocument/2006/relationships/hyperlink" Target="https://www.irs.gov/credits-deductions/credits-for-new-clean-vehicles-purchased-in-2023-or-after" TargetMode="External"/><Relationship Id="rId152" Type="http://schemas.openxmlformats.org/officeDocument/2006/relationships/hyperlink" Target="https://www.zotero.org/google-docs/?8rFfps" TargetMode="External"/><Relationship Id="rId194" Type="http://schemas.openxmlformats.org/officeDocument/2006/relationships/hyperlink" Target="https://www.zotero.org/google-docs/?WpVft9" TargetMode="External"/><Relationship Id="rId208" Type="http://schemas.openxmlformats.org/officeDocument/2006/relationships/hyperlink" Target="https://www.zotero.org/google-docs/?s40EyZ" TargetMode="External"/><Relationship Id="rId415" Type="http://schemas.openxmlformats.org/officeDocument/2006/relationships/hyperlink" Target="https://home.treasury.gov/news/press-releases/jy1379" TargetMode="External"/><Relationship Id="rId261" Type="http://schemas.openxmlformats.org/officeDocument/2006/relationships/hyperlink" Target="https://transport.ec.europa.eu/transport-themes/clean-transport/alternative-fuels-sustainable-mobility-europe/alternative-fuels-infrastructure_en" TargetMode="External"/><Relationship Id="rId14" Type="http://schemas.openxmlformats.org/officeDocument/2006/relationships/hyperlink" Target="https://www.zotero.org/google-docs/?EBNa6H" TargetMode="External"/><Relationship Id="rId56" Type="http://schemas.openxmlformats.org/officeDocument/2006/relationships/hyperlink" Target="https://www.zotero.org/google-docs/?KCskEs" TargetMode="External"/><Relationship Id="rId317" Type="http://schemas.openxmlformats.org/officeDocument/2006/relationships/hyperlink" Target="https://heavyindustries.gov.in/en/fame-ii" TargetMode="External"/><Relationship Id="rId359" Type="http://schemas.openxmlformats.org/officeDocument/2006/relationships/hyperlink" Target="https://doi.org/10.1016/j.tsep.2022.101222" TargetMode="External"/><Relationship Id="rId98" Type="http://schemas.openxmlformats.org/officeDocument/2006/relationships/hyperlink" Target="https://www.zotero.org/google-docs/?BU1Y2F" TargetMode="External"/><Relationship Id="rId121" Type="http://schemas.openxmlformats.org/officeDocument/2006/relationships/hyperlink" Target="https://www.zotero.org/google-docs/?19JJQN" TargetMode="External"/><Relationship Id="rId163" Type="http://schemas.openxmlformats.org/officeDocument/2006/relationships/hyperlink" Target="https://www.zotero.org/google-docs/?REJ8Dh" TargetMode="External"/><Relationship Id="rId219" Type="http://schemas.openxmlformats.org/officeDocument/2006/relationships/hyperlink" Target="https://www.zotero.org/google-docs/?r755a2" TargetMode="External"/><Relationship Id="rId370" Type="http://schemas.openxmlformats.org/officeDocument/2006/relationships/hyperlink" Target="https://doi.org/10.1016/j.enpol.2019.02.071" TargetMode="External"/><Relationship Id="rId426" Type="http://schemas.openxmlformats.org/officeDocument/2006/relationships/hyperlink" Target="https://www.gov.uk/government/news/pathway-for-zero-emission-vehicle-transition-by-2035-becomes-law" TargetMode="External"/><Relationship Id="rId230" Type="http://schemas.openxmlformats.org/officeDocument/2006/relationships/image" Target="media/image17.png"/><Relationship Id="rId25" Type="http://schemas.openxmlformats.org/officeDocument/2006/relationships/hyperlink" Target="https://www.zotero.org/google-docs/?QuoXXa" TargetMode="External"/><Relationship Id="rId67" Type="http://schemas.openxmlformats.org/officeDocument/2006/relationships/hyperlink" Target="https://www.zotero.org/google-docs/?BFVaZP" TargetMode="External"/><Relationship Id="rId272" Type="http://schemas.openxmlformats.org/officeDocument/2006/relationships/hyperlink" Target="https://www.sciencedirect.com/science/article/pii/S0965856424002659" TargetMode="External"/><Relationship Id="rId328" Type="http://schemas.openxmlformats.org/officeDocument/2006/relationships/hyperlink" Target="https://www.gov.uk/government/news/pathway-for-zero-emission-vehicle-transition-by-2035-becomes-law" TargetMode="External"/><Relationship Id="rId132" Type="http://schemas.openxmlformats.org/officeDocument/2006/relationships/hyperlink" Target="https://www.zotero.org/google-docs/?mqygfE" TargetMode="External"/><Relationship Id="rId174" Type="http://schemas.openxmlformats.org/officeDocument/2006/relationships/hyperlink" Target="https://www.zotero.org/google-docs/?rbQ0Vj" TargetMode="External"/><Relationship Id="rId381" Type="http://schemas.openxmlformats.org/officeDocument/2006/relationships/hyperlink" Target="https://www.irs.gov/credits-deductions/credits-for-new-clean-vehicles-purchased-in-2023-or-after" TargetMode="External"/><Relationship Id="rId241" Type="http://schemas.openxmlformats.org/officeDocument/2006/relationships/image" Target="media/image25.png"/><Relationship Id="rId437" Type="http://schemas.openxmlformats.org/officeDocument/2006/relationships/fontTable" Target="fontTable.xml"/><Relationship Id="rId36" Type="http://schemas.openxmlformats.org/officeDocument/2006/relationships/hyperlink" Target="https://www.zotero.org/google-docs/?Gwx99I" TargetMode="External"/><Relationship Id="rId283" Type="http://schemas.openxmlformats.org/officeDocument/2006/relationships/hyperlink" Target="https://www.federalregister.gov/documents/2023/02/28/2023-03500/national-electric-vehicle-infrastructure-standards-and-requirements" TargetMode="External"/><Relationship Id="rId339" Type="http://schemas.openxmlformats.org/officeDocument/2006/relationships/hyperlink" Target="https://www.federalregister.gov/documents/2023/02/28/2023-03500/national-electric-vehicle-infrastructure-standards-and-requirements" TargetMode="External"/><Relationship Id="rId78" Type="http://schemas.openxmlformats.org/officeDocument/2006/relationships/hyperlink" Target="https://www.zotero.org/google-docs/?1AFLgK" TargetMode="External"/><Relationship Id="rId101" Type="http://schemas.openxmlformats.org/officeDocument/2006/relationships/image" Target="media/image5.png"/><Relationship Id="rId143" Type="http://schemas.openxmlformats.org/officeDocument/2006/relationships/hyperlink" Target="https://www.zotero.org/google-docs/?HpzzO3" TargetMode="External"/><Relationship Id="rId185" Type="http://schemas.openxmlformats.org/officeDocument/2006/relationships/hyperlink" Target="https://www.zotero.org/google-docs/?DfeyGc" TargetMode="External"/><Relationship Id="rId350" Type="http://schemas.openxmlformats.org/officeDocument/2006/relationships/hyperlink" Target="https://www.irs.gov/credits-deductions/credits-for-new-clean-vehicles-purchased-in-2023-or-after" TargetMode="External"/><Relationship Id="rId406" Type="http://schemas.openxmlformats.org/officeDocument/2006/relationships/hyperlink" Target="https://www.sciencedirect.com/science/article/pii/S0965856424002830" TargetMode="External"/><Relationship Id="rId9" Type="http://schemas.openxmlformats.org/officeDocument/2006/relationships/hyperlink" Target="https://www.zotero.org/google-docs/?d8z50p" TargetMode="External"/><Relationship Id="rId210" Type="http://schemas.openxmlformats.org/officeDocument/2006/relationships/hyperlink" Target="https://www.zotero.org/google-docs/?w1Gggd" TargetMode="External"/><Relationship Id="rId392" Type="http://schemas.openxmlformats.org/officeDocument/2006/relationships/hyperlink" Target="https://www.iea.org/data-and-statistics/data-tools/global-ev-policy-explorer" TargetMode="External"/><Relationship Id="rId252" Type="http://schemas.openxmlformats.org/officeDocument/2006/relationships/hyperlink" Target="https://climate.ec.europa.eu/eu-action/transport-decarbonisation/road-transport/cars-and-vans_en" TargetMode="External"/><Relationship Id="rId294" Type="http://schemas.openxmlformats.org/officeDocument/2006/relationships/hyperlink" Target="https://www.iea.org/reports/global-ev-outlook-2025/executive-summary" TargetMode="External"/><Relationship Id="rId308" Type="http://schemas.openxmlformats.org/officeDocument/2006/relationships/hyperlink" Target="https://theicct.org/sites/default/files/publications/ICCT_China-NEV-mandate_policy-update_20180111.pdf" TargetMode="External"/><Relationship Id="rId47" Type="http://schemas.openxmlformats.org/officeDocument/2006/relationships/hyperlink" Target="https://www.zotero.org/google-docs/?Q93fhu" TargetMode="External"/><Relationship Id="rId89" Type="http://schemas.openxmlformats.org/officeDocument/2006/relationships/hyperlink" Target="https://www.zotero.org/google-docs/?mJx1uJ" TargetMode="External"/><Relationship Id="rId112" Type="http://schemas.openxmlformats.org/officeDocument/2006/relationships/hyperlink" Target="https://www.zotero.org/google-docs/?SV1eBY" TargetMode="External"/><Relationship Id="rId154" Type="http://schemas.openxmlformats.org/officeDocument/2006/relationships/hyperlink" Target="https://www.zotero.org/google-docs/?8Cre9j" TargetMode="External"/><Relationship Id="rId361" Type="http://schemas.openxmlformats.org/officeDocument/2006/relationships/hyperlink" Target="https://doi.org/10.3390/en15197025" TargetMode="External"/><Relationship Id="rId196" Type="http://schemas.openxmlformats.org/officeDocument/2006/relationships/hyperlink" Target="https://www.zotero.org/google-docs/?wFRAks" TargetMode="External"/><Relationship Id="rId417" Type="http://schemas.openxmlformats.org/officeDocument/2006/relationships/hyperlink" Target="https://www.congress.gov/crs-product/IF12600" TargetMode="External"/><Relationship Id="rId16" Type="http://schemas.openxmlformats.org/officeDocument/2006/relationships/hyperlink" Target="https://www.zotero.org/google-docs/?EBNa6H" TargetMode="External"/><Relationship Id="rId221" Type="http://schemas.openxmlformats.org/officeDocument/2006/relationships/image" Target="media/image8.png"/><Relationship Id="rId263" Type="http://schemas.openxmlformats.org/officeDocument/2006/relationships/hyperlink" Target="https://iea.blob.core.windows.net/assets/a9e3544b-0b12-4e15-b407-65f5c8ce1b5f/GlobalEVOutlook2024.pdf" TargetMode="External"/><Relationship Id="rId319" Type="http://schemas.openxmlformats.org/officeDocument/2006/relationships/hyperlink" Target="https://www.oecd.org/en/publications/2021/09/ipac-policies-in-practice_1a65968e/norway-s-evolving-incentives-for-zero-emission-vehicles_c74c1e9d.html" TargetMode="External"/><Relationship Id="rId58" Type="http://schemas.openxmlformats.org/officeDocument/2006/relationships/hyperlink" Target="https://www.zotero.org/google-docs/?KCskEs" TargetMode="External"/><Relationship Id="rId123" Type="http://schemas.openxmlformats.org/officeDocument/2006/relationships/hyperlink" Target="https://www.zotero.org/google-docs/?MES9mg" TargetMode="External"/><Relationship Id="rId330" Type="http://schemas.openxmlformats.org/officeDocument/2006/relationships/image" Target="media/image31.jpg"/><Relationship Id="rId165" Type="http://schemas.openxmlformats.org/officeDocument/2006/relationships/hyperlink" Target="https://www.zotero.org/google-docs/?IE6rj9" TargetMode="External"/><Relationship Id="rId372" Type="http://schemas.openxmlformats.org/officeDocument/2006/relationships/hyperlink" Target="https://doi.org/10.35833/MPCE.2019.000326" TargetMode="External"/><Relationship Id="rId428" Type="http://schemas.openxmlformats.org/officeDocument/2006/relationships/hyperlink" Target="https://heavyindustries.gov.in/en/fame-ii" TargetMode="External"/><Relationship Id="rId232" Type="http://schemas.openxmlformats.org/officeDocument/2006/relationships/image" Target="media/image19.png"/><Relationship Id="rId274" Type="http://schemas.openxmlformats.org/officeDocument/2006/relationships/hyperlink" Target="https://climate.ec.europa.eu/eu-action/transport-decarbonisation/road-transport/cars-and-vans_en" TargetMode="External"/><Relationship Id="rId27" Type="http://schemas.openxmlformats.org/officeDocument/2006/relationships/hyperlink" Target="https://www.zotero.org/google-docs/?QuoXXa" TargetMode="External"/><Relationship Id="rId69" Type="http://schemas.openxmlformats.org/officeDocument/2006/relationships/image" Target="media/image2.png"/><Relationship Id="rId134" Type="http://schemas.openxmlformats.org/officeDocument/2006/relationships/hyperlink" Target="https://www.zotero.org/google-docs/?mqygfE" TargetMode="External"/><Relationship Id="rId80" Type="http://schemas.openxmlformats.org/officeDocument/2006/relationships/hyperlink" Target="https://www.zotero.org/google-docs/?1AFLgK" TargetMode="External"/><Relationship Id="rId176" Type="http://schemas.openxmlformats.org/officeDocument/2006/relationships/hyperlink" Target="https://www.zotero.org/google-docs/?lWZEXL" TargetMode="External"/><Relationship Id="rId341" Type="http://schemas.openxmlformats.org/officeDocument/2006/relationships/hyperlink" Target="https://www.sciencedirect.com/science/article/abs/pii/S136192092400381X" TargetMode="External"/><Relationship Id="rId383" Type="http://schemas.openxmlformats.org/officeDocument/2006/relationships/hyperlink" Target="https://transport.ec.europa.eu/transport-themes/clean-transport/alternative-fuels-sustainable-mobility-europe/alternative-fuels-infrastructure_en" TargetMode="External"/><Relationship Id="rId201" Type="http://schemas.openxmlformats.org/officeDocument/2006/relationships/hyperlink" Target="https://www.zotero.org/google-docs/?vHpZAd" TargetMode="External"/><Relationship Id="rId243" Type="http://schemas.openxmlformats.org/officeDocument/2006/relationships/image" Target="media/image27.jpg"/><Relationship Id="rId285" Type="http://schemas.openxmlformats.org/officeDocument/2006/relationships/hyperlink" Target="https://www.sciencedirect.com/science/article/pii/S0965856424002659" TargetMode="External"/><Relationship Id="rId38" Type="http://schemas.openxmlformats.org/officeDocument/2006/relationships/hyperlink" Target="https://www.zotero.org/google-docs/?on4iUf" TargetMode="External"/><Relationship Id="rId103" Type="http://schemas.openxmlformats.org/officeDocument/2006/relationships/hyperlink" Target="https://www.zotero.org/google-docs/?oxiXmW" TargetMode="External"/><Relationship Id="rId310" Type="http://schemas.openxmlformats.org/officeDocument/2006/relationships/hyperlink" Target="https://iea.blob.core.windows.net/assets/0aa4762f-c1cb-4495-987a-25945d6de5e8/GlobalEVOutlook2025.pdf" TargetMode="External"/><Relationship Id="rId91" Type="http://schemas.openxmlformats.org/officeDocument/2006/relationships/hyperlink" Target="https://www.zotero.org/google-docs/?mJx1uJ" TargetMode="External"/><Relationship Id="rId145" Type="http://schemas.openxmlformats.org/officeDocument/2006/relationships/hyperlink" Target="https://www.zotero.org/google-docs/?0flpC7" TargetMode="External"/><Relationship Id="rId187" Type="http://schemas.openxmlformats.org/officeDocument/2006/relationships/hyperlink" Target="https://www.zotero.org/google-docs/?nzHwyz" TargetMode="External"/><Relationship Id="rId352" Type="http://schemas.openxmlformats.org/officeDocument/2006/relationships/hyperlink" Target="https://www.sciencedirect.com/science/article/abs/pii/S136192092400381X" TargetMode="External"/><Relationship Id="rId394" Type="http://schemas.openxmlformats.org/officeDocument/2006/relationships/hyperlink" Target="https://www.acea.auto/pc-registrations/new-car-registrations-1-8-in-2025-battery-electric-17-4-market-share/" TargetMode="External"/><Relationship Id="rId408" Type="http://schemas.openxmlformats.org/officeDocument/2006/relationships/hyperlink" Target="https://www.sciencedirect.com/science/article/pii/S1361920920306234" TargetMode="External"/><Relationship Id="rId212" Type="http://schemas.openxmlformats.org/officeDocument/2006/relationships/hyperlink" Target="https://www.zotero.org/google-docs/?w1Gggd" TargetMode="External"/><Relationship Id="rId254" Type="http://schemas.openxmlformats.org/officeDocument/2006/relationships/hyperlink" Target="https://climate.ec.europa.eu/eu-action/transport-decarbonisation/road-transport/cars-and-vans_en" TargetMode="External"/><Relationship Id="rId49" Type="http://schemas.openxmlformats.org/officeDocument/2006/relationships/hyperlink" Target="https://www.zotero.org/google-docs/?zZwrxE" TargetMode="External"/><Relationship Id="rId114" Type="http://schemas.openxmlformats.org/officeDocument/2006/relationships/hyperlink" Target="https://www.zotero.org/google-docs/?SV1eBY" TargetMode="External"/><Relationship Id="rId296" Type="http://schemas.openxmlformats.org/officeDocument/2006/relationships/hyperlink" Target="https://eur-lex.europa.eu/eli/reg/2021/2190/oj/eng" TargetMode="External"/><Relationship Id="rId60" Type="http://schemas.openxmlformats.org/officeDocument/2006/relationships/hyperlink" Target="https://www.zotero.org/google-docs/?KCskEs" TargetMode="External"/><Relationship Id="rId81" Type="http://schemas.openxmlformats.org/officeDocument/2006/relationships/hyperlink" Target="https://www.zotero.org/google-docs/?broken=2feKvv" TargetMode="External"/><Relationship Id="rId135" Type="http://schemas.openxmlformats.org/officeDocument/2006/relationships/hyperlink" Target="https://www.zotero.org/google-docs/?qGChNe" TargetMode="External"/><Relationship Id="rId156" Type="http://schemas.openxmlformats.org/officeDocument/2006/relationships/hyperlink" Target="https://www.zotero.org/google-docs/?ytHeSL" TargetMode="External"/><Relationship Id="rId177" Type="http://schemas.openxmlformats.org/officeDocument/2006/relationships/hyperlink" Target="https://www.zotero.org/google-docs/?lWZEXL" TargetMode="External"/><Relationship Id="rId198" Type="http://schemas.openxmlformats.org/officeDocument/2006/relationships/hyperlink" Target="https://www.zotero.org/google-docs/?eqye3s" TargetMode="External"/><Relationship Id="rId321" Type="http://schemas.openxmlformats.org/officeDocument/2006/relationships/hyperlink" Target="https://www.oecd.org/en/publications/2021/09/ipac-policies-in-practice_1a65968e/norway-s-evolving-incentives-for-zero-emission-vehicles_c74c1e9d.html" TargetMode="External"/><Relationship Id="rId342" Type="http://schemas.openxmlformats.org/officeDocument/2006/relationships/hyperlink" Target="https://www.sciencedirect.com/science/article/pii/S0965856424002830" TargetMode="External"/><Relationship Id="rId363" Type="http://schemas.openxmlformats.org/officeDocument/2006/relationships/hyperlink" Target="https://doi.org/10.1109/OJPEL.2021.3063550" TargetMode="External"/><Relationship Id="rId384" Type="http://schemas.openxmlformats.org/officeDocument/2006/relationships/hyperlink" Target="https://transport.ec.europa.eu/transport-themes/clean-transport/alternative-fuels-sustainable-mobility-europe/alternative-fuels-infrastructure_en" TargetMode="External"/><Relationship Id="rId419" Type="http://schemas.openxmlformats.org/officeDocument/2006/relationships/hyperlink" Target="https://eur-lex.europa.eu/legal-content/EN/TXT/PDF/?uri=CELEX%3A32023R1542" TargetMode="External"/><Relationship Id="rId202" Type="http://schemas.openxmlformats.org/officeDocument/2006/relationships/hyperlink" Target="https://www.zotero.org/google-docs/?vHpZAd" TargetMode="External"/><Relationship Id="rId223" Type="http://schemas.openxmlformats.org/officeDocument/2006/relationships/image" Target="media/image10.png"/><Relationship Id="rId244" Type="http://schemas.openxmlformats.org/officeDocument/2006/relationships/image" Target="media/image28.jpg"/><Relationship Id="rId430" Type="http://schemas.openxmlformats.org/officeDocument/2006/relationships/hyperlink" Target="https://www.reuters.com/sustainability/climate-energy/norways-new-car-sales-were-96-electric-2025-2026-01-02/" TargetMode="External"/><Relationship Id="rId18" Type="http://schemas.openxmlformats.org/officeDocument/2006/relationships/hyperlink" Target="https://www.zotero.org/google-docs/?EBNa6H" TargetMode="External"/><Relationship Id="rId39" Type="http://schemas.openxmlformats.org/officeDocument/2006/relationships/hyperlink" Target="https://www.zotero.org/google-docs/?on4iUf" TargetMode="External"/><Relationship Id="rId265" Type="http://schemas.openxmlformats.org/officeDocument/2006/relationships/hyperlink" Target="https://iea.blob.core.windows.net/assets/a9e3544b-0b12-4e15-b407-65f5c8ce1b5f/GlobalEVOutlook2024.pdf" TargetMode="External"/><Relationship Id="rId286" Type="http://schemas.openxmlformats.org/officeDocument/2006/relationships/hyperlink" Target="https://www.mdpi.com/2071-1050/13/5/2928" TargetMode="External"/><Relationship Id="rId50" Type="http://schemas.openxmlformats.org/officeDocument/2006/relationships/hyperlink" Target="https://www.zotero.org/google-docs/?zZwrxE" TargetMode="External"/><Relationship Id="rId104" Type="http://schemas.openxmlformats.org/officeDocument/2006/relationships/hyperlink" Target="https://www.zotero.org/google-docs/?oxiXmW" TargetMode="External"/><Relationship Id="rId125" Type="http://schemas.openxmlformats.org/officeDocument/2006/relationships/hyperlink" Target="https://www.zotero.org/google-docs/?MES9mg" TargetMode="External"/><Relationship Id="rId146" Type="http://schemas.openxmlformats.org/officeDocument/2006/relationships/hyperlink" Target="https://www.zotero.org/google-docs/?0flpC7" TargetMode="External"/><Relationship Id="rId167" Type="http://schemas.openxmlformats.org/officeDocument/2006/relationships/hyperlink" Target="https://www.zotero.org/google-docs/?IE6rj9" TargetMode="External"/><Relationship Id="rId188" Type="http://schemas.openxmlformats.org/officeDocument/2006/relationships/hyperlink" Target="https://www.zotero.org/google-docs/?79csiO" TargetMode="External"/><Relationship Id="rId311" Type="http://schemas.openxmlformats.org/officeDocument/2006/relationships/hyperlink" Target="https://www.sciencedirect.com/science/article/abs/pii/S136192092400381X" TargetMode="External"/><Relationship Id="rId332" Type="http://schemas.openxmlformats.org/officeDocument/2006/relationships/image" Target="media/image32.jpg"/><Relationship Id="rId353" Type="http://schemas.openxmlformats.org/officeDocument/2006/relationships/hyperlink" Target="https://transport.ec.europa.eu/transport-themes/clean-transport/alternative-fuels-sustainable-mobility-europe/alternative-fuels-infrastructure_en" TargetMode="External"/><Relationship Id="rId374" Type="http://schemas.openxmlformats.org/officeDocument/2006/relationships/hyperlink" Target="https://iea.blob.core.windows.net/assets/0aa4762f-c1cb-4495-987a-25945d6de5e8/GlobalEVOutlook2025.pdf" TargetMode="External"/><Relationship Id="rId395" Type="http://schemas.openxmlformats.org/officeDocument/2006/relationships/hyperlink" Target="https://www.federalregister.gov/documents/2023/02/28/2023-03500/national-electric-vehicle-infrastructure-standards-and-requirements" TargetMode="External"/><Relationship Id="rId409" Type="http://schemas.openxmlformats.org/officeDocument/2006/relationships/hyperlink" Target="https://www.iea.org/reports/global-ev-outlook-2025/electric-vehicle-charging" TargetMode="External"/><Relationship Id="rId71" Type="http://schemas.openxmlformats.org/officeDocument/2006/relationships/image" Target="media/image4.png"/><Relationship Id="rId92" Type="http://schemas.openxmlformats.org/officeDocument/2006/relationships/hyperlink" Target="https://www.zotero.org/google-docs/?x2yilI" TargetMode="External"/><Relationship Id="rId213" Type="http://schemas.openxmlformats.org/officeDocument/2006/relationships/hyperlink" Target="https://www.zotero.org/google-docs/?D0f3Kr" TargetMode="External"/><Relationship Id="rId234" Type="http://schemas.openxmlformats.org/officeDocument/2006/relationships/hyperlink" Target="https://doi.org/10.1016/j.rser.2019.109618" TargetMode="External"/><Relationship Id="rId420" Type="http://schemas.openxmlformats.org/officeDocument/2006/relationships/hyperlink" Target="https://eur-lex.europa.eu/legal-content/EN/TXT/PDF/?uri=CELEX%3A32023R1542" TargetMode="External"/><Relationship Id="rId2" Type="http://schemas.openxmlformats.org/officeDocument/2006/relationships/numbering" Target="numbering.xml"/><Relationship Id="rId29" Type="http://schemas.openxmlformats.org/officeDocument/2006/relationships/hyperlink" Target="https://www.zotero.org/google-docs/?QuoXXa" TargetMode="External"/><Relationship Id="rId255" Type="http://schemas.openxmlformats.org/officeDocument/2006/relationships/hyperlink" Target="https://www.irs.gov/credits-deductions/credits-for-new-clean-vehicles-purchased-in-2023-or-after" TargetMode="External"/><Relationship Id="rId276" Type="http://schemas.openxmlformats.org/officeDocument/2006/relationships/hyperlink" Target="https://www.sciencedirect.com/science/article/abs/pii/S136192092400381X" TargetMode="External"/><Relationship Id="rId297" Type="http://schemas.openxmlformats.org/officeDocument/2006/relationships/hyperlink" Target="https://climate.ec.europa.eu/eu-action/transport-decarbonisation/road-transport/cars-and-vans_en" TargetMode="External"/><Relationship Id="rId40" Type="http://schemas.openxmlformats.org/officeDocument/2006/relationships/hyperlink" Target="https://www.zotero.org/google-docs/?on4iUf" TargetMode="External"/><Relationship Id="rId115" Type="http://schemas.openxmlformats.org/officeDocument/2006/relationships/hyperlink" Target="https://www.zotero.org/google-docs/?SV1eBY" TargetMode="External"/><Relationship Id="rId136" Type="http://schemas.openxmlformats.org/officeDocument/2006/relationships/hyperlink" Target="https://www.zotero.org/google-docs/?qGChNe" TargetMode="External"/><Relationship Id="rId157" Type="http://schemas.openxmlformats.org/officeDocument/2006/relationships/hyperlink" Target="https://www.zotero.org/google-docs/?ytHeSL" TargetMode="External"/><Relationship Id="rId178" Type="http://schemas.openxmlformats.org/officeDocument/2006/relationships/hyperlink" Target="https://www.zotero.org/google-docs/?CfEpZz" TargetMode="External"/><Relationship Id="rId301" Type="http://schemas.openxmlformats.org/officeDocument/2006/relationships/hyperlink" Target="https://www.federalregister.gov/documents/2023/02/28/2023-03500/national-electric-vehicle-infrastructure-standards-and-requirements" TargetMode="External"/><Relationship Id="rId322" Type="http://schemas.openxmlformats.org/officeDocument/2006/relationships/hyperlink" Target="https://www.reuters.com/sustainability/climate-energy/norways-new-car-sales-were-96-electric-2025-2026-01-02/" TargetMode="External"/><Relationship Id="rId343" Type="http://schemas.openxmlformats.org/officeDocument/2006/relationships/hyperlink" Target="https://climate.ec.europa.eu/eu-action/transport-decarbonisation/road-transport/cars-and-vans_en" TargetMode="External"/><Relationship Id="rId364" Type="http://schemas.openxmlformats.org/officeDocument/2006/relationships/hyperlink" Target="https://doi.org/10.1109/ACCESS.2021.3118897" TargetMode="External"/><Relationship Id="rId61" Type="http://schemas.openxmlformats.org/officeDocument/2006/relationships/hyperlink" Target="https://www.zotero.org/google-docs/?KCskEs" TargetMode="External"/><Relationship Id="rId82" Type="http://schemas.openxmlformats.org/officeDocument/2006/relationships/hyperlink" Target="https://www.zotero.org/google-docs/?broken=2feKvv" TargetMode="External"/><Relationship Id="rId199" Type="http://schemas.openxmlformats.org/officeDocument/2006/relationships/hyperlink" Target="https://www.zotero.org/google-docs/?eqye3s" TargetMode="External"/><Relationship Id="rId203" Type="http://schemas.openxmlformats.org/officeDocument/2006/relationships/hyperlink" Target="https://www.zotero.org/google-docs/?vHpZAd" TargetMode="External"/><Relationship Id="rId385" Type="http://schemas.openxmlformats.org/officeDocument/2006/relationships/hyperlink" Target="https://iea.blob.core.windows.net/assets/a9e3544b-0b12-4e15-b407-65f5c8ce1b5f/GlobalEVOutlook2024.pdf" TargetMode="External"/><Relationship Id="rId19" Type="http://schemas.openxmlformats.org/officeDocument/2006/relationships/hyperlink" Target="https://www.zotero.org/google-docs/?EBNa6H" TargetMode="External"/><Relationship Id="rId224" Type="http://schemas.openxmlformats.org/officeDocument/2006/relationships/image" Target="media/image11.png"/><Relationship Id="rId245" Type="http://schemas.openxmlformats.org/officeDocument/2006/relationships/image" Target="media/image29.jpg"/><Relationship Id="rId266" Type="http://schemas.openxmlformats.org/officeDocument/2006/relationships/hyperlink" Target="https://iea.blob.core.windows.net/assets/0aa4762f-c1cb-4495-987a-25945d6de5e8/GlobalEVOutlook2025.pdf" TargetMode="External"/><Relationship Id="rId287" Type="http://schemas.openxmlformats.org/officeDocument/2006/relationships/hyperlink" Target="https://www.sciencedirect.com/science/article/abs/pii/S136192092400381X" TargetMode="External"/><Relationship Id="rId410" Type="http://schemas.openxmlformats.org/officeDocument/2006/relationships/hyperlink" Target="https://www.iea.org/reports/global-ev-outlook-2025/electric-vehicle-charging" TargetMode="External"/><Relationship Id="rId431" Type="http://schemas.openxmlformats.org/officeDocument/2006/relationships/hyperlink" Target="https://www.epa.gov/regulations-emissions-vehicles-and-engines/final-rule-multi-pollutant-emissions-standards-model" TargetMode="External"/><Relationship Id="rId30" Type="http://schemas.openxmlformats.org/officeDocument/2006/relationships/hyperlink" Target="https://www.zotero.org/google-docs/?QuoXXa" TargetMode="External"/><Relationship Id="rId105" Type="http://schemas.openxmlformats.org/officeDocument/2006/relationships/hyperlink" Target="https://www.zotero.org/google-docs/?W7SJDS" TargetMode="External"/><Relationship Id="rId126" Type="http://schemas.openxmlformats.org/officeDocument/2006/relationships/hyperlink" Target="https://www.zotero.org/google-docs/?MES9mg" TargetMode="External"/><Relationship Id="rId147" Type="http://schemas.openxmlformats.org/officeDocument/2006/relationships/hyperlink" Target="https://www.zotero.org/google-docs/?HlTUaJ" TargetMode="External"/><Relationship Id="rId168" Type="http://schemas.openxmlformats.org/officeDocument/2006/relationships/hyperlink" Target="https://www.zotero.org/google-docs/?GuSO7m" TargetMode="External"/><Relationship Id="rId312" Type="http://schemas.openxmlformats.org/officeDocument/2006/relationships/hyperlink" Target="https://www.sciencedirect.com/science/article/abs/pii/S0965856421001415" TargetMode="External"/><Relationship Id="rId333" Type="http://schemas.openxmlformats.org/officeDocument/2006/relationships/hyperlink" Target="https://iea.blob.core.windows.net/assets/0aa4762f-c1cb-4495-987a-25945d6de5e8/GlobalEVOutlook2025.pdf" TargetMode="External"/><Relationship Id="rId354" Type="http://schemas.openxmlformats.org/officeDocument/2006/relationships/image" Target="media/image33.png"/><Relationship Id="rId51" Type="http://schemas.openxmlformats.org/officeDocument/2006/relationships/hyperlink" Target="https://www.zotero.org/google-docs/?KCskEs" TargetMode="External"/><Relationship Id="rId72" Type="http://schemas.openxmlformats.org/officeDocument/2006/relationships/hyperlink" Target="https://www.zotero.org/google-docs/?Iy0dCJ" TargetMode="External"/><Relationship Id="rId93" Type="http://schemas.openxmlformats.org/officeDocument/2006/relationships/hyperlink" Target="https://www.zotero.org/google-docs/?x2yilI" TargetMode="External"/><Relationship Id="rId189" Type="http://schemas.openxmlformats.org/officeDocument/2006/relationships/hyperlink" Target="https://www.zotero.org/google-docs/?79csiO" TargetMode="External"/><Relationship Id="rId375" Type="http://schemas.openxmlformats.org/officeDocument/2006/relationships/hyperlink" Target="https://iea.blob.core.windows.net/assets/0aa4762f-c1cb-4495-987a-25945d6de5e8/GlobalEVOutlook2025.pdf" TargetMode="External"/><Relationship Id="rId396" Type="http://schemas.openxmlformats.org/officeDocument/2006/relationships/hyperlink" Target="https://www.federalregister.gov/documents/2023/02/28/2023-03500/national-electric-vehicle-infrastructure-standards-and-requirements" TargetMode="External"/><Relationship Id="rId3" Type="http://schemas.openxmlformats.org/officeDocument/2006/relationships/styles" Target="styles.xml"/><Relationship Id="rId214" Type="http://schemas.openxmlformats.org/officeDocument/2006/relationships/hyperlink" Target="https://www.zotero.org/google-docs/?D0f3Kr" TargetMode="External"/><Relationship Id="rId235" Type="http://schemas.openxmlformats.org/officeDocument/2006/relationships/image" Target="media/image21.png"/><Relationship Id="rId256" Type="http://schemas.openxmlformats.org/officeDocument/2006/relationships/hyperlink" Target="https://www.irs.gov/credits-deductions/credits-for-new-clean-vehicles-purchased-in-2023-or-after" TargetMode="External"/><Relationship Id="rId277" Type="http://schemas.openxmlformats.org/officeDocument/2006/relationships/hyperlink" Target="https://www.iea.org/data-and-statistics/data-tools/global-ev-policy-explorer" TargetMode="External"/><Relationship Id="rId298" Type="http://schemas.openxmlformats.org/officeDocument/2006/relationships/hyperlink" Target="https://transport.ec.europa.eu/transport-themes/clean-transport/alternative-fuels-sustainable-mobility-europe/alternative-fuels-infrastructure_en" TargetMode="External"/><Relationship Id="rId400" Type="http://schemas.openxmlformats.org/officeDocument/2006/relationships/hyperlink" Target="https://www.sciencedirect.com/science/article/abs/pii/S1364032123008729" TargetMode="External"/><Relationship Id="rId421" Type="http://schemas.openxmlformats.org/officeDocument/2006/relationships/hyperlink" Target="https://theicct.org/sites/default/files/publications/ICCT_China-NEV-mandate_policy-update_20180111.pdf" TargetMode="External"/><Relationship Id="rId116" Type="http://schemas.openxmlformats.org/officeDocument/2006/relationships/hyperlink" Target="https://www.zotero.org/google-docs/?SV1eBY" TargetMode="External"/><Relationship Id="rId137" Type="http://schemas.openxmlformats.org/officeDocument/2006/relationships/hyperlink" Target="https://www.zotero.org/google-docs/?qGChNe" TargetMode="External"/><Relationship Id="rId158" Type="http://schemas.openxmlformats.org/officeDocument/2006/relationships/hyperlink" Target="https://www.zotero.org/google-docs/?ytHeSL" TargetMode="External"/><Relationship Id="rId302" Type="http://schemas.openxmlformats.org/officeDocument/2006/relationships/hyperlink" Target="https://www.irs.gov/credits-deductions/credits-for-new-clean-vehicles-purchased-in-2023-or-after" TargetMode="External"/><Relationship Id="rId323" Type="http://schemas.openxmlformats.org/officeDocument/2006/relationships/hyperlink" Target="https://www.acea.auto/pc-registrations/new-car-registrations-1-8-in-2025-battery-electric-17-4-market-share/" TargetMode="External"/><Relationship Id="rId344" Type="http://schemas.openxmlformats.org/officeDocument/2006/relationships/hyperlink" Target="https://transport.ec.europa.eu/transport-themes/clean-transport/alternative-fuels-sustainable-mobility-europe/alternative-fuels-infrastructure_en" TargetMode="External"/><Relationship Id="rId20" Type="http://schemas.openxmlformats.org/officeDocument/2006/relationships/hyperlink" Target="https://www.zotero.org/google-docs/?EBNa6H" TargetMode="External"/><Relationship Id="rId41" Type="http://schemas.openxmlformats.org/officeDocument/2006/relationships/hyperlink" Target="https://www.zotero.org/google-docs/?on4iUf" TargetMode="External"/><Relationship Id="rId62" Type="http://schemas.openxmlformats.org/officeDocument/2006/relationships/hyperlink" Target="https://www.zotero.org/google-docs/?KCskEs" TargetMode="External"/><Relationship Id="rId83" Type="http://schemas.openxmlformats.org/officeDocument/2006/relationships/hyperlink" Target="https://www.zotero.org/google-docs/?broken=2feKvv" TargetMode="External"/><Relationship Id="rId179" Type="http://schemas.openxmlformats.org/officeDocument/2006/relationships/hyperlink" Target="https://www.zotero.org/google-docs/?CUQFH0" TargetMode="External"/><Relationship Id="rId365" Type="http://schemas.openxmlformats.org/officeDocument/2006/relationships/hyperlink" Target="https://doi.org/10.3390/mi15121470" TargetMode="External"/><Relationship Id="rId386" Type="http://schemas.openxmlformats.org/officeDocument/2006/relationships/hyperlink" Target="https://iea.blob.core.windows.net/assets/a9e3544b-0b12-4e15-b407-65f5c8ce1b5f/GlobalEVOutlook2024.pdf" TargetMode="External"/><Relationship Id="rId190" Type="http://schemas.openxmlformats.org/officeDocument/2006/relationships/hyperlink" Target="https://www.zotero.org/google-docs/?79csiO" TargetMode="External"/><Relationship Id="rId204" Type="http://schemas.openxmlformats.org/officeDocument/2006/relationships/hyperlink" Target="https://www.zotero.org/google-docs/?Wz9m0x" TargetMode="External"/><Relationship Id="rId225" Type="http://schemas.openxmlformats.org/officeDocument/2006/relationships/image" Target="media/image12.png"/><Relationship Id="rId246" Type="http://schemas.openxmlformats.org/officeDocument/2006/relationships/hyperlink" Target="https://iea.blob.core.windows.net/assets/0aa4762f-c1cb-4495-987a-25945d6de5e8/GlobalEVOutlook2025.pdf" TargetMode="External"/><Relationship Id="rId267" Type="http://schemas.openxmlformats.org/officeDocument/2006/relationships/hyperlink" Target="https://www.sciencedirect.com/science/article/pii/S0965856424002659" TargetMode="External"/><Relationship Id="rId288" Type="http://schemas.openxmlformats.org/officeDocument/2006/relationships/hyperlink" Target="https://www.sciencedirect.com/science/article/abs/pii/S0965856421001415" TargetMode="External"/><Relationship Id="rId411" Type="http://schemas.openxmlformats.org/officeDocument/2006/relationships/hyperlink" Target="https://eur-lex.europa.eu/eli/reg/2021/2190/oj/eng" TargetMode="External"/><Relationship Id="rId432" Type="http://schemas.openxmlformats.org/officeDocument/2006/relationships/hyperlink" Target="https://www.epa.gov/regulations-emissions-vehicles-and-engines/final-rule-multi-pollutant-emissions-standards-model" TargetMode="External"/><Relationship Id="rId106" Type="http://schemas.openxmlformats.org/officeDocument/2006/relationships/hyperlink" Target="https://www.zotero.org/google-docs/?W7SJDS" TargetMode="External"/><Relationship Id="rId127" Type="http://schemas.openxmlformats.org/officeDocument/2006/relationships/hyperlink" Target="https://www.zotero.org/google-docs/?MES9mg" TargetMode="External"/><Relationship Id="rId313" Type="http://schemas.openxmlformats.org/officeDocument/2006/relationships/hyperlink" Target="https://www.gov.uk/government/news/pathway-for-zero-emission-vehicle-transition-by-2035-becomes-law" TargetMode="External"/><Relationship Id="rId10" Type="http://schemas.openxmlformats.org/officeDocument/2006/relationships/hyperlink" Target="https://www.zotero.org/google-docs/?d8z50p" TargetMode="External"/><Relationship Id="rId31" Type="http://schemas.openxmlformats.org/officeDocument/2006/relationships/hyperlink" Target="https://www.zotero.org/google-docs/?QuoXXa" TargetMode="External"/><Relationship Id="rId52" Type="http://schemas.openxmlformats.org/officeDocument/2006/relationships/hyperlink" Target="https://www.zotero.org/google-docs/?KCskEs" TargetMode="External"/><Relationship Id="rId73" Type="http://schemas.openxmlformats.org/officeDocument/2006/relationships/hyperlink" Target="https://www.zotero.org/google-docs/?Iy0dCJ" TargetMode="External"/><Relationship Id="rId94" Type="http://schemas.openxmlformats.org/officeDocument/2006/relationships/hyperlink" Target="https://www.zotero.org/google-docs/?x2yilI" TargetMode="External"/><Relationship Id="rId148" Type="http://schemas.openxmlformats.org/officeDocument/2006/relationships/hyperlink" Target="https://www.zotero.org/google-docs/?HlTUaJ" TargetMode="External"/><Relationship Id="rId169" Type="http://schemas.openxmlformats.org/officeDocument/2006/relationships/hyperlink" Target="https://www.zotero.org/google-docs/?bm9JnR" TargetMode="External"/><Relationship Id="rId334" Type="http://schemas.openxmlformats.org/officeDocument/2006/relationships/hyperlink" Target="https://transport.ec.europa.eu/transport-themes/clean-transport/alternative-fuels-sustainable-mobility-europe/alternative-fuels-infrastructure_en" TargetMode="External"/><Relationship Id="rId355" Type="http://schemas.openxmlformats.org/officeDocument/2006/relationships/image" Target="media/image34.png"/><Relationship Id="rId376" Type="http://schemas.openxmlformats.org/officeDocument/2006/relationships/hyperlink" Target="https://www.sciencedirect.com/science/article/abs/pii/S136192092400381X" TargetMode="External"/><Relationship Id="rId397" Type="http://schemas.openxmlformats.org/officeDocument/2006/relationships/hyperlink" Target="https://www.iea.org/reports/global-ev-outlook-2025/executive-summary" TargetMode="External"/><Relationship Id="rId4" Type="http://schemas.openxmlformats.org/officeDocument/2006/relationships/settings" Target="settings.xml"/><Relationship Id="rId180" Type="http://schemas.openxmlformats.org/officeDocument/2006/relationships/hyperlink" Target="https://www.zotero.org/google-docs/?CUQFH0" TargetMode="External"/><Relationship Id="rId215" Type="http://schemas.openxmlformats.org/officeDocument/2006/relationships/hyperlink" Target="https://www.zotero.org/google-docs/?D0f3Kr" TargetMode="External"/><Relationship Id="rId236" Type="http://schemas.openxmlformats.org/officeDocument/2006/relationships/hyperlink" Target="https://doi.org/10.1016/j.rser.2019.109618" TargetMode="External"/><Relationship Id="rId257" Type="http://schemas.openxmlformats.org/officeDocument/2006/relationships/hyperlink" Target="https://www.irs.gov/credits-deductions/credits-for-new-clean-vehicles-purchased-in-2023-or-after" TargetMode="External"/><Relationship Id="rId278" Type="http://schemas.openxmlformats.org/officeDocument/2006/relationships/hyperlink" Target="https://www.sciencedirect.com/science/article/pii/S0965856424002659" TargetMode="External"/><Relationship Id="rId401" Type="http://schemas.openxmlformats.org/officeDocument/2006/relationships/hyperlink" Target="https://www.mdpi.com/2071-1050/13/5/2928" TargetMode="External"/><Relationship Id="rId422" Type="http://schemas.openxmlformats.org/officeDocument/2006/relationships/hyperlink" Target="https://theicct.org/sites/default/files/publications/ICCT_China-NEV-mandate_policy-update_20180111.pdf" TargetMode="External"/><Relationship Id="rId303" Type="http://schemas.openxmlformats.org/officeDocument/2006/relationships/hyperlink" Target="https://eur-lex.europa.eu/legal-content/EN/TXT/PDF/?uri=OJ%3AL_202500005" TargetMode="External"/><Relationship Id="rId42" Type="http://schemas.openxmlformats.org/officeDocument/2006/relationships/hyperlink" Target="https://www.zotero.org/google-docs/?on4iUf" TargetMode="External"/><Relationship Id="rId84" Type="http://schemas.openxmlformats.org/officeDocument/2006/relationships/hyperlink" Target="https://www.zotero.org/google-docs/?EvLOUb" TargetMode="External"/><Relationship Id="rId138" Type="http://schemas.openxmlformats.org/officeDocument/2006/relationships/hyperlink" Target="https://www.zotero.org/google-docs/?okZCiG" TargetMode="External"/><Relationship Id="rId345" Type="http://schemas.openxmlformats.org/officeDocument/2006/relationships/hyperlink" Target="https://www.iea.org/reports/global-ev-outlook-2025/executive-summary" TargetMode="External"/><Relationship Id="rId387" Type="http://schemas.openxmlformats.org/officeDocument/2006/relationships/hyperlink" Target="https://www.sciencedirect.com/science/article/pii/S0965856424002659" TargetMode="External"/><Relationship Id="rId191" Type="http://schemas.openxmlformats.org/officeDocument/2006/relationships/hyperlink" Target="https://www.zotero.org/google-docs/?gibYRh" TargetMode="External"/><Relationship Id="rId205" Type="http://schemas.openxmlformats.org/officeDocument/2006/relationships/hyperlink" Target="https://www.zotero.org/google-docs/?Wz9m0x" TargetMode="External"/><Relationship Id="rId247" Type="http://schemas.openxmlformats.org/officeDocument/2006/relationships/hyperlink" Target="https://iea.blob.core.windows.net/assets/0aa4762f-c1cb-4495-987a-25945d6de5e8/GlobalEVOutlook2025.pdf" TargetMode="External"/><Relationship Id="rId412" Type="http://schemas.openxmlformats.org/officeDocument/2006/relationships/hyperlink" Target="https://eur-lex.europa.eu/eli/reg/2021/2190/oj/eng" TargetMode="External"/><Relationship Id="rId107" Type="http://schemas.openxmlformats.org/officeDocument/2006/relationships/hyperlink" Target="https://www.zotero.org/google-docs/?W7SJDS" TargetMode="External"/><Relationship Id="rId289" Type="http://schemas.openxmlformats.org/officeDocument/2006/relationships/hyperlink" Target="https://www.sciencedirect.com/science/article/pii/S0965856424002830" TargetMode="External"/><Relationship Id="rId11" Type="http://schemas.openxmlformats.org/officeDocument/2006/relationships/hyperlink" Target="https://www.zotero.org/google-docs/?d8z50p" TargetMode="External"/><Relationship Id="rId53" Type="http://schemas.openxmlformats.org/officeDocument/2006/relationships/hyperlink" Target="https://www.zotero.org/google-docs/?KCskEs" TargetMode="External"/><Relationship Id="rId149" Type="http://schemas.openxmlformats.org/officeDocument/2006/relationships/hyperlink" Target="https://www.zotero.org/google-docs/?HlTUaJ" TargetMode="External"/><Relationship Id="rId314" Type="http://schemas.openxmlformats.org/officeDocument/2006/relationships/hyperlink" Target="https://www.sciencedirect.com/science/article/abs/pii/S136192092400381X" TargetMode="External"/><Relationship Id="rId356" Type="http://schemas.openxmlformats.org/officeDocument/2006/relationships/image" Target="media/image35.png"/><Relationship Id="rId398" Type="http://schemas.openxmlformats.org/officeDocument/2006/relationships/hyperlink" Target="https://www.iea.org/reports/global-ev-outlook-2025/executive-summary" TargetMode="External"/><Relationship Id="rId95" Type="http://schemas.openxmlformats.org/officeDocument/2006/relationships/hyperlink" Target="https://www.zotero.org/google-docs/?P4zxav" TargetMode="External"/><Relationship Id="rId160" Type="http://schemas.openxmlformats.org/officeDocument/2006/relationships/hyperlink" Target="https://www.zotero.org/google-docs/?ytHeSL" TargetMode="External"/><Relationship Id="rId216" Type="http://schemas.openxmlformats.org/officeDocument/2006/relationships/hyperlink" Target="https://www.zotero.org/google-docs/?D0f3Kr" TargetMode="External"/><Relationship Id="rId423" Type="http://schemas.openxmlformats.org/officeDocument/2006/relationships/hyperlink" Target="https://english.www.gov.cn/news/202306/21/content_WS64929394c6d0868f4e8dd11c.html" TargetMode="External"/><Relationship Id="rId258" Type="http://schemas.openxmlformats.org/officeDocument/2006/relationships/hyperlink" Target="https://www.oecd.org/en/publications/2021/09/ipac-policies-in-practice_1a65968e/norway-s-evolving-incentives-for-zero-emission-vehicles_c74c1e9d.html" TargetMode="External"/><Relationship Id="rId22" Type="http://schemas.openxmlformats.org/officeDocument/2006/relationships/hyperlink" Target="https://www.zotero.org/google-docs/?QuoXXa" TargetMode="External"/><Relationship Id="rId64" Type="http://schemas.openxmlformats.org/officeDocument/2006/relationships/hyperlink" Target="https://www.zotero.org/google-docs/?KCskEs" TargetMode="External"/><Relationship Id="rId118" Type="http://schemas.openxmlformats.org/officeDocument/2006/relationships/hyperlink" Target="https://www.zotero.org/google-docs/?YFKobt" TargetMode="External"/><Relationship Id="rId325" Type="http://schemas.openxmlformats.org/officeDocument/2006/relationships/hyperlink" Target="https://theicct.org/sites/default/files/publications/ICCT_China-NEV-mandate_policy-update_20180111.pdf" TargetMode="External"/><Relationship Id="rId367" Type="http://schemas.openxmlformats.org/officeDocument/2006/relationships/hyperlink" Target="https://doi.org/10.1109/ACCESS.2023.3257124" TargetMode="External"/><Relationship Id="rId171" Type="http://schemas.openxmlformats.org/officeDocument/2006/relationships/hyperlink" Target="https://www.zotero.org/google-docs/?bm9JnR" TargetMode="External"/><Relationship Id="rId227" Type="http://schemas.openxmlformats.org/officeDocument/2006/relationships/image" Target="media/image14.png"/><Relationship Id="rId269" Type="http://schemas.openxmlformats.org/officeDocument/2006/relationships/hyperlink" Target="https://transport.ec.europa.eu/transport-themes/clean-transport/alternative-fuels-sustainable-mobility-europe/alternative-fuels-infrastructure_en" TargetMode="External"/><Relationship Id="rId434" Type="http://schemas.openxmlformats.org/officeDocument/2006/relationships/hyperlink" Target="https://ww2.arb.ca.gov/our-work/programs/drive-forward-light-duty-vehicle-program/advanced-clean-cars" TargetMode="External"/><Relationship Id="rId33" Type="http://schemas.openxmlformats.org/officeDocument/2006/relationships/hyperlink" Target="https://www.zotero.org/google-docs/?iXNdxS" TargetMode="External"/><Relationship Id="rId129" Type="http://schemas.openxmlformats.org/officeDocument/2006/relationships/hyperlink" Target="https://www.zotero.org/google-docs/?6777Xi" TargetMode="External"/><Relationship Id="rId280" Type="http://schemas.openxmlformats.org/officeDocument/2006/relationships/hyperlink" Target="https://iea.blob.core.windows.net/assets/0aa4762f-c1cb-4495-987a-25945d6de5e8/GlobalEVOutlook2025.pdf" TargetMode="External"/><Relationship Id="rId336" Type="http://schemas.openxmlformats.org/officeDocument/2006/relationships/hyperlink" Target="https://eur-lex.europa.eu/legal-content/EN/TXT/PDF/?uri=OJ%3AL_202500005" TargetMode="External"/><Relationship Id="rId75" Type="http://schemas.openxmlformats.org/officeDocument/2006/relationships/hyperlink" Target="https://www.zotero.org/google-docs/?1ZVVo7" TargetMode="External"/><Relationship Id="rId140" Type="http://schemas.openxmlformats.org/officeDocument/2006/relationships/hyperlink" Target="https://www.zotero.org/google-docs/?okZCiG" TargetMode="External"/><Relationship Id="rId182" Type="http://schemas.openxmlformats.org/officeDocument/2006/relationships/hyperlink" Target="https://www.zotero.org/google-docs/?CUQFH0" TargetMode="External"/><Relationship Id="rId378" Type="http://schemas.openxmlformats.org/officeDocument/2006/relationships/hyperlink" Target="https://climate.ec.europa.eu/eu-action/transport-decarbonisation/road-transport/cars-and-vans_en" TargetMode="External"/><Relationship Id="rId403" Type="http://schemas.openxmlformats.org/officeDocument/2006/relationships/hyperlink" Target="https://www.sciencedirect.com/science/article/abs/pii/S0965856421001415" TargetMode="External"/><Relationship Id="rId6" Type="http://schemas.openxmlformats.org/officeDocument/2006/relationships/image" Target="media/image1.png"/><Relationship Id="rId238" Type="http://schemas.openxmlformats.org/officeDocument/2006/relationships/image" Target="media/image23.png"/><Relationship Id="rId291" Type="http://schemas.openxmlformats.org/officeDocument/2006/relationships/hyperlink" Target="https://iea.blob.core.windows.net/assets/0aa4762f-c1cb-4495-987a-25945d6de5e8/GlobalEVOutlook2025.pdf" TargetMode="External"/><Relationship Id="rId305" Type="http://schemas.openxmlformats.org/officeDocument/2006/relationships/hyperlink" Target="https://www.congress.gov/crs-product/IF12600" TargetMode="External"/><Relationship Id="rId347" Type="http://schemas.openxmlformats.org/officeDocument/2006/relationships/hyperlink" Target="https://www.sciencedirect.com/science/article/pii/S0965856424002659" TargetMode="External"/><Relationship Id="rId44" Type="http://schemas.openxmlformats.org/officeDocument/2006/relationships/hyperlink" Target="https://www.zotero.org/google-docs/?Q93fhu" TargetMode="External"/><Relationship Id="rId86" Type="http://schemas.openxmlformats.org/officeDocument/2006/relationships/hyperlink" Target="https://www.zotero.org/google-docs/?EvLOUb" TargetMode="External"/><Relationship Id="rId151" Type="http://schemas.openxmlformats.org/officeDocument/2006/relationships/hyperlink" Target="https://www.zotero.org/google-docs/?8rFfps" TargetMode="External"/><Relationship Id="rId389" Type="http://schemas.openxmlformats.org/officeDocument/2006/relationships/hyperlink" Target="https://www.iea.org/reports/global-ev-outlook-2025" TargetMode="External"/><Relationship Id="rId193" Type="http://schemas.openxmlformats.org/officeDocument/2006/relationships/hyperlink" Target="https://www.zotero.org/google-docs/?WpVft9" TargetMode="External"/><Relationship Id="rId207" Type="http://schemas.openxmlformats.org/officeDocument/2006/relationships/hyperlink" Target="https://www.zotero.org/google-docs/?s40EyZ" TargetMode="External"/><Relationship Id="rId249" Type="http://schemas.openxmlformats.org/officeDocument/2006/relationships/hyperlink" Target="https://www.sciencedirect.com/science/article/abs/pii/S136192092400381X" TargetMode="External"/><Relationship Id="rId414" Type="http://schemas.openxmlformats.org/officeDocument/2006/relationships/hyperlink" Target="https://www.iea.org/policies/27375-regulation-eu-20231804-alternative-fuels-infrastructure-regulation" TargetMode="External"/><Relationship Id="rId13" Type="http://schemas.openxmlformats.org/officeDocument/2006/relationships/hyperlink" Target="https://www.zotero.org/google-docs/?EBNa6H" TargetMode="External"/><Relationship Id="rId109" Type="http://schemas.openxmlformats.org/officeDocument/2006/relationships/hyperlink" Target="https://www.zotero.org/google-docs/?lJidLY" TargetMode="External"/><Relationship Id="rId260" Type="http://schemas.openxmlformats.org/officeDocument/2006/relationships/hyperlink" Target="https://www.oecd.org/en/publications/2021/09/ipac-policies-in-practice_1a65968e/norway-s-evolving-incentives-for-zero-emission-vehicles_c74c1e9d.html" TargetMode="External"/><Relationship Id="rId316" Type="http://schemas.openxmlformats.org/officeDocument/2006/relationships/hyperlink" Target="https://eur-lex.europa.eu/eli/reg/2021/2190/oj/eng" TargetMode="External"/><Relationship Id="rId55" Type="http://schemas.openxmlformats.org/officeDocument/2006/relationships/hyperlink" Target="https://www.zotero.org/google-docs/?KCskEs" TargetMode="External"/><Relationship Id="rId97" Type="http://schemas.openxmlformats.org/officeDocument/2006/relationships/hyperlink" Target="https://www.zotero.org/google-docs/?P4zxav" TargetMode="External"/><Relationship Id="rId120" Type="http://schemas.openxmlformats.org/officeDocument/2006/relationships/hyperlink" Target="https://www.zotero.org/google-docs/?19JJQN" TargetMode="External"/><Relationship Id="rId358" Type="http://schemas.openxmlformats.org/officeDocument/2006/relationships/hyperlink" Target="https://doi.org/10.1016/j.apenergy.2023.122496" TargetMode="External"/><Relationship Id="rId162" Type="http://schemas.openxmlformats.org/officeDocument/2006/relationships/hyperlink" Target="https://www.zotero.org/google-docs/?REJ8Dh" TargetMode="External"/><Relationship Id="rId218" Type="http://schemas.openxmlformats.org/officeDocument/2006/relationships/hyperlink" Target="https://www.zotero.org/google-docs/?r755a2" TargetMode="External"/><Relationship Id="rId425" Type="http://schemas.openxmlformats.org/officeDocument/2006/relationships/hyperlink" Target="https://www.gov.uk/government/news/pathway-for-zero-emission-vehicle-transition-by-2035-becomes-law" TargetMode="External"/><Relationship Id="rId271" Type="http://schemas.openxmlformats.org/officeDocument/2006/relationships/hyperlink" Target="https://www.sciencedirect.com/science/article/abs/pii/S136192092400381X" TargetMode="External"/><Relationship Id="rId24" Type="http://schemas.openxmlformats.org/officeDocument/2006/relationships/hyperlink" Target="https://www.zotero.org/google-docs/?QuoXXa" TargetMode="External"/><Relationship Id="rId66" Type="http://schemas.openxmlformats.org/officeDocument/2006/relationships/hyperlink" Target="https://www.zotero.org/google-docs/?BFVaZP" TargetMode="External"/><Relationship Id="rId131" Type="http://schemas.openxmlformats.org/officeDocument/2006/relationships/hyperlink" Target="https://www.zotero.org/google-docs/?DkHZvK" TargetMode="External"/><Relationship Id="rId327" Type="http://schemas.openxmlformats.org/officeDocument/2006/relationships/hyperlink" Target="https://transport.ec.europa.eu/transport-themes/clean-transport/alternative-fuels-sustainable-mobility-europe/alternative-fuels-infrastructure_en" TargetMode="External"/><Relationship Id="rId369" Type="http://schemas.openxmlformats.org/officeDocument/2006/relationships/hyperlink" Target="https://doi.org/10.1016/j.enpol.2021.112564" TargetMode="External"/><Relationship Id="rId173" Type="http://schemas.openxmlformats.org/officeDocument/2006/relationships/hyperlink" Target="https://www.zotero.org/google-docs/?rbQ0Vj" TargetMode="External"/><Relationship Id="rId229" Type="http://schemas.openxmlformats.org/officeDocument/2006/relationships/image" Target="media/image16.png"/><Relationship Id="rId380" Type="http://schemas.openxmlformats.org/officeDocument/2006/relationships/hyperlink" Target="https://www.irs.gov/credits-deductions/credits-for-new-clean-vehicles-purchased-in-2023-or-after" TargetMode="External"/><Relationship Id="rId436" Type="http://schemas.openxmlformats.org/officeDocument/2006/relationships/hyperlink" Target="https://eur-lex.europa.eu/eli/reg/2021/388/oj/eng" TargetMode="External"/><Relationship Id="rId240" Type="http://schemas.openxmlformats.org/officeDocument/2006/relationships/hyperlink" Target="https://doi.org/10.1016/j.rser.2019.109618" TargetMode="External"/><Relationship Id="rId35" Type="http://schemas.openxmlformats.org/officeDocument/2006/relationships/hyperlink" Target="https://www.zotero.org/google-docs/?Gwx99I" TargetMode="External"/><Relationship Id="rId77" Type="http://schemas.openxmlformats.org/officeDocument/2006/relationships/hyperlink" Target="https://www.zotero.org/google-docs/?1ZVVo7" TargetMode="External"/><Relationship Id="rId100" Type="http://schemas.openxmlformats.org/officeDocument/2006/relationships/hyperlink" Target="https://www.zotero.org/google-docs/?BU1Y2F" TargetMode="External"/><Relationship Id="rId282" Type="http://schemas.openxmlformats.org/officeDocument/2006/relationships/hyperlink" Target="https://transport.ec.europa.eu/transport-themes/clean-transport/alternative-fuels-sustainable-mobility-europe/alternative-fuels-infrastructure_en" TargetMode="External"/><Relationship Id="rId338" Type="http://schemas.openxmlformats.org/officeDocument/2006/relationships/hyperlink" Target="https://eur-lex.europa.eu/eli/reg/2021/2190/oj/eng" TargetMode="External"/><Relationship Id="rId8" Type="http://schemas.openxmlformats.org/officeDocument/2006/relationships/hyperlink" Target="https://www.zotero.org/google-docs/?d8z50p" TargetMode="External"/><Relationship Id="rId142" Type="http://schemas.openxmlformats.org/officeDocument/2006/relationships/hyperlink" Target="https://www.zotero.org/google-docs/?HpzzO3" TargetMode="External"/><Relationship Id="rId184" Type="http://schemas.openxmlformats.org/officeDocument/2006/relationships/hyperlink" Target="https://www.zotero.org/google-docs/?DfeyGc" TargetMode="External"/><Relationship Id="rId391" Type="http://schemas.openxmlformats.org/officeDocument/2006/relationships/hyperlink" Target="https://www.iea.org/data-and-statistics/data-tools/global-ev-policy-explorer" TargetMode="External"/><Relationship Id="rId405" Type="http://schemas.openxmlformats.org/officeDocument/2006/relationships/hyperlink" Target="https://www.sciencedirect.com/science/article/pii/S0965856424002830" TargetMode="External"/><Relationship Id="rId251" Type="http://schemas.openxmlformats.org/officeDocument/2006/relationships/hyperlink" Target="https://www.sciencedirect.com/science/article/abs/pii/S136192092400381X" TargetMode="External"/><Relationship Id="rId46" Type="http://schemas.openxmlformats.org/officeDocument/2006/relationships/hyperlink" Target="https://www.zotero.org/google-docs/?Q93fhu" TargetMode="External"/><Relationship Id="rId293" Type="http://schemas.openxmlformats.org/officeDocument/2006/relationships/hyperlink" Target="https://iea.blob.core.windows.net/assets/0aa4762f-c1cb-4495-987a-25945d6de5e8/GlobalEVOutlook2025.pdf" TargetMode="External"/><Relationship Id="rId307" Type="http://schemas.openxmlformats.org/officeDocument/2006/relationships/hyperlink" Target="https://eur-lex.europa.eu/legal-content/EN/TXT/PDF/?uri=CELEX%3A32023R1542" TargetMode="External"/><Relationship Id="rId349" Type="http://schemas.openxmlformats.org/officeDocument/2006/relationships/hyperlink" Target="https://www.irs.gov/credits-deductions/credits-for-new-clean-vehicles-purchased-in-2023-or-after" TargetMode="External"/><Relationship Id="rId88" Type="http://schemas.openxmlformats.org/officeDocument/2006/relationships/hyperlink" Target="https://www.zotero.org/google-docs/?EvLOUb" TargetMode="External"/><Relationship Id="rId111" Type="http://schemas.openxmlformats.org/officeDocument/2006/relationships/image" Target="media/image6.png"/><Relationship Id="rId153" Type="http://schemas.openxmlformats.org/officeDocument/2006/relationships/hyperlink" Target="https://www.zotero.org/google-docs/?8Cre9j" TargetMode="External"/><Relationship Id="rId195" Type="http://schemas.openxmlformats.org/officeDocument/2006/relationships/hyperlink" Target="https://www.zotero.org/google-docs/?wFRAks" TargetMode="External"/><Relationship Id="rId209" Type="http://schemas.openxmlformats.org/officeDocument/2006/relationships/hyperlink" Target="https://www.zotero.org/google-docs/?s40EyZ" TargetMode="External"/><Relationship Id="rId360" Type="http://schemas.openxmlformats.org/officeDocument/2006/relationships/hyperlink" Target="https://doi.org/10.1109/ACCESS.2024.3435463" TargetMode="External"/><Relationship Id="rId416" Type="http://schemas.openxmlformats.org/officeDocument/2006/relationships/hyperlink" Target="https://home.treasury.gov/news/press-releases/jy1379" TargetMode="External"/><Relationship Id="rId220" Type="http://schemas.openxmlformats.org/officeDocument/2006/relationships/hyperlink" Target="https://www.zotero.org/google-docs/?r755a2" TargetMode="External"/><Relationship Id="rId15" Type="http://schemas.openxmlformats.org/officeDocument/2006/relationships/hyperlink" Target="https://www.zotero.org/google-docs/?EBNa6H" TargetMode="External"/><Relationship Id="rId57" Type="http://schemas.openxmlformats.org/officeDocument/2006/relationships/hyperlink" Target="https://www.zotero.org/google-docs/?KCskEs" TargetMode="External"/><Relationship Id="rId262" Type="http://schemas.openxmlformats.org/officeDocument/2006/relationships/hyperlink" Target="https://iea.blob.core.windows.net/assets/a9e3544b-0b12-4e15-b407-65f5c8ce1b5f/GlobalEVOutlook2024.pdf" TargetMode="External"/><Relationship Id="rId318" Type="http://schemas.openxmlformats.org/officeDocument/2006/relationships/hyperlink" Target="https://iea.blob.core.windows.net/assets/0aa4762f-c1cb-4495-987a-25945d6de5e8/GlobalEVOutlook2025.pdf" TargetMode="External"/><Relationship Id="rId99" Type="http://schemas.openxmlformats.org/officeDocument/2006/relationships/hyperlink" Target="https://www.zotero.org/google-docs/?BU1Y2F" TargetMode="External"/><Relationship Id="rId122" Type="http://schemas.openxmlformats.org/officeDocument/2006/relationships/hyperlink" Target="https://www.zotero.org/google-docs/?19JJQN" TargetMode="External"/><Relationship Id="rId164" Type="http://schemas.openxmlformats.org/officeDocument/2006/relationships/image" Target="media/image7.png"/><Relationship Id="rId371" Type="http://schemas.openxmlformats.org/officeDocument/2006/relationships/hyperlink" Target="https://doi.org/10.1016/j.energy.2021.121608" TargetMode="External"/><Relationship Id="rId427" Type="http://schemas.openxmlformats.org/officeDocument/2006/relationships/hyperlink" Target="https://heavyindustries.gov.in/en/fame-ii" TargetMode="External"/><Relationship Id="rId26" Type="http://schemas.openxmlformats.org/officeDocument/2006/relationships/hyperlink" Target="https://www.zotero.org/google-docs/?QuoXXa" TargetMode="External"/><Relationship Id="rId231" Type="http://schemas.openxmlformats.org/officeDocument/2006/relationships/image" Target="media/image18.png"/><Relationship Id="rId273" Type="http://schemas.openxmlformats.org/officeDocument/2006/relationships/hyperlink" Target="https://www.sciencedirect.com/science/article/abs/pii/S136192092400381X" TargetMode="External"/><Relationship Id="rId329" Type="http://schemas.openxmlformats.org/officeDocument/2006/relationships/hyperlink" Target="https://www.epa.gov/regulations-emissions-vehicles-and-engines/final-rule-multi-pollutant-emissions-standards-model" TargetMode="External"/><Relationship Id="rId68" Type="http://schemas.openxmlformats.org/officeDocument/2006/relationships/hyperlink" Target="https://www.zotero.org/google-docs/?BFVaZP" TargetMode="External"/><Relationship Id="rId133" Type="http://schemas.openxmlformats.org/officeDocument/2006/relationships/hyperlink" Target="https://www.zotero.org/google-docs/?mqygfE" TargetMode="External"/><Relationship Id="rId175" Type="http://schemas.openxmlformats.org/officeDocument/2006/relationships/hyperlink" Target="https://www.zotero.org/google-docs/?lWZEXL" TargetMode="External"/><Relationship Id="rId340" Type="http://schemas.openxmlformats.org/officeDocument/2006/relationships/hyperlink" Target="https://eur-lex.europa.eu/legal-content/EN/TXT/PDF/?uri=CELEX%3A32023R1542" TargetMode="External"/><Relationship Id="rId200" Type="http://schemas.openxmlformats.org/officeDocument/2006/relationships/hyperlink" Target="https://www.zotero.org/google-docs/?eqye3s" TargetMode="External"/><Relationship Id="rId382" Type="http://schemas.openxmlformats.org/officeDocument/2006/relationships/hyperlink" Target="https://www.oecd.org/en/publications/2021/09/ipac-policies-in-practice_1a65968e/norways-evolving-incentives-for-zero-emission-vehicles_c74c1e9d.html" TargetMode="External"/><Relationship Id="rId438" Type="http://schemas.openxmlformats.org/officeDocument/2006/relationships/theme" Target="theme/theme1.xml"/><Relationship Id="rId242" Type="http://schemas.openxmlformats.org/officeDocument/2006/relationships/image" Target="media/image26.jpg"/><Relationship Id="rId284" Type="http://schemas.openxmlformats.org/officeDocument/2006/relationships/hyperlink" Target="https://www.sciencedirect.com/science/article/abs/pii/S1364032123008729" TargetMode="External"/><Relationship Id="rId37" Type="http://schemas.openxmlformats.org/officeDocument/2006/relationships/hyperlink" Target="https://www.zotero.org/google-docs/?Gwx99I" TargetMode="External"/><Relationship Id="rId79" Type="http://schemas.openxmlformats.org/officeDocument/2006/relationships/hyperlink" Target="https://www.zotero.org/google-docs/?1AFLgK" TargetMode="External"/><Relationship Id="rId102" Type="http://schemas.openxmlformats.org/officeDocument/2006/relationships/hyperlink" Target="https://www.zotero.org/google-docs/?oxiXmW" TargetMode="External"/><Relationship Id="rId144" Type="http://schemas.openxmlformats.org/officeDocument/2006/relationships/hyperlink" Target="https://www.zotero.org/google-docs/?0flpC7" TargetMode="External"/><Relationship Id="rId90" Type="http://schemas.openxmlformats.org/officeDocument/2006/relationships/hyperlink" Target="https://www.zotero.org/google-docs/?mJx1uJ" TargetMode="External"/><Relationship Id="rId186" Type="http://schemas.openxmlformats.org/officeDocument/2006/relationships/hyperlink" Target="https://www.zotero.org/google-docs/?DfeyGc" TargetMode="External"/><Relationship Id="rId351" Type="http://schemas.openxmlformats.org/officeDocument/2006/relationships/hyperlink" Target="https://eur-lex.europa.eu/legal-content/EN/TXT/PDF/?uri=CELEX%3A32023R1542" TargetMode="External"/><Relationship Id="rId393" Type="http://schemas.openxmlformats.org/officeDocument/2006/relationships/hyperlink" Target="https://www.acea.auto/pc-registrations/new-car-registrations-1-8-in-2025-battery-electric-17-4-market-share/" TargetMode="External"/><Relationship Id="rId407" Type="http://schemas.openxmlformats.org/officeDocument/2006/relationships/hyperlink" Target="https://www.sciencedirect.com/science/article/pii/S1361920920306234" TargetMode="External"/><Relationship Id="rId211" Type="http://schemas.openxmlformats.org/officeDocument/2006/relationships/hyperlink" Target="https://www.zotero.org/google-docs/?w1Gggd" TargetMode="External"/><Relationship Id="rId253" Type="http://schemas.openxmlformats.org/officeDocument/2006/relationships/hyperlink" Target="https://climate.ec.europa.eu/eu-action/transport-decarbonisation/road-transport/cars-and-vans_en" TargetMode="External"/><Relationship Id="rId295" Type="http://schemas.openxmlformats.org/officeDocument/2006/relationships/hyperlink" Target="https://www.iea.org/reports/global-ev-outlook-2025/electric-vehicle-charging" TargetMode="External"/><Relationship Id="rId309" Type="http://schemas.openxmlformats.org/officeDocument/2006/relationships/hyperlink" Target="https://english.www.gov.cn/news/202306/21/content_WS64929394c6d0868f4e8dd11c.html" TargetMode="External"/><Relationship Id="rId48" Type="http://schemas.openxmlformats.org/officeDocument/2006/relationships/hyperlink" Target="https://www.zotero.org/google-docs/?zZwrxE" TargetMode="External"/><Relationship Id="rId113" Type="http://schemas.openxmlformats.org/officeDocument/2006/relationships/hyperlink" Target="https://www.zotero.org/google-docs/?SV1eBY" TargetMode="External"/><Relationship Id="rId320" Type="http://schemas.openxmlformats.org/officeDocument/2006/relationships/hyperlink" Target="https://www.sciencedirect.com/science/article/pii/S0965856424002659" TargetMode="External"/><Relationship Id="rId155" Type="http://schemas.openxmlformats.org/officeDocument/2006/relationships/hyperlink" Target="https://www.zotero.org/google-docs/?8Cre9j" TargetMode="External"/><Relationship Id="rId197" Type="http://schemas.openxmlformats.org/officeDocument/2006/relationships/hyperlink" Target="https://www.zotero.org/google-docs/?wFRAks" TargetMode="External"/><Relationship Id="rId362" Type="http://schemas.openxmlformats.org/officeDocument/2006/relationships/hyperlink" Target="https://doi.org/10.1016/j.egyr.2023.10.056" TargetMode="External"/><Relationship Id="rId418" Type="http://schemas.openxmlformats.org/officeDocument/2006/relationships/hyperlink" Target="https://www.congress.gov/crs-product/IF12600" TargetMode="External"/><Relationship Id="rId222" Type="http://schemas.openxmlformats.org/officeDocument/2006/relationships/image" Target="media/image9.png"/><Relationship Id="rId264" Type="http://schemas.openxmlformats.org/officeDocument/2006/relationships/hyperlink" Target="https://iea.blob.core.windows.net/assets/a9e3544b-0b12-4e15-b407-65f5c8ce1b5f/GlobalEVOutlook2024.pdf" TargetMode="External"/><Relationship Id="rId17" Type="http://schemas.openxmlformats.org/officeDocument/2006/relationships/hyperlink" Target="https://www.zotero.org/google-docs/?EBNa6H" TargetMode="External"/><Relationship Id="rId59" Type="http://schemas.openxmlformats.org/officeDocument/2006/relationships/hyperlink" Target="https://www.zotero.org/google-docs/?KCskEs" TargetMode="External"/><Relationship Id="rId124" Type="http://schemas.openxmlformats.org/officeDocument/2006/relationships/hyperlink" Target="https://www.zotero.org/google-docs/?MES9mg" TargetMode="External"/><Relationship Id="rId70" Type="http://schemas.openxmlformats.org/officeDocument/2006/relationships/image" Target="media/image3.png"/><Relationship Id="rId166" Type="http://schemas.openxmlformats.org/officeDocument/2006/relationships/hyperlink" Target="https://www.zotero.org/google-docs/?IE6rj9" TargetMode="External"/><Relationship Id="rId331" Type="http://schemas.openxmlformats.org/officeDocument/2006/relationships/hyperlink" Target="https://www.iea.org/reports/global-ev-outlook-2025/executive-summary" TargetMode="External"/><Relationship Id="rId373" Type="http://schemas.openxmlformats.org/officeDocument/2006/relationships/hyperlink" Target="https://doi.org/10.1016/j.clscn.2022.100029" TargetMode="External"/><Relationship Id="rId429" Type="http://schemas.openxmlformats.org/officeDocument/2006/relationships/hyperlink" Target="https://www.reuters.com/sustainability/climate-energy/norways-new-car-sales-were-96-electric-2025-2026-01-02/" TargetMode="External"/><Relationship Id="rId1" Type="http://schemas.openxmlformats.org/officeDocument/2006/relationships/customXml" Target="../customXml/item1.xml"/><Relationship Id="rId233" Type="http://schemas.openxmlformats.org/officeDocument/2006/relationships/image" Target="media/image20.png"/><Relationship Id="rId28" Type="http://schemas.openxmlformats.org/officeDocument/2006/relationships/hyperlink" Target="https://www.zotero.org/google-docs/?QuoXXa" TargetMode="External"/><Relationship Id="rId275" Type="http://schemas.openxmlformats.org/officeDocument/2006/relationships/hyperlink" Target="https://iea.blob.core.windows.net/assets/a9e3544b-0b12-4e15-b407-65f5c8ce1b5f/GlobalEVOutlook2024.pdf" TargetMode="External"/><Relationship Id="rId300" Type="http://schemas.openxmlformats.org/officeDocument/2006/relationships/hyperlink" Target="https://iea.blob.core.windows.net/assets/0aa4762f-c1cb-4495-987a-25945d6de5e8/GlobalEVOutlook2025.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JournalArticle</b:SourceType>
    <b:Title>A. Comprehensive Review Paper, “A Comprehensive Review of Electric Vehicles,” 2019</b:Title>
    <b:Gdcea>{"AccessedType":"Website"}</b:Gdcea>
  </b:Source>
  <b:Source>
    <b:Tag>source2</b:Tag>
    <b:SourceType>JournalArticle</b:SourceType>
    <b:Title>H. S. Das et al., “Electric Vehicles Standards, Charging Infrastructure, and Grid Interaction: A Comprehensive Review,” Renewable and Sustainable Energy Reviews, 2019.</b:Title>
    <b:Gdcea>{"AccessedType":"Website"}</b:Gdcea>
  </b:Source>
  <b:Source>
    <b:Tag>source3</b:Tag>
    <b:SourceType>JournalArticle</b:SourceType>
    <b:Title>M. Smart Cities Review, “Charging infrastructure development and electricity demand growth,” Smart Cities, vol. 4, no. 22, 2021</b:Title>
    <b:Gdcea>{"AccessedType":"Website"}</b:Gdcea>
  </b:Source>
  <b:Source>
    <b:Tag>source4</b:Tag>
    <b:SourceType>JournalArticle</b:SourceType>
    <b:Title>M. Review Paper, “EV charging systems, communication and classification,” 2019.</b:Title>
    <b:Gdcea>{"AccessedType":"Website"}</b:Gdcea>
  </b:Source>
  <b:Source>
    <b:Tag>source5</b:Tag>
    <b:SourceType>JournalArticle</b:SourceType>
    <b:Title>M. Smart Cities Review, “Number of public charging points in metropolitan areas,” Smart Cities, 2021.</b:Title>
    <b:Gdcea>{"AccessedType":"Website"}</b:Gdcea>
  </b:Source>
  <b:Source>
    <b:Tag>source6</b:Tag>
    <b:SourceType>JournalArticle</b:SourceType>
    <b:Title>“Plug-in Hybrid Electric Vehicles: Charging Standards and Infrastructure,” 2018.</b:Title>
    <b:Gdcea>{"AccessedType":"Website"}</b:Gdcea>
  </b:Source>
  <b:Source>
    <b:Tag>source7</b:Tag>
    <b:SourceType>JournalArticle</b:SourceType>
    <b:Title>Energies, “EV Charging Technology and Charging Station Structure,” Energies, vol. 13, 2020.</b:Title>
    <b:Gdcea>{"AccessedType":"Website"}</b:Gdcea>
  </b:Source>
  <b:Source>
    <b:Tag>source8</b:Tag>
    <b:SourceType>JournalArticle</b:SourceType>
    <b:Title>Energies, “Uncontrolled vs controlled EV charging and grid impacts,” Energies, vol. 11, 2018.</b:Title>
    <b:Gdcea>{"AccessedType":"Website"}</b:Gdcea>
  </b:Source>
  <b:Source>
    <b:Tag>source9</b:Tag>
    <b:SourceType>JournalArticle</b:SourceType>
    <b:Title>H. S. Das et al., “Grid challenges and mitigation strategies for EV charging integration,” Renewable and Sustainable Energy Reviews, 2019.</b:Title>
    <b:Gdcea>{"AccessedType":"Website"}</b:Gdcea>
  </b:Source>
  <b:Source>
    <b:Tag>source10</b:Tag>
    <b:SourceType>JournalArticle</b:SourceType>
    <b:Title>A. Schroeder and T. Traber, “The Economics of Fast Charging Infrastructure for Electric Vehicles,” Energy Policy, vol. 43, pp. 136–144, 2012.</b:Title>
    <b:Gdcea>{"AccessedType":"Website"}</b:Gdcea>
  </b:Source>
  <b:Source>
    <b:Tag>source11</b:Tag>
    <b:SourceType>JournalArticle</b:SourceType>
    <b:Title>A. Schroeder and T. Traber, “Charging infrastructure cost analysis and grid reinforcement,” Energy Policy, 2012.</b:Title>
    <b:Gdcea>{"AccessedType":"Website"}</b:Gdcea>
  </b:Source>
  <b:Source>
    <b:Tag>source12</b:Tag>
    <b:SourceType>JournalArticle</b:SourceType>
    <b:Title>Transportation Policy, “Smart charging scheduling and demand management strategies,” 2019.</b:Title>
    <b:Gdcea>{"AccessedType":"Website"}</b:Gdcea>
  </b:Source>
  <b:Source>
    <b:Tag>source13</b:Tag>
    <b:SourceType>JournalArticle</b:SourceType>
    <b:Title>]IEEE Access, “Charging Infrastructure for Commercial Electric Vehicles: Challenges and Future Works,” 2021.</b:Title>
    <b:Gdcea>{"AccessedType":"Website"}</b:Gdcea>
  </b:Source>
  <b:Source>
    <b:Tag>source14</b:Tag>
    <b:SourceType>JournalArticle</b:SourceType>
    <b:Title>IEEE Paper, “Fleet depot charging infrastructure and grid interaction,” 2019.</b:Title>
    <b:Gdcea>{"AccessedType":"Website"}</b:Gdcea>
  </b:Source>
  <b:Source>
    <b:Tag>source15</b:Tag>
    <b:SourceType>JournalArticle</b:SourceType>
    <b:Title>“Charging Infrastructure for Commercial Electric Vehicles,” 2021.</b:Title>
    <b:Gdcea>{"AccessedType":"Website"}</b:Gdcea>
  </b:Source>
  <b:Source>
    <b:Tag>source16</b:Tag>
    <b:SourceType>JournalArticle</b:SourceType>
    <b:Title>Nature Energy, “Renewable integration and EV charging networks,” 2022.</b:Title>
    <b:Gdcea>{"AccessedType":"Website"}</b:Gdcea>
  </b:Source>
  <b:Source>
    <b:Tag>source17</b:Tag>
    <b:SourceType>JournalArticle</b:SourceType>
    <b:Title>Energy Policy / Energies Review, “Microgrid-based EV charging with storage systems,” 2020.</b:Title>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44906</Words>
  <Characters>255969</Characters>
  <Application>Microsoft Office Word</Application>
  <DocSecurity>0</DocSecurity>
  <Lines>2133</Lines>
  <Paragraphs>600</Paragraphs>
  <ScaleCrop>false</ScaleCrop>
  <Company/>
  <LinksUpToDate>false</LinksUpToDate>
  <CharactersWithSpaces>300275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dc:creator>
  <cp:lastModifiedBy>Sam In</cp:lastModifiedBy>
  <cp:revision>4</cp:revision>
  <cp:lastPrinted>2026-03-27T16:33:00Z</cp:lastPrinted>
  <dcterms:created xsi:type="dcterms:W3CDTF">2026-03-27T16:33:00Z</dcterms:created>
  <dcterms:modified xsi:type="dcterms:W3CDTF">2026-03-27T16:34:00Z</dcterms:modified>
</cp:coreProperties>
</file>