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b/>
          <w:sz w:val="24"/>
        </w:rPr>
        <w:t>Robust Potato Leaf Disease Identification Using Field-Collected Images Under Uncontrolled Conditions</w:t>
      </w:r>
    </w:p>
    <w:p>
      <w:pPr>
        <w:spacing w:line="276" w:lineRule="auto"/>
        <w:ind w:firstLine="0"/>
        <w:jc w:val="both"/>
      </w:pPr>
      <w:r>
        <w:rPr>
          <w:rFonts w:ascii="Times New Roman" w:hAnsi="Times New Roman"/>
          <w:sz w:val="24"/>
        </w:rPr>
      </w:r>
      <w:r>
        <w:rPr>
          <w:rFonts w:ascii="Times New Roman" w:hAnsi="Times New Roman"/>
          <w:b/>
          <w:sz w:val="24"/>
        </w:rPr>
        <w:t>Muhammad Bilal Asghar¹, Nabila Husna Shabrina²</w:t>
      </w:r>
      <w:r>
        <w:rPr>
          <w:rFonts w:ascii="Times New Roman" w:hAnsi="Times New Roman"/>
          <w:sz w:val="24"/>
        </w:rPr>
      </w:r>
    </w:p>
    <w:p>
      <w:pPr>
        <w:spacing w:line="276" w:lineRule="auto" w:after="0"/>
        <w:jc w:val="center"/>
      </w:pPr>
      <w:r>
        <w:rPr>
          <w:rFonts w:ascii="Times New Roman" w:hAnsi="Times New Roman"/>
          <w:sz w:val="24"/>
        </w:rPr>
        <w:t>¹Teesside University, United Kingdom</w:t>
      </w:r>
    </w:p>
    <w:p>
      <w:pPr>
        <w:spacing w:line="276" w:lineRule="auto" w:after="0"/>
        <w:jc w:val="center"/>
      </w:pPr>
      <w:r>
        <w:rPr>
          <w:rFonts w:ascii="Times New Roman" w:hAnsi="Times New Roman"/>
          <w:sz w:val="24"/>
        </w:rPr>
        <w:t>²Universitas Multimedia Nusantara, Indonesia</w:t>
      </w:r>
    </w:p>
    <w:p>
      <w:pPr>
        <w:spacing w:line="276" w:lineRule="auto" w:after="0"/>
        <w:jc w:val="center"/>
      </w:pPr>
      <w:r>
        <w:rPr>
          <w:rFonts w:ascii="Times New Roman" w:hAnsi="Times New Roman"/>
          <w:sz w:val="24"/>
        </w:rPr>
        <w:t>e-mail: S3345558@live.tees.ac.uk</w:t>
      </w:r>
    </w:p>
    <w:p>
      <w:pPr>
        <w:spacing w:line="276" w:lineRule="auto" w:before="240"/>
      </w:pPr>
      <w:r>
        <w:rPr>
          <w:rFonts w:ascii="Times New Roman" w:hAnsi="Times New Roman"/>
          <w:b/>
          <w:sz w:val="24"/>
        </w:rPr>
        <w:t>ABSTRACT</w:t>
      </w:r>
    </w:p>
    <w:p>
      <w:pPr>
        <w:spacing w:line="276" w:lineRule="auto"/>
        <w:ind w:firstLine="0"/>
        <w:jc w:val="both"/>
      </w:pPr>
      <w:r>
        <w:rPr>
          <w:rFonts w:ascii="Times New Roman" w:hAnsi="Times New Roman"/>
          <w:sz w:val="24"/>
        </w:rPr>
      </w:r>
      <w:r>
        <w:rPr>
          <w:rFonts w:ascii="Times New Roman" w:hAnsi="Times New Roman"/>
          <w:b/>
          <w:sz w:val="24"/>
        </w:rPr>
        <w:t>Introduction.</w:t>
      </w:r>
      <w:r>
        <w:rPr>
          <w:rFonts w:ascii="Times New Roman" w:hAnsi="Times New Roman"/>
          <w:sz w:val="24"/>
        </w:rPr>
        <w:t xml:space="preserve"> Potato leaf disease detection using deep learning has primarily relied on curated, laboratory-controlled datasets, creating a significant gap between reported performance and real-world agricultural deployment. This study addresses this gap by developing and evaluating models on a field-collected potato leaf disease dataset captured under uncontrolled environmental conditions.</w:t>
      </w:r>
    </w:p>
    <w:p>
      <w:pPr>
        <w:spacing w:line="276" w:lineRule="auto"/>
        <w:ind w:firstLine="0"/>
        <w:jc w:val="both"/>
      </w:pPr>
      <w:r>
        <w:rPr>
          <w:rFonts w:ascii="Times New Roman" w:hAnsi="Times New Roman"/>
          <w:sz w:val="24"/>
        </w:rPr>
      </w:r>
      <w:r>
        <w:rPr>
          <w:rFonts w:ascii="Times New Roman" w:hAnsi="Times New Roman"/>
          <w:b/>
          <w:sz w:val="24"/>
        </w:rPr>
        <w:t>Research Methods.</w:t>
      </w:r>
      <w:r>
        <w:rPr>
          <w:rFonts w:ascii="Times New Roman" w:hAnsi="Times New Roman"/>
          <w:sz w:val="24"/>
        </w:rPr>
        <w:t xml:space="preserve"> A seven-class dataset containing 3,076 RGB images was analyzed through exploratory data analysis and preprocessed using a balanced augmentation strategy that expanded each class to 748 training samples. Four deep learning architectures—a Baseline CNN, EfficientNetB0 (frozen), EfficientNetB0 (fine-tuned), and a Hybrid CNN-Transformer—were benchmarked under a locked validation-holdout protocol prioritizing macro-F1.</w:t>
      </w:r>
    </w:p>
    <w:p>
      <w:pPr>
        <w:spacing w:line="276" w:lineRule="auto"/>
        <w:ind w:firstLine="0"/>
        <w:jc w:val="both"/>
      </w:pPr>
      <w:r>
        <w:rPr>
          <w:rFonts w:ascii="Times New Roman" w:hAnsi="Times New Roman"/>
          <w:sz w:val="24"/>
        </w:rPr>
      </w:r>
      <w:r>
        <w:rPr>
          <w:rFonts w:ascii="Times New Roman" w:hAnsi="Times New Roman"/>
          <w:b/>
          <w:sz w:val="24"/>
        </w:rPr>
        <w:t>Data Analysis.</w:t>
      </w:r>
      <w:r>
        <w:rPr>
          <w:rFonts w:ascii="Times New Roman" w:hAnsi="Times New Roman"/>
          <w:sz w:val="24"/>
        </w:rPr>
        <w:t xml:space="preserve"> Quantitative evaluation included accuracy, macro-F1, precision, recall, and inference latency. Robustness was tested under five degradation conditions. Gradient-weighted Class Activation Mapping (Grad-CAM) was applied to assess model interpretability.</w:t>
      </w:r>
    </w:p>
    <w:p>
      <w:pPr>
        <w:spacing w:line="276" w:lineRule="auto"/>
        <w:ind w:firstLine="0"/>
        <w:jc w:val="both"/>
      </w:pPr>
      <w:r>
        <w:rPr>
          <w:rFonts w:ascii="Times New Roman" w:hAnsi="Times New Roman"/>
          <w:sz w:val="24"/>
        </w:rPr>
      </w:r>
      <w:r>
        <w:rPr>
          <w:rFonts w:ascii="Times New Roman" w:hAnsi="Times New Roman"/>
          <w:b/>
          <w:sz w:val="24"/>
        </w:rPr>
        <w:t>Results.</w:t>
      </w:r>
      <w:r>
        <w:rPr>
          <w:rFonts w:ascii="Times New Roman" w:hAnsi="Times New Roman"/>
          <w:sz w:val="24"/>
        </w:rPr>
        <w:t xml:space="preserve"> The Hybrid CNN-Transformer achieved the highest performance with 0.8679 macro-F1, 0.8671 accuracy, and 1.339 ms/image GPU latency. Bootstrap 95% confidence intervals and pairwise McNemar's tests with Bonferroni correction confirmed statistically significant differences between most model pairs, except between the Hybrid and EfficientNetB0 fine-tune (p = 0.212). Robustness analysis showed minimal degradation under blur (F1 improvement: 0.0169) and noise (F1 improvement: 0.0083), while center occlusion produced the largest F1 drop of 0.0415. Grad-CAM heatmaps confirmed the model attended to lesion-relevant regions.</w:t>
      </w:r>
    </w:p>
    <w:p>
      <w:pPr>
        <w:spacing w:line="276" w:lineRule="auto"/>
        <w:ind w:firstLine="0"/>
        <w:jc w:val="both"/>
      </w:pPr>
      <w:r>
        <w:rPr>
          <w:rFonts w:ascii="Times New Roman" w:hAnsi="Times New Roman"/>
          <w:sz w:val="24"/>
        </w:rPr>
      </w:r>
      <w:r>
        <w:rPr>
          <w:rFonts w:ascii="Times New Roman" w:hAnsi="Times New Roman"/>
          <w:b/>
          <w:sz w:val="24"/>
        </w:rPr>
        <w:t>Conclusion.</w:t>
      </w:r>
      <w:r>
        <w:rPr>
          <w:rFonts w:ascii="Times New Roman" w:hAnsi="Times New Roman"/>
          <w:sz w:val="24"/>
        </w:rPr>
        <w:t xml:space="preserve"> Combining a Hybrid CNN-Transformer architecture with transfer learning and balanced augmentation yields robust potato leaf disease classification on field-collected imagery. A complete deployment pipeline was produced, supporting practical agricultural AI applications.</w:t>
      </w:r>
    </w:p>
    <w:p>
      <w:pPr>
        <w:spacing w:line="276" w:lineRule="auto"/>
        <w:ind w:firstLine="0"/>
        <w:jc w:val="both"/>
      </w:pPr>
      <w:r>
        <w:rPr>
          <w:rFonts w:ascii="Times New Roman" w:hAnsi="Times New Roman"/>
          <w:sz w:val="24"/>
        </w:rPr>
      </w:r>
      <w:r>
        <w:rPr>
          <w:rFonts w:ascii="Times New Roman" w:hAnsi="Times New Roman"/>
          <w:b/>
          <w:sz w:val="24"/>
        </w:rPr>
        <w:t>Keywords:</w:t>
      </w:r>
      <w:r>
        <w:rPr>
          <w:rFonts w:ascii="Times New Roman" w:hAnsi="Times New Roman"/>
          <w:sz w:val="24"/>
        </w:rPr>
        <w:t xml:space="preserve"> potato leaf disease; deep learning; Hybrid CNN-Transformer; EfficientNetB0; transfer learning; robustness analysis; field-collected images; Grad-CAM</w:t>
      </w:r>
    </w:p>
    <w:p>
      <w:pPr>
        <w:spacing w:line="276" w:lineRule="auto" w:before="240"/>
      </w:pPr>
      <w:r>
        <w:rPr>
          <w:rFonts w:ascii="Times New Roman" w:hAnsi="Times New Roman"/>
          <w:b/>
          <w:sz w:val="24"/>
        </w:rPr>
        <w:t>INTRODUCTION</w:t>
      </w:r>
    </w:p>
    <w:p>
      <w:pPr>
        <w:spacing w:line="276" w:lineRule="auto"/>
        <w:ind w:firstLine="0"/>
        <w:jc w:val="both"/>
      </w:pPr>
      <w:r>
        <w:rPr>
          <w:rFonts w:ascii="Times New Roman" w:hAnsi="Times New Roman"/>
          <w:sz w:val="24"/>
        </w:rPr>
        <w:t>Potato (</w:t>
      </w:r>
      <w:r>
        <w:rPr>
          <w:rFonts w:ascii="Times New Roman" w:hAnsi="Times New Roman"/>
          <w:i/>
          <w:sz w:val="24"/>
        </w:rPr>
        <w:t>Solanum tuberosum</w:t>
      </w:r>
      <w:r>
        <w:rPr>
          <w:rFonts w:ascii="Times New Roman" w:hAnsi="Times New Roman"/>
          <w:sz w:val="24"/>
        </w:rPr>
        <w:t>) ranks as the fourth most important food crop globally, serving as a dietary staple for over one billion people and contributing significantly to food security and agricultural economies worldwide (Devaux et al., 2021). However, potato cultivation is persistently threatened by a wide range of leaf diseases caused by bacteria, fungi, viruses, nematodes, and pests, which can cause yield losses of 20–80% if left undetected during early growth stages (Dey &amp; Ahmed, 2025). Timely and accurate identification of these diseases is therefore essential for enabling early intervention and reducing crop loss. Traditional manual diagnostic methods by agricultural extension workers are time-consuming, subjective, error-prone, and difficult to scale across large farming regions (Wang &amp; Su, 2024).</w:t>
      </w:r>
    </w:p>
    <w:p>
      <w:pPr>
        <w:spacing w:line="276" w:lineRule="auto"/>
        <w:ind w:firstLine="0"/>
        <w:jc w:val="both"/>
      </w:pPr>
      <w:r>
        <w:rPr>
          <w:rFonts w:ascii="Times New Roman" w:hAnsi="Times New Roman"/>
          <w:sz w:val="24"/>
        </w:rPr>
        <w:t>In recent years, deep learning approaches have emerged as a powerful tool for automated plant disease detection from leaf imagery. Convolutional neural networks (CNNs) have demonstrated remarkable accuracy in classifying diseases across various crops (Palei &amp; Mohapatra, 2025). Transfer learning using pretrained architectures such as ResNet, DenseNet, MobileNet, and EfficientNet has further improved performance significantly by leveraging hierarchical visual features learned from large-scale image datasets such as ImageNet (Richter &amp; Kim, 2025). More recently, Vision Transformers (ViTs) and hybrid CNN-Transformer architectures have shown promise for capturing both local texture patterns and global contextual relationships within images (Mondal et al., 2025; Austin et al., 2025).</w:t>
      </w:r>
    </w:p>
    <w:p>
      <w:pPr>
        <w:spacing w:line="276" w:lineRule="auto"/>
        <w:ind w:firstLine="0"/>
        <w:jc w:val="both"/>
      </w:pPr>
      <w:r>
        <w:rPr>
          <w:rFonts w:ascii="Times New Roman" w:hAnsi="Times New Roman"/>
          <w:sz w:val="24"/>
        </w:rPr>
        <w:t>Despite these advances, a critical gap persists between laboratory-benchmark performance and real-world applicability. The vast majority of published studies train and evaluate models on carefully curated datasets such as PlantVillage, which feature clean backgrounds, controlled lighting, and consistent imaging conditions (Dey &amp; Ahmed, 2025). When deployed on field-collected imagery with cluttered backgrounds, inconsistent lighting, motion blur, and partial occlusions, these models frequently suffer significant performance degradation. Boukhlifa and Chibani (2024) reported an 11.7% accuracy drop when evaluating models trained on controlled data against uncontrolled field images, while Rivaldo and Udjulawa (2025) found that models achieving 99% accuracy on PlantVillage decreased to approximately 80% on field images. Sangar and Rajasekar (2025) found that EfficientNet-LITE models achieving 99.07% accuracy on laboratory images dropped to 79.38% on uncontrolled images. These findings underscore the need for model development and evaluation specifically targeting field-collected imagery.</w:t>
      </w:r>
    </w:p>
    <w:p>
      <w:pPr>
        <w:spacing w:line="276" w:lineRule="auto"/>
        <w:ind w:firstLine="0"/>
        <w:jc w:val="both"/>
      </w:pPr>
      <w:r>
        <w:rPr>
          <w:rFonts w:ascii="Times New Roman" w:hAnsi="Times New Roman"/>
          <w:sz w:val="24"/>
        </w:rPr>
        <w:t>This study addresses this laboratory-to-field gap by developing and evaluating deep learning models specifically for the Potato Leaf Disease Dataset in Uncontrolled Environment (Shabrina, 2023), which contains 3,076 images across seven disease classes and presents challenges representative of actual agricultural deployment: severe class imbalance (11:1 ratio), frequent image blur, complex natural backgrounds, and heterogeneous disease symptoms. The specific objectives are: (1) to systematically characterize the dataset through exploratory data analysis and identify practical challenges; (2) to benchmark four deep learning architectures ranging from simple CNNs to hybrid CNN-Transformer models under a shared preprocessing pipeline; (3) to evaluate model robustness under simulated real-world degradation conditions; (4) to apply Grad-CAM explainability to verify that the model attends to disease-relevant regions; and (5) to develop a deployable inference pipeline suitable for practical use. The originality of this work lies in its end-to-end applied workflow that combines balanced training, comparative benchmarking, robustness analysis, and deployment readiness on genuinely uncontrolled agricultural imagery, rather than presenting a single architecture on controlled data. To the best of the authors' knowledge, this is among the first studies to integrate statistical significance testing, model calibration assessment, ablation analysis, and a deployment-ready inference pipeline with built-in image quality validation within a single reproducible experiment on field-collected potato leaf imagery.</w:t>
      </w:r>
    </w:p>
    <w:p>
      <w:pPr>
        <w:spacing w:line="276" w:lineRule="auto" w:before="240"/>
      </w:pPr>
      <w:r>
        <w:rPr>
          <w:rFonts w:ascii="Times New Roman" w:hAnsi="Times New Roman"/>
          <w:b/>
          <w:sz w:val="24"/>
        </w:rPr>
        <w:t>LITERATURE REVIEW</w:t>
      </w:r>
    </w:p>
    <w:p>
      <w:pPr>
        <w:spacing w:line="276" w:lineRule="auto" w:before="120"/>
      </w:pPr>
      <w:r>
        <w:rPr>
          <w:rFonts w:ascii="Times New Roman" w:hAnsi="Times New Roman"/>
          <w:b/>
          <w:sz w:val="24"/>
        </w:rPr>
        <w:t>Deep Learning for Plant Disease Detection</w:t>
      </w:r>
    </w:p>
    <w:p>
      <w:pPr>
        <w:spacing w:line="276" w:lineRule="auto"/>
        <w:ind w:firstLine="0"/>
        <w:jc w:val="both"/>
      </w:pPr>
      <w:r>
        <w:rPr>
          <w:rFonts w:ascii="Times New Roman" w:hAnsi="Times New Roman"/>
          <w:sz w:val="24"/>
        </w:rPr>
        <w:t>The application of deep learning to plant disease classification has grown substantially in recent years. Dey and Ahmed (2025) conducted a comprehensive review of AI-driven plant stress monitoring and concluded that deep learning models, particularly CNNs, have achieved significant success in disease detection, although the lack of large-scale, field-collected datasets remains a key bottleneck. Similarly, Palei and Mohapatra (2025) surveyed cutting-edge approaches to plant disease detection and highlighted that while machine learning and deep learning techniques continue to advance, limited availability and diversity of quality datasets restricts real-world applicability.</w:t>
      </w:r>
    </w:p>
    <w:p>
      <w:pPr>
        <w:spacing w:line="276" w:lineRule="auto"/>
        <w:ind w:firstLine="0"/>
        <w:jc w:val="both"/>
      </w:pPr>
      <w:r>
        <w:rPr>
          <w:rFonts w:ascii="Times New Roman" w:hAnsi="Times New Roman"/>
          <w:sz w:val="24"/>
        </w:rPr>
        <w:t>Among CNN-based approaches, EfficientNet architectures have proven particularly effective for potato leaf disease classification. Richter and Kim (2025) systematically benchmarked 23 CNN families on the uncontrolled potato leaf dataset and found that models with depthwise separable convolutions, such as EfficientNet and MobileNet, achieved the strongest performance, while very deep architectures showed diminishing returns on this relatively small dataset. Rivaldo and Udjulawa (2025) evaluated fine-tuned EfficientNetB0 on the same dataset and observed that the Adam optimizer achieved 92.10% training accuracy but exhibited overfitting tendencies, with validation accuracy reaching only 81.43%. Transfer learning has proven essential for small agricultural datasets; Chowdhury and Das (2025) demonstrated that ResNet50 substantially outperformed custom CNNs for potato leaf classification, achieving 97% validation accuracy compared to lower results from models trained from scratch. Bhavani and Chalapathi (2025) further showed that a two-stage CNN framework (PotatoLeafNet) with optimized convolutional layers achieved 98.52% accuracy on PlantVillage, although this performance was observed exclusively on controlled data. Rifqi et al. (2024) confirmed this trend by comparing a conventional CNN against MobileNetV2, finding that MobileNetV2 achieved 93.00% accuracy compared to only 84% for the custom CNN.</w:t>
      </w:r>
    </w:p>
    <w:p>
      <w:pPr>
        <w:spacing w:line="276" w:lineRule="auto" w:before="120"/>
      </w:pPr>
      <w:r>
        <w:rPr>
          <w:rFonts w:ascii="Times New Roman" w:hAnsi="Times New Roman"/>
          <w:b/>
          <w:sz w:val="24"/>
        </w:rPr>
        <w:t>Hybrid CNN-Transformer Architectures</w:t>
      </w:r>
    </w:p>
    <w:p>
      <w:pPr>
        <w:spacing w:line="276" w:lineRule="auto"/>
        <w:ind w:firstLine="0"/>
        <w:jc w:val="both"/>
      </w:pPr>
      <w:r>
        <w:rPr>
          <w:rFonts w:ascii="Times New Roman" w:hAnsi="Times New Roman"/>
          <w:sz w:val="24"/>
        </w:rPr>
        <w:t>The emergence of hybrid models combining CNN feature extraction with transformer-based attention mechanisms represents an important trend in the field. Mondal et al. (2025) proposed PLDNet, a hybrid CNN-transformer model with an adaptive activation function, achieving 99.54% on PlantVillage but only 87.50% on the Mendeley potato leaf dataset, demonstrating the difficulty of uncontrolled imagery. Austin et al. (2025) developed a precision classification model using transformer-enhanced CNNs that achieved 98.2% accuracy with an F1 score of 0.98, although they noted the computational cost may limit field deployment. Sinamenye et al. (2025) proposed a hybrid framework combining EfficientNetV2B3 and Vision Transformer, reporting that hybrid models outperform conventional CNN-based systems on complex, real-world agricultural images with diverse backgrounds and lighting conditions. Vitasoa et al. (2025) introduced DenseSwinNet, combining DenseNet201 with a Swin Transformer backbone, achieving 99.24% accuracy, although their evaluation included a mix of PlantVillage and uncontrolled images. Saleh et al. (2025) proposed a hybrid EfficientNetB0-Swin framework achieving 91.73% accuracy on the uncontrolled potato dataset, confirming that hybrid designs improve robustness on field imagery.</w:t>
      </w:r>
    </w:p>
    <w:p>
      <w:pPr>
        <w:spacing w:line="276" w:lineRule="auto" w:before="120"/>
      </w:pPr>
      <w:r>
        <w:rPr>
          <w:rFonts w:ascii="Times New Roman" w:hAnsi="Times New Roman"/>
          <w:b/>
          <w:sz w:val="24"/>
        </w:rPr>
        <w:t>Lightweight Models and Robustness</w:t>
      </w:r>
    </w:p>
    <w:p>
      <w:pPr>
        <w:spacing w:line="276" w:lineRule="auto"/>
        <w:ind w:firstLine="0"/>
        <w:jc w:val="both"/>
      </w:pPr>
      <w:r>
        <w:rPr>
          <w:rFonts w:ascii="Times New Roman" w:hAnsi="Times New Roman"/>
          <w:sz w:val="24"/>
        </w:rPr>
        <w:t>Practical deployment of disease detection models on mobile or edge devices has attracted growing attention. Chang and Lai (2024) proposed a lightweight RegNetY-400MF model that achieved 90.68% accuracy on the uncontrolled dataset, demonstrating that compact architectures can handle field imagery effectively. Boukhlifa and Chibani (2024) used depthwise separable convolutions in DSCSkipNet to achieve above 80% accuracy—substantially lower than controlled-dataset performances but more realistic for deployment. Robustness under field conditions remains underexplored. Tariq et al. (2025) showed that models achieving near-perfect accuracy on controlled data suffered significant degradation when confronted with complex backgrounds. Al-Noman et al. (2025) combined YOLO-based detection with EfficientNet classification and multi-head attention, achieving approximately 98% overall accuracy, while noting that further optimization for real-time deployment and integration with IoT remains necessary. Fathima and Booba (2024) applied Grad-CAM for disease prediction transparency and showed that attention visualization can reveal whether models learn disease-relevant features or rely on dataset-specific artifacts.</w:t>
      </w:r>
    </w:p>
    <w:p>
      <w:pPr>
        <w:spacing w:line="276" w:lineRule="auto" w:before="120"/>
      </w:pPr>
      <w:r>
        <w:rPr>
          <w:rFonts w:ascii="Times New Roman" w:hAnsi="Times New Roman"/>
          <w:b/>
          <w:sz w:val="24"/>
        </w:rPr>
        <w:t>Identified Gaps</w:t>
      </w:r>
    </w:p>
    <w:p>
      <w:pPr>
        <w:spacing w:line="276" w:lineRule="auto"/>
        <w:ind w:firstLine="0"/>
        <w:jc w:val="both"/>
      </w:pPr>
      <w:r>
        <w:rPr>
          <w:rFonts w:ascii="Times New Roman" w:hAnsi="Times New Roman"/>
          <w:sz w:val="24"/>
        </w:rPr>
        <w:t>The literature review reveals several critical gaps that this study aims to address. First, the majority of high-accuracy results are reported on controlled datasets and do not transfer reliably to field conditions (Boukhlifa &amp; Chibani, 2024; Rivaldo &amp; Udjulawa, 2025). Second, systematic robustness testing under multiple simulated degradation types is rarely performed alongside model benchmarking. Third, very few studies combine benchmarking, robustness analysis, explainability, and deployment readiness into an integrated workflow. Fourth, approximately 30% of potato leaf disease studies validated models under field conditions, but no study reports actual end-user deployment (Shabrina, 2023). Fifth, model calibration and confidence reliability are rarely assessed, despite being essential for practical deployment where prediction confidence must be trustworthy. This study directly addresses these gaps through a unified experimental pipeline applied to genuinely uncontrolled field imagery, incorporating statistical significance testing, model calibration assessment, and ablation analysis alongside standard benchmarking.</w:t>
      </w:r>
    </w:p>
    <w:p>
      <w:pPr>
        <w:spacing w:line="276" w:lineRule="auto" w:before="240"/>
      </w:pPr>
      <w:r>
        <w:rPr>
          <w:rFonts w:ascii="Times New Roman" w:hAnsi="Times New Roman"/>
          <w:b/>
          <w:sz w:val="24"/>
        </w:rPr>
        <w:t>RESEARCH METHODS</w:t>
      </w:r>
    </w:p>
    <w:p>
      <w:pPr>
        <w:spacing w:line="276" w:lineRule="auto" w:before="120"/>
      </w:pPr>
      <w:r>
        <w:rPr>
          <w:rFonts w:ascii="Times New Roman" w:hAnsi="Times New Roman"/>
          <w:b/>
          <w:sz w:val="24"/>
        </w:rPr>
        <w:t>Dataset and Preprocessing</w:t>
      </w:r>
    </w:p>
    <w:p>
      <w:pPr>
        <w:spacing w:line="276" w:lineRule="auto"/>
        <w:ind w:firstLine="0"/>
        <w:jc w:val="both"/>
      </w:pPr>
      <w:r>
        <w:rPr>
          <w:rFonts w:ascii="Times New Roman" w:hAnsi="Times New Roman"/>
          <w:sz w:val="24"/>
        </w:rPr>
        <w:t>The study uses the Potato Leaf Disease Dataset in Uncontrolled Environment (Shabrina, 2023), publicly available on the Mendeley Data Repository. The dataset contains 3,076 RGB images across seven classes: Bacteria (569 images), Fungi (748), Healthy (201), Nematode (68), Pest (611), Phytopthora (347), and Virus (532). Images were captured in actual potato fields under varying lighting conditions, natural backgrounds, and without controlled framing, making this dataset substantially more challenging than laboratory-collected alternatives such as PlantVillage. The class imbalance ratio is approximately 11:1 between the largest class (Fungi) and the smallest (Nematode), presenting a significant challenge for model training and evaluation.</w:t>
      </w:r>
    </w:p>
    <w:p>
      <w:pPr>
        <w:spacing w:line="276" w:lineRule="auto"/>
        <w:ind w:firstLine="0"/>
        <w:jc w:val="both"/>
      </w:pPr>
      <w:r>
        <w:rPr>
          <w:rFonts w:ascii="Times New Roman" w:hAnsi="Times New Roman"/>
          <w:sz w:val="24"/>
        </w:rPr>
        <w:t>Comprehensive exploratory data analysis confirmed uniform 1500 × 1500 pixel resolution across all images, a 41.7% blur rate as measured by Laplacian variance (threshold = 100.0), and substantial background complexity in several classes including overlapping foliage and soil textures. These findings directly informed the preprocessing and augmentation strategy.</w:t>
      </w:r>
    </w:p>
    <w:p>
      <w:pPr>
        <w:spacing w:line="276" w:lineRule="auto"/>
        <w:ind w:firstLine="0"/>
        <w:jc w:val="both"/>
      </w:pPr>
      <w:r>
        <w:rPr>
          <w:rFonts w:ascii="Times New Roman" w:hAnsi="Times New Roman"/>
          <w:sz w:val="24"/>
        </w:rPr>
      </w:r>
      <w:r>
        <w:rPr>
          <w:rFonts w:ascii="Times New Roman" w:hAnsi="Times New Roman"/>
          <w:b/>
          <w:sz w:val="24"/>
        </w:rPr>
        <w:t>Figure 1.</w:t>
      </w:r>
      <w:r>
        <w:rPr>
          <w:rFonts w:ascii="Times New Roman" w:hAnsi="Times New Roman"/>
          <w:sz w:val="24"/>
        </w:rPr>
        <w:t xml:space="preserve"> Class distribution of the Potato Leaf Disease Dataset showing severe imbalance (11:1 ratio between Fungi and Nematode).</w:t>
      </w:r>
    </w:p>
    <w:p>
      <w:pPr>
        <w:spacing w:line="276" w:lineRule="auto"/>
        <w:ind w:firstLine="0"/>
        <w:jc w:val="both"/>
      </w:pPr>
      <w:r>
        <w:rPr>
          <w:rFonts w:ascii="Times New Roman" w:hAnsi="Times New Roman"/>
          <w:sz w:val="24"/>
        </w:rPr>
        <w:t>Images were resized to 224 × 224 pixels and normalized using ImageNet statistics (mean = [0.485, 0.456, 0.406], standard deviation = [0.229, 0.224, 0.225]) to align with pretrained EfficientNetB0 weights. The dataset was split per class using a 70/15/15 stratified train-validation-test strategy to prevent data leakage, yielding 459 validation and 459 test samples for final evaluation.</w:t>
      </w:r>
    </w:p>
    <w:p>
      <w:pPr>
        <w:spacing w:line="276" w:lineRule="auto"/>
        <w:ind w:firstLine="0"/>
        <w:jc w:val="both"/>
      </w:pPr>
      <w:r>
        <w:rPr>
          <w:rFonts w:ascii="Times New Roman" w:hAnsi="Times New Roman"/>
          <w:sz w:val="24"/>
        </w:rPr>
        <w:t>To address the severe class imbalance, a balanced in-memory augmentation strategy expanded all classes to 748 training samples, matching the largest original class (Fungi). This produced a balanced training set of 5,236 images (748 per class × 7 classes). Training-time augmentation included random horizontal and vertical flips, random rotation (±15°), and mild colour jitter (brightness ±0.2, contrast ±0.2, saturation ±0.1). Validation samples received only resizing and normalization without augmentation to ensure that evaluation metrics remained representative of real inference conditions. The balanced augmentation approach was specifically chosen over alternatives such as weighted loss functions or oversampling because it ensures equal representation during gradient computation, providing each class with equivalent influence on model parameter updates throughout training.</w:t>
      </w:r>
    </w:p>
    <w:p>
      <w:pPr>
        <w:spacing w:after="40"/>
      </w:pPr>
      <w:r>
        <w:rPr>
          <w:rFonts w:ascii="Times New Roman" w:hAnsi="Times New Roman"/>
          <w:b/>
          <w:sz w:val="20"/>
        </w:rPr>
        <w:t>Table 3. Per-class dataset distribution after preprocessing</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r/>
            <w:r>
              <w:rPr>
                <w:rFonts w:ascii="Times New Roman" w:hAnsi="Times New Roman"/>
                <w:b/>
                <w:sz w:val="20"/>
              </w:rPr>
              <w:t>Class</w:t>
            </w:r>
          </w:p>
        </w:tc>
        <w:tc>
          <w:tcPr>
            <w:tcW w:type="dxa" w:w="1871"/>
          </w:tcPr>
          <w:p>
            <w:r/>
            <w:r>
              <w:rPr>
                <w:rFonts w:ascii="Times New Roman" w:hAnsi="Times New Roman"/>
                <w:b/>
                <w:sz w:val="20"/>
              </w:rPr>
              <w:t>Original Training</w:t>
            </w:r>
          </w:p>
        </w:tc>
        <w:tc>
          <w:tcPr>
            <w:tcW w:type="dxa" w:w="1871"/>
          </w:tcPr>
          <w:p>
            <w:r/>
            <w:r>
              <w:rPr>
                <w:rFonts w:ascii="Times New Roman" w:hAnsi="Times New Roman"/>
                <w:b/>
                <w:sz w:val="20"/>
              </w:rPr>
              <w:t>Balanced Training</w:t>
            </w:r>
          </w:p>
        </w:tc>
        <w:tc>
          <w:tcPr>
            <w:tcW w:type="dxa" w:w="1871"/>
          </w:tcPr>
          <w:p>
            <w:r/>
            <w:r>
              <w:rPr>
                <w:rFonts w:ascii="Times New Roman" w:hAnsi="Times New Roman"/>
                <w:b/>
                <w:sz w:val="20"/>
              </w:rPr>
              <w:t>Validation</w:t>
            </w:r>
          </w:p>
        </w:tc>
        <w:tc>
          <w:tcPr>
            <w:tcW w:type="dxa" w:w="1871"/>
          </w:tcPr>
          <w:p>
            <w:r/>
            <w:r>
              <w:rPr>
                <w:rFonts w:ascii="Times New Roman" w:hAnsi="Times New Roman"/>
                <w:b/>
                <w:sz w:val="20"/>
              </w:rPr>
              <w:t>Test</w:t>
            </w:r>
          </w:p>
        </w:tc>
      </w:tr>
      <w:tr>
        <w:tc>
          <w:tcPr>
            <w:tcW w:type="dxa" w:w="1871"/>
          </w:tcPr>
          <w:p>
            <w:r/>
            <w:r>
              <w:rPr>
                <w:rFonts w:ascii="Times New Roman" w:hAnsi="Times New Roman"/>
                <w:sz w:val="20"/>
              </w:rPr>
              <w:t>Bacteria</w:t>
            </w:r>
          </w:p>
        </w:tc>
        <w:tc>
          <w:tcPr>
            <w:tcW w:type="dxa" w:w="1871"/>
          </w:tcPr>
          <w:p>
            <w:r/>
            <w:r>
              <w:rPr>
                <w:rFonts w:ascii="Times New Roman" w:hAnsi="Times New Roman"/>
                <w:sz w:val="20"/>
              </w:rPr>
              <w:t>399</w:t>
            </w:r>
          </w:p>
        </w:tc>
        <w:tc>
          <w:tcPr>
            <w:tcW w:type="dxa" w:w="1871"/>
          </w:tcPr>
          <w:p>
            <w:r/>
            <w:r>
              <w:rPr>
                <w:rFonts w:ascii="Times New Roman" w:hAnsi="Times New Roman"/>
                <w:sz w:val="20"/>
              </w:rPr>
              <w:t>748</w:t>
            </w:r>
          </w:p>
        </w:tc>
        <w:tc>
          <w:tcPr>
            <w:tcW w:type="dxa" w:w="1871"/>
          </w:tcPr>
          <w:p>
            <w:r/>
            <w:r>
              <w:rPr>
                <w:rFonts w:ascii="Times New Roman" w:hAnsi="Times New Roman"/>
                <w:sz w:val="20"/>
              </w:rPr>
              <w:t>85</w:t>
            </w:r>
          </w:p>
        </w:tc>
        <w:tc>
          <w:tcPr>
            <w:tcW w:type="dxa" w:w="1871"/>
          </w:tcPr>
          <w:p>
            <w:r/>
            <w:r>
              <w:rPr>
                <w:rFonts w:ascii="Times New Roman" w:hAnsi="Times New Roman"/>
                <w:sz w:val="20"/>
              </w:rPr>
              <w:t>85</w:t>
            </w:r>
          </w:p>
        </w:tc>
      </w:tr>
      <w:tr>
        <w:tc>
          <w:tcPr>
            <w:tcW w:type="dxa" w:w="1871"/>
          </w:tcPr>
          <w:p>
            <w:r/>
            <w:r>
              <w:rPr>
                <w:rFonts w:ascii="Times New Roman" w:hAnsi="Times New Roman"/>
                <w:sz w:val="20"/>
              </w:rPr>
              <w:t>Fungi</w:t>
            </w:r>
          </w:p>
        </w:tc>
        <w:tc>
          <w:tcPr>
            <w:tcW w:type="dxa" w:w="1871"/>
          </w:tcPr>
          <w:p>
            <w:r/>
            <w:r>
              <w:rPr>
                <w:rFonts w:ascii="Times New Roman" w:hAnsi="Times New Roman"/>
                <w:sz w:val="20"/>
              </w:rPr>
              <w:t>524</w:t>
            </w:r>
          </w:p>
        </w:tc>
        <w:tc>
          <w:tcPr>
            <w:tcW w:type="dxa" w:w="1871"/>
          </w:tcPr>
          <w:p>
            <w:r/>
            <w:r>
              <w:rPr>
                <w:rFonts w:ascii="Times New Roman" w:hAnsi="Times New Roman"/>
                <w:sz w:val="20"/>
              </w:rPr>
              <w:t>748</w:t>
            </w:r>
          </w:p>
        </w:tc>
        <w:tc>
          <w:tcPr>
            <w:tcW w:type="dxa" w:w="1871"/>
          </w:tcPr>
          <w:p>
            <w:r/>
            <w:r>
              <w:rPr>
                <w:rFonts w:ascii="Times New Roman" w:hAnsi="Times New Roman"/>
                <w:sz w:val="20"/>
              </w:rPr>
              <w:t>112</w:t>
            </w:r>
          </w:p>
        </w:tc>
        <w:tc>
          <w:tcPr>
            <w:tcW w:type="dxa" w:w="1871"/>
          </w:tcPr>
          <w:p>
            <w:r/>
            <w:r>
              <w:rPr>
                <w:rFonts w:ascii="Times New Roman" w:hAnsi="Times New Roman"/>
                <w:sz w:val="20"/>
              </w:rPr>
              <w:t>112</w:t>
            </w:r>
          </w:p>
        </w:tc>
      </w:tr>
      <w:tr>
        <w:tc>
          <w:tcPr>
            <w:tcW w:type="dxa" w:w="1871"/>
          </w:tcPr>
          <w:p>
            <w:r/>
            <w:r>
              <w:rPr>
                <w:rFonts w:ascii="Times New Roman" w:hAnsi="Times New Roman"/>
                <w:sz w:val="20"/>
              </w:rPr>
              <w:t>Healthy</w:t>
            </w:r>
          </w:p>
        </w:tc>
        <w:tc>
          <w:tcPr>
            <w:tcW w:type="dxa" w:w="1871"/>
          </w:tcPr>
          <w:p>
            <w:r/>
            <w:r>
              <w:rPr>
                <w:rFonts w:ascii="Times New Roman" w:hAnsi="Times New Roman"/>
                <w:sz w:val="20"/>
              </w:rPr>
              <w:t>141</w:t>
            </w:r>
          </w:p>
        </w:tc>
        <w:tc>
          <w:tcPr>
            <w:tcW w:type="dxa" w:w="1871"/>
          </w:tcPr>
          <w:p>
            <w:r/>
            <w:r>
              <w:rPr>
                <w:rFonts w:ascii="Times New Roman" w:hAnsi="Times New Roman"/>
                <w:sz w:val="20"/>
              </w:rPr>
              <w:t>748</w:t>
            </w:r>
          </w:p>
        </w:tc>
        <w:tc>
          <w:tcPr>
            <w:tcW w:type="dxa" w:w="1871"/>
          </w:tcPr>
          <w:p>
            <w:r/>
            <w:r>
              <w:rPr>
                <w:rFonts w:ascii="Times New Roman" w:hAnsi="Times New Roman"/>
                <w:sz w:val="20"/>
              </w:rPr>
              <w:t>30</w:t>
            </w:r>
          </w:p>
        </w:tc>
        <w:tc>
          <w:tcPr>
            <w:tcW w:type="dxa" w:w="1871"/>
          </w:tcPr>
          <w:p>
            <w:r/>
            <w:r>
              <w:rPr>
                <w:rFonts w:ascii="Times New Roman" w:hAnsi="Times New Roman"/>
                <w:sz w:val="20"/>
              </w:rPr>
              <w:t>30</w:t>
            </w:r>
          </w:p>
        </w:tc>
      </w:tr>
      <w:tr>
        <w:tc>
          <w:tcPr>
            <w:tcW w:type="dxa" w:w="1871"/>
          </w:tcPr>
          <w:p>
            <w:r/>
            <w:r>
              <w:rPr>
                <w:rFonts w:ascii="Times New Roman" w:hAnsi="Times New Roman"/>
                <w:sz w:val="20"/>
              </w:rPr>
              <w:t>Nematode</w:t>
            </w:r>
          </w:p>
        </w:tc>
        <w:tc>
          <w:tcPr>
            <w:tcW w:type="dxa" w:w="1871"/>
          </w:tcPr>
          <w:p>
            <w:r/>
            <w:r>
              <w:rPr>
                <w:rFonts w:ascii="Times New Roman" w:hAnsi="Times New Roman"/>
                <w:sz w:val="20"/>
              </w:rPr>
              <w:t>48</w:t>
            </w:r>
          </w:p>
        </w:tc>
        <w:tc>
          <w:tcPr>
            <w:tcW w:type="dxa" w:w="1871"/>
          </w:tcPr>
          <w:p>
            <w:r/>
            <w:r>
              <w:rPr>
                <w:rFonts w:ascii="Times New Roman" w:hAnsi="Times New Roman"/>
                <w:sz w:val="20"/>
              </w:rPr>
              <w:t>748</w:t>
            </w:r>
          </w:p>
        </w:tc>
        <w:tc>
          <w:tcPr>
            <w:tcW w:type="dxa" w:w="1871"/>
          </w:tcPr>
          <w:p>
            <w:r/>
            <w:r>
              <w:rPr>
                <w:rFonts w:ascii="Times New Roman" w:hAnsi="Times New Roman"/>
                <w:sz w:val="20"/>
              </w:rPr>
              <w:t>10</w:t>
            </w:r>
          </w:p>
        </w:tc>
        <w:tc>
          <w:tcPr>
            <w:tcW w:type="dxa" w:w="1871"/>
          </w:tcPr>
          <w:p>
            <w:r/>
            <w:r>
              <w:rPr>
                <w:rFonts w:ascii="Times New Roman" w:hAnsi="Times New Roman"/>
                <w:sz w:val="20"/>
              </w:rPr>
              <w:t>10</w:t>
            </w:r>
          </w:p>
        </w:tc>
      </w:tr>
      <w:tr>
        <w:tc>
          <w:tcPr>
            <w:tcW w:type="dxa" w:w="1871"/>
          </w:tcPr>
          <w:p>
            <w:r/>
            <w:r>
              <w:rPr>
                <w:rFonts w:ascii="Times New Roman" w:hAnsi="Times New Roman"/>
                <w:sz w:val="20"/>
              </w:rPr>
              <w:t>Pest</w:t>
            </w:r>
          </w:p>
        </w:tc>
        <w:tc>
          <w:tcPr>
            <w:tcW w:type="dxa" w:w="1871"/>
          </w:tcPr>
          <w:p>
            <w:r/>
            <w:r>
              <w:rPr>
                <w:rFonts w:ascii="Times New Roman" w:hAnsi="Times New Roman"/>
                <w:sz w:val="20"/>
              </w:rPr>
              <w:t>427</w:t>
            </w:r>
          </w:p>
        </w:tc>
        <w:tc>
          <w:tcPr>
            <w:tcW w:type="dxa" w:w="1871"/>
          </w:tcPr>
          <w:p>
            <w:r/>
            <w:r>
              <w:rPr>
                <w:rFonts w:ascii="Times New Roman" w:hAnsi="Times New Roman"/>
                <w:sz w:val="20"/>
              </w:rPr>
              <w:t>748</w:t>
            </w:r>
          </w:p>
        </w:tc>
        <w:tc>
          <w:tcPr>
            <w:tcW w:type="dxa" w:w="1871"/>
          </w:tcPr>
          <w:p>
            <w:r/>
            <w:r>
              <w:rPr>
                <w:rFonts w:ascii="Times New Roman" w:hAnsi="Times New Roman"/>
                <w:sz w:val="20"/>
              </w:rPr>
              <w:t>92</w:t>
            </w:r>
          </w:p>
        </w:tc>
        <w:tc>
          <w:tcPr>
            <w:tcW w:type="dxa" w:w="1871"/>
          </w:tcPr>
          <w:p>
            <w:r/>
            <w:r>
              <w:rPr>
                <w:rFonts w:ascii="Times New Roman" w:hAnsi="Times New Roman"/>
                <w:sz w:val="20"/>
              </w:rPr>
              <w:t>92</w:t>
            </w:r>
          </w:p>
        </w:tc>
      </w:tr>
      <w:tr>
        <w:tc>
          <w:tcPr>
            <w:tcW w:type="dxa" w:w="1871"/>
          </w:tcPr>
          <w:p>
            <w:r/>
            <w:r>
              <w:rPr>
                <w:rFonts w:ascii="Times New Roman" w:hAnsi="Times New Roman"/>
                <w:sz w:val="20"/>
              </w:rPr>
              <w:t>Phytopthora</w:t>
            </w:r>
          </w:p>
        </w:tc>
        <w:tc>
          <w:tcPr>
            <w:tcW w:type="dxa" w:w="1871"/>
          </w:tcPr>
          <w:p>
            <w:r/>
            <w:r>
              <w:rPr>
                <w:rFonts w:ascii="Times New Roman" w:hAnsi="Times New Roman"/>
                <w:sz w:val="20"/>
              </w:rPr>
              <w:t>243</w:t>
            </w:r>
          </w:p>
        </w:tc>
        <w:tc>
          <w:tcPr>
            <w:tcW w:type="dxa" w:w="1871"/>
          </w:tcPr>
          <w:p>
            <w:r/>
            <w:r>
              <w:rPr>
                <w:rFonts w:ascii="Times New Roman" w:hAnsi="Times New Roman"/>
                <w:sz w:val="20"/>
              </w:rPr>
              <w:t>748</w:t>
            </w:r>
          </w:p>
        </w:tc>
        <w:tc>
          <w:tcPr>
            <w:tcW w:type="dxa" w:w="1871"/>
          </w:tcPr>
          <w:p>
            <w:r/>
            <w:r>
              <w:rPr>
                <w:rFonts w:ascii="Times New Roman" w:hAnsi="Times New Roman"/>
                <w:sz w:val="20"/>
              </w:rPr>
              <w:t>52</w:t>
            </w:r>
          </w:p>
        </w:tc>
        <w:tc>
          <w:tcPr>
            <w:tcW w:type="dxa" w:w="1871"/>
          </w:tcPr>
          <w:p>
            <w:r/>
            <w:r>
              <w:rPr>
                <w:rFonts w:ascii="Times New Roman" w:hAnsi="Times New Roman"/>
                <w:sz w:val="20"/>
              </w:rPr>
              <w:t>52</w:t>
            </w:r>
          </w:p>
        </w:tc>
      </w:tr>
      <w:tr>
        <w:tc>
          <w:tcPr>
            <w:tcW w:type="dxa" w:w="1871"/>
          </w:tcPr>
          <w:p>
            <w:r/>
            <w:r>
              <w:rPr>
                <w:rFonts w:ascii="Times New Roman" w:hAnsi="Times New Roman"/>
                <w:sz w:val="20"/>
              </w:rPr>
              <w:t>Virus</w:t>
            </w:r>
          </w:p>
        </w:tc>
        <w:tc>
          <w:tcPr>
            <w:tcW w:type="dxa" w:w="1871"/>
          </w:tcPr>
          <w:p>
            <w:r/>
            <w:r>
              <w:rPr>
                <w:rFonts w:ascii="Times New Roman" w:hAnsi="Times New Roman"/>
                <w:sz w:val="20"/>
              </w:rPr>
              <w:t>372</w:t>
            </w:r>
          </w:p>
        </w:tc>
        <w:tc>
          <w:tcPr>
            <w:tcW w:type="dxa" w:w="1871"/>
          </w:tcPr>
          <w:p>
            <w:r/>
            <w:r>
              <w:rPr>
                <w:rFonts w:ascii="Times New Roman" w:hAnsi="Times New Roman"/>
                <w:sz w:val="20"/>
              </w:rPr>
              <w:t>748</w:t>
            </w:r>
          </w:p>
        </w:tc>
        <w:tc>
          <w:tcPr>
            <w:tcW w:type="dxa" w:w="1871"/>
          </w:tcPr>
          <w:p>
            <w:r/>
            <w:r>
              <w:rPr>
                <w:rFonts w:ascii="Times New Roman" w:hAnsi="Times New Roman"/>
                <w:sz w:val="20"/>
              </w:rPr>
              <w:t>80</w:t>
            </w:r>
          </w:p>
        </w:tc>
        <w:tc>
          <w:tcPr>
            <w:tcW w:type="dxa" w:w="1871"/>
          </w:tcPr>
          <w:p>
            <w:r/>
            <w:r>
              <w:rPr>
                <w:rFonts w:ascii="Times New Roman" w:hAnsi="Times New Roman"/>
                <w:sz w:val="20"/>
              </w:rPr>
              <w:t>80</w:t>
            </w:r>
          </w:p>
        </w:tc>
      </w:tr>
      <w:tr>
        <w:tc>
          <w:tcPr>
            <w:tcW w:type="dxa" w:w="1871"/>
          </w:tcPr>
          <w:p>
            <w:r/>
            <w:r>
              <w:rPr>
                <w:rFonts w:ascii="Times New Roman" w:hAnsi="Times New Roman"/>
                <w:sz w:val="20"/>
              </w:rPr>
              <w:t>**Total**</w:t>
            </w:r>
          </w:p>
        </w:tc>
        <w:tc>
          <w:tcPr>
            <w:tcW w:type="dxa" w:w="1871"/>
          </w:tcPr>
          <w:p>
            <w:r/>
            <w:r>
              <w:rPr>
                <w:rFonts w:ascii="Times New Roman" w:hAnsi="Times New Roman"/>
                <w:sz w:val="20"/>
              </w:rPr>
              <w:t>**2,154**</w:t>
            </w:r>
          </w:p>
        </w:tc>
        <w:tc>
          <w:tcPr>
            <w:tcW w:type="dxa" w:w="1871"/>
          </w:tcPr>
          <w:p>
            <w:r/>
            <w:r>
              <w:rPr>
                <w:rFonts w:ascii="Times New Roman" w:hAnsi="Times New Roman"/>
                <w:sz w:val="20"/>
              </w:rPr>
              <w:t>**5,236**</w:t>
            </w:r>
          </w:p>
        </w:tc>
        <w:tc>
          <w:tcPr>
            <w:tcW w:type="dxa" w:w="1871"/>
          </w:tcPr>
          <w:p>
            <w:r/>
            <w:r>
              <w:rPr>
                <w:rFonts w:ascii="Times New Roman" w:hAnsi="Times New Roman"/>
                <w:sz w:val="20"/>
              </w:rPr>
              <w:t>**459**</w:t>
            </w:r>
          </w:p>
        </w:tc>
        <w:tc>
          <w:tcPr>
            <w:tcW w:type="dxa" w:w="1871"/>
          </w:tcPr>
          <w:p>
            <w:r/>
            <w:r>
              <w:rPr>
                <w:rFonts w:ascii="Times New Roman" w:hAnsi="Times New Roman"/>
                <w:sz w:val="20"/>
              </w:rPr>
              <w:t>**459**</w:t>
            </w:r>
          </w:p>
        </w:tc>
      </w:tr>
    </w:tbl>
    <w:p/>
    <w:p>
      <w:pPr>
        <w:spacing w:line="276" w:lineRule="auto" w:before="120"/>
      </w:pPr>
      <w:r>
        <w:rPr>
          <w:rFonts w:ascii="Times New Roman" w:hAnsi="Times New Roman"/>
          <w:b/>
          <w:sz w:val="24"/>
        </w:rPr>
        <w:t>Model Architectures</w:t>
      </w:r>
    </w:p>
    <w:p>
      <w:pPr>
        <w:spacing w:line="276" w:lineRule="auto"/>
        <w:ind w:firstLine="0"/>
        <w:jc w:val="both"/>
      </w:pPr>
      <w:r>
        <w:rPr>
          <w:rFonts w:ascii="Times New Roman" w:hAnsi="Times New Roman"/>
          <w:sz w:val="24"/>
        </w:rPr>
        <w:t>Four deep learning architectures were developed and benchmarked:</w:t>
      </w:r>
    </w:p>
    <w:p>
      <w:pPr>
        <w:spacing w:line="276" w:lineRule="auto"/>
        <w:ind w:firstLine="0"/>
        <w:jc w:val="both"/>
      </w:pPr>
      <w:r>
        <w:rPr>
          <w:rFonts w:ascii="Times New Roman" w:hAnsi="Times New Roman"/>
          <w:sz w:val="24"/>
        </w:rPr>
      </w:r>
      <w:r>
        <w:rPr>
          <w:rFonts w:ascii="Times New Roman" w:hAnsi="Times New Roman"/>
          <w:b/>
          <w:sz w:val="24"/>
        </w:rPr>
        <w:t>Baseline CNN.</w:t>
      </w:r>
      <w:r>
        <w:rPr>
          <w:rFonts w:ascii="Times New Roman" w:hAnsi="Times New Roman"/>
          <w:sz w:val="24"/>
        </w:rPr>
        <w:t xml:space="preserve"> A three-block convolutional network (32 → 64 → 128 channels) trained entirely from scratch, serving as a lower-bound performance reference.</w:t>
      </w:r>
    </w:p>
    <w:p>
      <w:pPr>
        <w:spacing w:line="276" w:lineRule="auto"/>
        <w:ind w:firstLine="0"/>
        <w:jc w:val="both"/>
      </w:pPr>
      <w:r>
        <w:rPr>
          <w:rFonts w:ascii="Times New Roman" w:hAnsi="Times New Roman"/>
          <w:sz w:val="24"/>
        </w:rPr>
      </w:r>
      <w:r>
        <w:rPr>
          <w:rFonts w:ascii="Times New Roman" w:hAnsi="Times New Roman"/>
          <w:b/>
          <w:sz w:val="24"/>
        </w:rPr>
        <w:t>EfficientNetB0 (Frozen).</w:t>
      </w:r>
      <w:r>
        <w:rPr>
          <w:rFonts w:ascii="Times New Roman" w:hAnsi="Times New Roman"/>
          <w:sz w:val="24"/>
        </w:rPr>
        <w:t xml:space="preserve"> A pretrained EfficientNetB0 backbone with all convolutional layers frozen; only the classifier head was trained. This configuration tests whether transfer-learned features alone can handle the uncontrolled dataset.</w:t>
      </w:r>
    </w:p>
    <w:p>
      <w:pPr>
        <w:spacing w:line="276" w:lineRule="auto"/>
        <w:ind w:firstLine="0"/>
        <w:jc w:val="both"/>
      </w:pPr>
      <w:r>
        <w:rPr>
          <w:rFonts w:ascii="Times New Roman" w:hAnsi="Times New Roman"/>
          <w:sz w:val="24"/>
        </w:rPr>
      </w:r>
      <w:r>
        <w:rPr>
          <w:rFonts w:ascii="Times New Roman" w:hAnsi="Times New Roman"/>
          <w:b/>
          <w:sz w:val="24"/>
        </w:rPr>
        <w:t>EfficientNetB0 (Fine-tune).</w:t>
      </w:r>
      <w:r>
        <w:rPr>
          <w:rFonts w:ascii="Times New Roman" w:hAnsi="Times New Roman"/>
          <w:sz w:val="24"/>
        </w:rPr>
        <w:t xml:space="preserve"> A pretrained EfficientNetB0 backbone with the last two blocks unfrozen for end-to-end fine-tuning, allowing domain-specific adaptation of higher-level features while preserving lower-level learned representations.</w:t>
      </w:r>
    </w:p>
    <w:p>
      <w:pPr>
        <w:spacing w:line="276" w:lineRule="auto"/>
        <w:ind w:firstLine="0"/>
        <w:jc w:val="both"/>
      </w:pPr>
      <w:r>
        <w:rPr>
          <w:rFonts w:ascii="Times New Roman" w:hAnsi="Times New Roman"/>
          <w:sz w:val="24"/>
        </w:rPr>
      </w:r>
      <w:r>
        <w:rPr>
          <w:rFonts w:ascii="Times New Roman" w:hAnsi="Times New Roman"/>
          <w:b/>
          <w:sz w:val="24"/>
        </w:rPr>
        <w:t>Hybrid CNN-Transformer.</w:t>
      </w:r>
      <w:r>
        <w:rPr>
          <w:rFonts w:ascii="Times New Roman" w:hAnsi="Times New Roman"/>
          <w:sz w:val="24"/>
        </w:rPr>
        <w:t xml:space="preserve"> The primary model, combining an EfficientNetB0 backbone for local feature extraction with a learnable positional encoding layer and a two-layer Transformer encoder (8 attention heads, feed-forward dimension of 2,048) followed by a dense classification head. This architecture is designed to capture both local texture patterns through the CNN and global spatial relationships through self-attention, which is particularly beneficial when disease symptoms co-occur with background clutter and partial occlusion. The transformer encoder operates on patch tokens derived from the CNN feature maps (7 × 7 spatial positions), enabling each patch to attend to all other patches and aggregate information across the full spatial extent of the image. Dropout rates of 0.2 in the transformer layers and 0.3 in the classification head were applied to prevent overfitting.</w:t>
      </w:r>
    </w:p>
    <w:p>
      <w:pPr>
        <w:spacing w:line="276" w:lineRule="auto" w:before="120"/>
      </w:pPr>
      <w:r>
        <w:rPr>
          <w:rFonts w:ascii="Times New Roman" w:hAnsi="Times New Roman"/>
          <w:b/>
          <w:sz w:val="24"/>
        </w:rPr>
        <w:t>Training Configuration</w:t>
      </w:r>
    </w:p>
    <w:p>
      <w:pPr>
        <w:spacing w:line="276" w:lineRule="auto"/>
        <w:ind w:firstLine="0"/>
        <w:jc w:val="both"/>
      </w:pPr>
      <w:r>
        <w:rPr>
          <w:rFonts w:ascii="Times New Roman" w:hAnsi="Times New Roman"/>
          <w:sz w:val="24"/>
        </w:rPr>
        <w:t>All models were trained using the Adam optimizer with label smoothing (factor = 0.1) and a ReduceLROnPlateau scheduler. The Baseline CNN trained for 60 epochs, EfficientNetB0 (Frozen) for 30 epochs, EfficientNetB0 (Fine-tune) for 30 epochs, and the Hybrid CNN-Transformer for 60 epochs. Automatic mixed-precision (AMP) training was employed to maximize GPU memory utilization. Model checkpoints were saved based on the best validation loss, and training was conducted on an NVIDIA GPU environment with CUDA 12.1. The learning rate was initialised at 1e-3 for the Baseline CNN and 1e-4 for all transfer learning models, with ReduceLROnPlateau monitoring validation loss (patience = 5, factor = 0.5). Label smoothing was applied to improve generalisation and reduce overconfidence in predicted probabilities.</w:t>
      </w:r>
    </w:p>
    <w:p>
      <w:pPr>
        <w:spacing w:line="276" w:lineRule="auto" w:before="120"/>
      </w:pPr>
      <w:r>
        <w:rPr>
          <w:rFonts w:ascii="Times New Roman" w:hAnsi="Times New Roman"/>
          <w:b/>
          <w:sz w:val="24"/>
        </w:rPr>
        <w:t>Evaluation Protocol</w:t>
      </w:r>
    </w:p>
    <w:p>
      <w:pPr>
        <w:spacing w:line="276" w:lineRule="auto"/>
        <w:ind w:firstLine="0"/>
        <w:jc w:val="both"/>
      </w:pPr>
      <w:r>
        <w:rPr>
          <w:rFonts w:ascii="Times New Roman" w:hAnsi="Times New Roman"/>
          <w:sz w:val="24"/>
        </w:rPr>
        <w:t>Models were ranked under a locked final evaluation protocol to prevent selection bias: (1) highest macro-F1 score, (2) highest accuracy (tiebreaker), (3) lowest inference latency (second tiebreaker). Macro-F1 was chosen as the primary metric because the dataset contains minority classes, and a model achieving high accuracy by correctly classifying only majority classes would be unsuitable for practical deployment where all disease types must be identified. The locked protocol ensured that model selection was determined before viewing test-set results, eliminating the risk of post-hoc selection bias.</w:t>
      </w:r>
    </w:p>
    <w:p>
      <w:pPr>
        <w:spacing w:line="276" w:lineRule="auto"/>
        <w:ind w:firstLine="0"/>
        <w:jc w:val="both"/>
      </w:pPr>
      <w:r>
        <w:rPr>
          <w:rFonts w:ascii="Times New Roman" w:hAnsi="Times New Roman"/>
          <w:sz w:val="24"/>
        </w:rPr>
        <w:t>Statistical significance of pairwise performance differences was assessed using McNemar's test with Bonferroni correction to account for multiple comparisons across the six possible model pairs. Bootstrap 95% confidence intervals were computed for the primary metrics. Additionally, an ablation study was conducted by removing the Transformer encoder from the Hybrid architecture to isolate its contribution. Model calibration was evaluated using the Expected Calibration Error (ECE) and Brier score, and CPU-based inference latency was measured separately to assess deployment feasibility on edge devices without GPU access.</w:t>
      </w:r>
    </w:p>
    <w:p>
      <w:pPr>
        <w:spacing w:line="276" w:lineRule="auto"/>
        <w:ind w:firstLine="0"/>
        <w:jc w:val="both"/>
      </w:pPr>
      <w:r>
        <w:rPr>
          <w:rFonts w:ascii="Times New Roman" w:hAnsi="Times New Roman"/>
          <w:sz w:val="24"/>
        </w:rPr>
        <w:t>The final selected model was evaluated under five robustness conditions (clean, Gaussian blur σ = 3, low-light simulation with brightness reduced by 50%, Gaussian noise σ = 25, and center occlusion with 25% of image area masked) and with Gradient-weighted Class Activation Mapping (Grad-CAM) explainability analysis to verify that the model focused on disease-relevant leaf regions (Selvaraju et al., 2017).</w:t>
      </w:r>
    </w:p>
    <w:p>
      <w:pPr>
        <w:spacing w:line="276" w:lineRule="auto" w:before="240"/>
      </w:pPr>
      <w:r>
        <w:rPr>
          <w:rFonts w:ascii="Times New Roman" w:hAnsi="Times New Roman"/>
          <w:b/>
          <w:sz w:val="24"/>
        </w:rPr>
        <w:t>RESULTS</w:t>
      </w:r>
    </w:p>
    <w:p>
      <w:pPr>
        <w:spacing w:line="276" w:lineRule="auto" w:before="120"/>
      </w:pPr>
      <w:r>
        <w:rPr>
          <w:rFonts w:ascii="Times New Roman" w:hAnsi="Times New Roman"/>
          <w:b/>
          <w:sz w:val="24"/>
        </w:rPr>
        <w:t>Model Benchmarking</w:t>
      </w:r>
    </w:p>
    <w:p>
      <w:pPr>
        <w:spacing w:after="40"/>
      </w:pPr>
      <w:r>
        <w:rPr>
          <w:rFonts w:ascii="Times New Roman" w:hAnsi="Times New Roman"/>
          <w:b/>
          <w:sz w:val="20"/>
        </w:rPr>
        <w:t>Table 1. Final benchmarking results</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
              <w:rPr>
                <w:rFonts w:ascii="Times New Roman" w:hAnsi="Times New Roman"/>
                <w:b/>
                <w:sz w:val="20"/>
              </w:rPr>
              <w:t>Model</w:t>
            </w:r>
          </w:p>
        </w:tc>
        <w:tc>
          <w:tcPr>
            <w:tcW w:type="dxa" w:w="2339"/>
          </w:tcPr>
          <w:p>
            <w:r/>
            <w:r>
              <w:rPr>
                <w:rFonts w:ascii="Times New Roman" w:hAnsi="Times New Roman"/>
                <w:b/>
                <w:sz w:val="20"/>
              </w:rPr>
              <w:t>Accuracy</w:t>
            </w:r>
          </w:p>
        </w:tc>
        <w:tc>
          <w:tcPr>
            <w:tcW w:type="dxa" w:w="2339"/>
          </w:tcPr>
          <w:p>
            <w:r/>
            <w:r>
              <w:rPr>
                <w:rFonts w:ascii="Times New Roman" w:hAnsi="Times New Roman"/>
                <w:b/>
                <w:sz w:val="20"/>
              </w:rPr>
              <w:t>Macro-F1</w:t>
            </w:r>
          </w:p>
        </w:tc>
        <w:tc>
          <w:tcPr>
            <w:tcW w:type="dxa" w:w="2339"/>
          </w:tcPr>
          <w:p>
            <w:r/>
            <w:r>
              <w:rPr>
                <w:rFonts w:ascii="Times New Roman" w:hAnsi="Times New Roman"/>
                <w:b/>
                <w:sz w:val="20"/>
              </w:rPr>
              <w:t>Latency (ms/img)</w:t>
            </w:r>
          </w:p>
        </w:tc>
      </w:tr>
      <w:tr>
        <w:tc>
          <w:tcPr>
            <w:tcW w:type="dxa" w:w="2339"/>
          </w:tcPr>
          <w:p>
            <w:r/>
            <w:r>
              <w:rPr>
                <w:rFonts w:ascii="Times New Roman" w:hAnsi="Times New Roman"/>
                <w:sz w:val="20"/>
              </w:rPr>
              <w:t>Hybrid CNN-Transformer</w:t>
            </w:r>
          </w:p>
        </w:tc>
        <w:tc>
          <w:tcPr>
            <w:tcW w:type="dxa" w:w="2339"/>
          </w:tcPr>
          <w:p>
            <w:r/>
            <w:r>
              <w:rPr>
                <w:rFonts w:ascii="Times New Roman" w:hAnsi="Times New Roman"/>
                <w:sz w:val="20"/>
              </w:rPr>
              <w:t>0.8671</w:t>
            </w:r>
          </w:p>
        </w:tc>
        <w:tc>
          <w:tcPr>
            <w:tcW w:type="dxa" w:w="2339"/>
          </w:tcPr>
          <w:p>
            <w:r/>
            <w:r>
              <w:rPr>
                <w:rFonts w:ascii="Times New Roman" w:hAnsi="Times New Roman"/>
                <w:sz w:val="20"/>
              </w:rPr>
              <w:t>0.8679</w:t>
            </w:r>
          </w:p>
        </w:tc>
        <w:tc>
          <w:tcPr>
            <w:tcW w:type="dxa" w:w="2339"/>
          </w:tcPr>
          <w:p>
            <w:r/>
            <w:r>
              <w:rPr>
                <w:rFonts w:ascii="Times New Roman" w:hAnsi="Times New Roman"/>
                <w:sz w:val="20"/>
              </w:rPr>
              <w:t>1.339</w:t>
            </w:r>
          </w:p>
        </w:tc>
      </w:tr>
      <w:tr>
        <w:tc>
          <w:tcPr>
            <w:tcW w:type="dxa" w:w="2339"/>
          </w:tcPr>
          <w:p>
            <w:r/>
            <w:r>
              <w:rPr>
                <w:rFonts w:ascii="Times New Roman" w:hAnsi="Times New Roman"/>
                <w:sz w:val="20"/>
              </w:rPr>
              <w:t>EfficientNetB0 (Fine-tune)</w:t>
            </w:r>
          </w:p>
        </w:tc>
        <w:tc>
          <w:tcPr>
            <w:tcW w:type="dxa" w:w="2339"/>
          </w:tcPr>
          <w:p>
            <w:r/>
            <w:r>
              <w:rPr>
                <w:rFonts w:ascii="Times New Roman" w:hAnsi="Times New Roman"/>
                <w:sz w:val="20"/>
              </w:rPr>
              <w:t>0.8453</w:t>
            </w:r>
          </w:p>
        </w:tc>
        <w:tc>
          <w:tcPr>
            <w:tcW w:type="dxa" w:w="2339"/>
          </w:tcPr>
          <w:p>
            <w:r/>
            <w:r>
              <w:rPr>
                <w:rFonts w:ascii="Times New Roman" w:hAnsi="Times New Roman"/>
                <w:sz w:val="20"/>
              </w:rPr>
              <w:t>0.8494</w:t>
            </w:r>
          </w:p>
        </w:tc>
        <w:tc>
          <w:tcPr>
            <w:tcW w:type="dxa" w:w="2339"/>
          </w:tcPr>
          <w:p>
            <w:r/>
            <w:r>
              <w:rPr>
                <w:rFonts w:ascii="Times New Roman" w:hAnsi="Times New Roman"/>
                <w:sz w:val="20"/>
              </w:rPr>
              <w:t>1.279</w:t>
            </w:r>
          </w:p>
        </w:tc>
      </w:tr>
      <w:tr>
        <w:tc>
          <w:tcPr>
            <w:tcW w:type="dxa" w:w="2339"/>
          </w:tcPr>
          <w:p>
            <w:r/>
            <w:r>
              <w:rPr>
                <w:rFonts w:ascii="Times New Roman" w:hAnsi="Times New Roman"/>
                <w:sz w:val="20"/>
              </w:rPr>
              <w:t>EfficientNetB0 (Frozen)</w:t>
            </w:r>
          </w:p>
        </w:tc>
        <w:tc>
          <w:tcPr>
            <w:tcW w:type="dxa" w:w="2339"/>
          </w:tcPr>
          <w:p>
            <w:r/>
            <w:r>
              <w:rPr>
                <w:rFonts w:ascii="Times New Roman" w:hAnsi="Times New Roman"/>
                <w:sz w:val="20"/>
              </w:rPr>
              <w:t>0.7124</w:t>
            </w:r>
          </w:p>
        </w:tc>
        <w:tc>
          <w:tcPr>
            <w:tcW w:type="dxa" w:w="2339"/>
          </w:tcPr>
          <w:p>
            <w:r/>
            <w:r>
              <w:rPr>
                <w:rFonts w:ascii="Times New Roman" w:hAnsi="Times New Roman"/>
                <w:sz w:val="20"/>
              </w:rPr>
              <w:t>0.7062</w:t>
            </w:r>
          </w:p>
        </w:tc>
        <w:tc>
          <w:tcPr>
            <w:tcW w:type="dxa" w:w="2339"/>
          </w:tcPr>
          <w:p>
            <w:r/>
            <w:r>
              <w:rPr>
                <w:rFonts w:ascii="Times New Roman" w:hAnsi="Times New Roman"/>
                <w:sz w:val="20"/>
              </w:rPr>
              <w:t>1.134</w:t>
            </w:r>
          </w:p>
        </w:tc>
      </w:tr>
      <w:tr>
        <w:tc>
          <w:tcPr>
            <w:tcW w:type="dxa" w:w="2339"/>
          </w:tcPr>
          <w:p>
            <w:r/>
            <w:r>
              <w:rPr>
                <w:rFonts w:ascii="Times New Roman" w:hAnsi="Times New Roman"/>
                <w:sz w:val="20"/>
              </w:rPr>
              <w:t>Baseline CNN</w:t>
            </w:r>
          </w:p>
        </w:tc>
        <w:tc>
          <w:tcPr>
            <w:tcW w:type="dxa" w:w="2339"/>
          </w:tcPr>
          <w:p>
            <w:r/>
            <w:r>
              <w:rPr>
                <w:rFonts w:ascii="Times New Roman" w:hAnsi="Times New Roman"/>
                <w:sz w:val="20"/>
              </w:rPr>
              <w:t>0.5294</w:t>
            </w:r>
          </w:p>
        </w:tc>
        <w:tc>
          <w:tcPr>
            <w:tcW w:type="dxa" w:w="2339"/>
          </w:tcPr>
          <w:p>
            <w:r/>
            <w:r>
              <w:rPr>
                <w:rFonts w:ascii="Times New Roman" w:hAnsi="Times New Roman"/>
                <w:sz w:val="20"/>
              </w:rPr>
              <w:t>0.5400</w:t>
            </w:r>
          </w:p>
        </w:tc>
        <w:tc>
          <w:tcPr>
            <w:tcW w:type="dxa" w:w="2339"/>
          </w:tcPr>
          <w:p>
            <w:r/>
            <w:r>
              <w:rPr>
                <w:rFonts w:ascii="Times New Roman" w:hAnsi="Times New Roman"/>
                <w:sz w:val="20"/>
              </w:rPr>
              <w:t>1.063</w:t>
            </w:r>
          </w:p>
        </w:tc>
      </w:tr>
    </w:tbl>
    <w:p/>
    <w:p>
      <w:pPr>
        <w:spacing w:line="276" w:lineRule="auto"/>
        <w:ind w:firstLine="0"/>
        <w:jc w:val="both"/>
      </w:pPr>
      <w:r>
        <w:rPr>
          <w:rFonts w:ascii="Times New Roman" w:hAnsi="Times New Roman"/>
          <w:sz w:val="24"/>
        </w:rPr>
        <w:t>The Hybrid CNN-Transformer achieved the highest macro-F1 (0.8679) and accuracy (0.8671), confirming it as the final selected model under the evaluation rules. The clear performance gap between the Baseline CNN (0.5400 macro-F1) and the transfer-learning approaches (0.7062–0.8679 macro-F1) demonstrates the critical importance of pretrained features for this challenging dataset.</w:t>
      </w:r>
    </w:p>
    <w:p>
      <w:pPr>
        <w:spacing w:line="276" w:lineRule="auto"/>
        <w:ind w:firstLine="0"/>
        <w:jc w:val="both"/>
      </w:pPr>
      <w:r>
        <w:rPr>
          <w:rFonts w:ascii="Times New Roman" w:hAnsi="Times New Roman"/>
          <w:sz w:val="24"/>
        </w:rPr>
        <w:t>The EfficientNetB0 (fine-tune) achieved the second-best performance (0.8494 macro-F1). Unfreezing the EfficientNetB0 backbone for domain-specific adaptation substantially improved over frozen-backbone transfer learning (+0.1432 macro-F1). The Hybrid CNN-Transformer's combination of CNN feature extraction with transformer self-attention provided a further improvement of +0.0185 macro-F1 over fine-tuning alone, demonstrating the value of global contextual modeling for field imagery with complex backgrounds.</w:t>
      </w:r>
    </w:p>
    <w:p>
      <w:pPr>
        <w:spacing w:line="276" w:lineRule="auto"/>
        <w:ind w:firstLine="0"/>
        <w:jc w:val="both"/>
      </w:pPr>
      <w:r>
        <w:rPr>
          <w:rFonts w:ascii="Times New Roman" w:hAnsi="Times New Roman"/>
          <w:sz w:val="24"/>
        </w:rPr>
        <w:t>Bootstrap 95% confidence intervals and pairwise McNemar's tests with Bonferroni correction confirmed statistically significant differences between most model pairs; however, the difference between the Hybrid CNN-Transformer and EfficientNetB0 fine-tune was not statistically significant (p = 0.212), suggesting that while the Hybrid model is the top performer, its advantage over fine-tuning alone requires further validation on larger datasets. All other pairwise comparisons were significant (p &lt; 0.008).</w:t>
      </w:r>
    </w:p>
    <w:p>
      <w:pPr>
        <w:spacing w:line="276" w:lineRule="auto"/>
        <w:ind w:firstLine="0"/>
        <w:jc w:val="both"/>
      </w:pPr>
      <w:r>
        <w:rPr>
          <w:rFonts w:ascii="Times New Roman" w:hAnsi="Times New Roman"/>
          <w:sz w:val="24"/>
        </w:rPr>
        <w:t>The ablation study further confirmed the critical contribution of the Transformer encoder: removing the Transformer layers from the Hybrid architecture reduced accuracy from 0.8671 to 0.5708 (a 29.63 percentage-point drop) and macro-F1 from 0.8679 to 0.4706 (a 39.73 percentage-point drop). This demonstrates that the self-attention mechanism is essential for capturing global spatial relationships in field imagery with complex backgrounds and variable disease presentation.</w:t>
      </w:r>
    </w:p>
    <w:p>
      <w:pPr>
        <w:spacing w:line="276" w:lineRule="auto" w:before="120"/>
      </w:pPr>
      <w:r>
        <w:rPr>
          <w:rFonts w:ascii="Times New Roman" w:hAnsi="Times New Roman"/>
          <w:b/>
          <w:sz w:val="24"/>
        </w:rPr>
        <w:t>Per-Class Performance Analysis</w:t>
      </w:r>
    </w:p>
    <w:p>
      <w:pPr>
        <w:spacing w:line="276" w:lineRule="auto"/>
        <w:ind w:firstLine="0"/>
        <w:jc w:val="both"/>
      </w:pPr>
      <w:r>
        <w:rPr>
          <w:rFonts w:ascii="Times New Roman" w:hAnsi="Times New Roman"/>
          <w:sz w:val="24"/>
        </w:rPr>
        <w:t>Examination of the confusion matrix reveals that the Hybrid CNN-Transformer achieved consistently strong classification performance across all seven disease classes. The model demonstrated particularly high precision and recall for the Bacteria and Pest classes, which represented the largest training categories after balancing. The Fungi class exhibited the most inter-class confusion, which is expected given the visual similarity of fungal infection symptoms to certain bacterial and Phytopthora lesions. The Nematode class, despite having the fewest original training samples (only 68 images before augmentation, with only 10 test samples), was classified with reasonable reliability, demonstrating that the balanced augmentation strategy successfully addressed the class imbalance challenge. The Healthy class also showed strong performance, confirming that the model can reliably distinguish between healthy and diseased leaves despite the complex backgrounds present in field imagery.</w:t>
      </w:r>
    </w:p>
    <w:p>
      <w:pPr>
        <w:spacing w:line="276" w:lineRule="auto" w:before="120"/>
      </w:pPr>
      <w:r>
        <w:rPr>
          <w:rFonts w:ascii="Times New Roman" w:hAnsi="Times New Roman"/>
          <w:b/>
          <w:sz w:val="24"/>
        </w:rPr>
        <w:t>Model Calibration and Confidence</w:t>
      </w:r>
    </w:p>
    <w:p>
      <w:pPr>
        <w:spacing w:line="276" w:lineRule="auto"/>
        <w:ind w:firstLine="0"/>
        <w:jc w:val="both"/>
      </w:pPr>
      <w:r>
        <w:rPr>
          <w:rFonts w:ascii="Times New Roman" w:hAnsi="Times New Roman"/>
          <w:sz w:val="24"/>
        </w:rPr>
        <w:t>Model calibration was assessed to evaluate the reliability of predicted confidence scores for deployment scenarios. The Expected Calibration Error (ECE) was 0.0448 and the Brier score was 0.2152, indicating that the model's predicted probabilities are reasonably well-calibrated. Well-calibrated confidence scores are essential for practical deployment, as they allow downstream decision-making systems to appropriately weight predictions. For example, a confidence threshold could be applied to flag uncertain predictions for manual review by agricultural extension workers, rather than automatically acting on unreliable classifications.</w:t>
      </w:r>
    </w:p>
    <w:p>
      <w:pPr>
        <w:spacing w:line="276" w:lineRule="auto"/>
        <w:ind w:firstLine="0"/>
        <w:jc w:val="both"/>
      </w:pPr>
      <w:r>
        <w:rPr>
          <w:rFonts w:ascii="Times New Roman" w:hAnsi="Times New Roman"/>
          <w:sz w:val="24"/>
        </w:rPr>
      </w:r>
      <w:r>
        <w:rPr>
          <w:rFonts w:ascii="Times New Roman" w:hAnsi="Times New Roman"/>
          <w:b/>
          <w:sz w:val="24"/>
        </w:rPr>
        <w:t>Figure 2.</w:t>
      </w:r>
      <w:r>
        <w:rPr>
          <w:rFonts w:ascii="Times New Roman" w:hAnsi="Times New Roman"/>
          <w:sz w:val="24"/>
        </w:rPr>
        <w:t xml:space="preserve"> Confusion matrix for the Hybrid CNN-Transformer on the held-out test set (459 samples). Strong diagonal dominance confirms reliable classification across all seven disease classes.</w:t>
      </w:r>
    </w:p>
    <w:p>
      <w:pPr>
        <w:spacing w:line="276" w:lineRule="auto" w:before="120"/>
      </w:pPr>
      <w:r>
        <w:rPr>
          <w:rFonts w:ascii="Times New Roman" w:hAnsi="Times New Roman"/>
          <w:b/>
          <w:sz w:val="24"/>
        </w:rPr>
        <w:t>Robustness Analysis</w:t>
      </w:r>
    </w:p>
    <w:p>
      <w:pPr>
        <w:spacing w:after="40"/>
      </w:pPr>
      <w:r>
        <w:rPr>
          <w:rFonts w:ascii="Times New Roman" w:hAnsi="Times New Roman"/>
          <w:b/>
          <w:sz w:val="20"/>
        </w:rPr>
        <w:t>Table 2. Robustness results for the Hybrid CNN-Transformer</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1559"/>
          </w:tcPr>
          <w:p>
            <w:r/>
            <w:r>
              <w:rPr>
                <w:rFonts w:ascii="Times New Roman" w:hAnsi="Times New Roman"/>
                <w:b/>
                <w:sz w:val="20"/>
              </w:rPr>
              <w:t>Condition</w:t>
            </w:r>
          </w:p>
        </w:tc>
        <w:tc>
          <w:tcPr>
            <w:tcW w:type="dxa" w:w="1559"/>
          </w:tcPr>
          <w:p>
            <w:r/>
            <w:r>
              <w:rPr>
                <w:rFonts w:ascii="Times New Roman" w:hAnsi="Times New Roman"/>
                <w:b/>
                <w:sz w:val="20"/>
              </w:rPr>
              <w:t>Accuracy</w:t>
            </w:r>
          </w:p>
        </w:tc>
        <w:tc>
          <w:tcPr>
            <w:tcW w:type="dxa" w:w="1559"/>
          </w:tcPr>
          <w:p>
            <w:r/>
            <w:r>
              <w:rPr>
                <w:rFonts w:ascii="Times New Roman" w:hAnsi="Times New Roman"/>
                <w:b/>
                <w:sz w:val="20"/>
              </w:rPr>
              <w:t>Macro-F1</w:t>
            </w:r>
          </w:p>
        </w:tc>
        <w:tc>
          <w:tcPr>
            <w:tcW w:type="dxa" w:w="1559"/>
          </w:tcPr>
          <w:p>
            <w:r/>
            <w:r>
              <w:rPr>
                <w:rFonts w:ascii="Times New Roman" w:hAnsi="Times New Roman"/>
                <w:b/>
                <w:sz w:val="20"/>
              </w:rPr>
              <w:t>Prec.</w:t>
            </w:r>
          </w:p>
        </w:tc>
        <w:tc>
          <w:tcPr>
            <w:tcW w:type="dxa" w:w="1559"/>
          </w:tcPr>
          <w:p>
            <w:r/>
            <w:r>
              <w:rPr>
                <w:rFonts w:ascii="Times New Roman" w:hAnsi="Times New Roman"/>
                <w:b/>
                <w:sz w:val="20"/>
              </w:rPr>
              <w:t>Recall</w:t>
            </w:r>
          </w:p>
        </w:tc>
        <w:tc>
          <w:tcPr>
            <w:tcW w:type="dxa" w:w="1559"/>
          </w:tcPr>
          <w:p>
            <w:r/>
            <w:r>
              <w:rPr>
                <w:rFonts w:ascii="Times New Roman" w:hAnsi="Times New Roman"/>
                <w:b/>
                <w:sz w:val="20"/>
              </w:rPr>
              <w:t>F1 Drop</w:t>
            </w:r>
          </w:p>
        </w:tc>
      </w:tr>
      <w:tr>
        <w:tc>
          <w:tcPr>
            <w:tcW w:type="dxa" w:w="1559"/>
          </w:tcPr>
          <w:p>
            <w:r/>
            <w:r>
              <w:rPr>
                <w:rFonts w:ascii="Times New Roman" w:hAnsi="Times New Roman"/>
                <w:sz w:val="20"/>
              </w:rPr>
              <w:t>Clean (Test Set)</w:t>
            </w:r>
          </w:p>
        </w:tc>
        <w:tc>
          <w:tcPr>
            <w:tcW w:type="dxa" w:w="1559"/>
          </w:tcPr>
          <w:p>
            <w:r/>
            <w:r>
              <w:rPr>
                <w:rFonts w:ascii="Times New Roman" w:hAnsi="Times New Roman"/>
                <w:sz w:val="20"/>
              </w:rPr>
              <w:t>0.8671</w:t>
            </w:r>
          </w:p>
        </w:tc>
        <w:tc>
          <w:tcPr>
            <w:tcW w:type="dxa" w:w="1559"/>
          </w:tcPr>
          <w:p>
            <w:r/>
            <w:r>
              <w:rPr>
                <w:rFonts w:ascii="Times New Roman" w:hAnsi="Times New Roman"/>
                <w:sz w:val="20"/>
              </w:rPr>
              <w:t>0.8679</w:t>
            </w:r>
          </w:p>
        </w:tc>
        <w:tc>
          <w:tcPr>
            <w:tcW w:type="dxa" w:w="1559"/>
          </w:tcPr>
          <w:p>
            <w:r/>
            <w:r>
              <w:rPr>
                <w:rFonts w:ascii="Times New Roman" w:hAnsi="Times New Roman"/>
                <w:sz w:val="20"/>
              </w:rPr>
              <w:t>0.8715</w:t>
            </w:r>
          </w:p>
        </w:tc>
        <w:tc>
          <w:tcPr>
            <w:tcW w:type="dxa" w:w="1559"/>
          </w:tcPr>
          <w:p>
            <w:r/>
            <w:r>
              <w:rPr>
                <w:rFonts w:ascii="Times New Roman" w:hAnsi="Times New Roman"/>
                <w:sz w:val="20"/>
              </w:rPr>
              <w:t>0.8678</w:t>
            </w:r>
          </w:p>
        </w:tc>
        <w:tc>
          <w:tcPr>
            <w:tcW w:type="dxa" w:w="1559"/>
          </w:tcPr>
          <w:p>
            <w:r/>
            <w:r>
              <w:rPr>
                <w:rFonts w:ascii="Times New Roman" w:hAnsi="Times New Roman"/>
                <w:sz w:val="20"/>
              </w:rPr>
              <w:t>—</w:t>
            </w:r>
          </w:p>
        </w:tc>
      </w:tr>
      <w:tr>
        <w:tc>
          <w:tcPr>
            <w:tcW w:type="dxa" w:w="1559"/>
          </w:tcPr>
          <w:p>
            <w:r/>
            <w:r>
              <w:rPr>
                <w:rFonts w:ascii="Times New Roman" w:hAnsi="Times New Roman"/>
                <w:sz w:val="20"/>
              </w:rPr>
              <w:t>Gaussian Blur</w:t>
            </w:r>
          </w:p>
        </w:tc>
        <w:tc>
          <w:tcPr>
            <w:tcW w:type="dxa" w:w="1559"/>
          </w:tcPr>
          <w:p>
            <w:r/>
            <w:r>
              <w:rPr>
                <w:rFonts w:ascii="Times New Roman" w:hAnsi="Times New Roman"/>
                <w:sz w:val="20"/>
              </w:rPr>
              <w:t>0.8758</w:t>
            </w:r>
          </w:p>
        </w:tc>
        <w:tc>
          <w:tcPr>
            <w:tcW w:type="dxa" w:w="1559"/>
          </w:tcPr>
          <w:p>
            <w:r/>
            <w:r>
              <w:rPr>
                <w:rFonts w:ascii="Times New Roman" w:hAnsi="Times New Roman"/>
                <w:sz w:val="20"/>
              </w:rPr>
              <w:t>0.8848</w:t>
            </w:r>
          </w:p>
        </w:tc>
        <w:tc>
          <w:tcPr>
            <w:tcW w:type="dxa" w:w="1559"/>
          </w:tcPr>
          <w:p>
            <w:r/>
            <w:r>
              <w:rPr>
                <w:rFonts w:ascii="Times New Roman" w:hAnsi="Times New Roman"/>
                <w:sz w:val="20"/>
              </w:rPr>
              <w:t>0.8875</w:t>
            </w:r>
          </w:p>
        </w:tc>
        <w:tc>
          <w:tcPr>
            <w:tcW w:type="dxa" w:w="1559"/>
          </w:tcPr>
          <w:p>
            <w:r/>
            <w:r>
              <w:rPr>
                <w:rFonts w:ascii="Times New Roman" w:hAnsi="Times New Roman"/>
                <w:sz w:val="20"/>
              </w:rPr>
              <w:t>0.8861</w:t>
            </w:r>
          </w:p>
        </w:tc>
        <w:tc>
          <w:tcPr>
            <w:tcW w:type="dxa" w:w="1559"/>
          </w:tcPr>
          <w:p>
            <w:r/>
            <w:r>
              <w:rPr>
                <w:rFonts w:ascii="Times New Roman" w:hAnsi="Times New Roman"/>
                <w:sz w:val="20"/>
              </w:rPr>
              <w:t>−0.0169</w:t>
            </w:r>
          </w:p>
        </w:tc>
      </w:tr>
      <w:tr>
        <w:tc>
          <w:tcPr>
            <w:tcW w:type="dxa" w:w="1559"/>
          </w:tcPr>
          <w:p>
            <w:r/>
            <w:r>
              <w:rPr>
                <w:rFonts w:ascii="Times New Roman" w:hAnsi="Times New Roman"/>
                <w:sz w:val="20"/>
              </w:rPr>
              <w:t>Low Light</w:t>
            </w:r>
          </w:p>
        </w:tc>
        <w:tc>
          <w:tcPr>
            <w:tcW w:type="dxa" w:w="1559"/>
          </w:tcPr>
          <w:p>
            <w:r/>
            <w:r>
              <w:rPr>
                <w:rFonts w:ascii="Times New Roman" w:hAnsi="Times New Roman"/>
                <w:sz w:val="20"/>
              </w:rPr>
              <w:t>0.8431</w:t>
            </w:r>
          </w:p>
        </w:tc>
        <w:tc>
          <w:tcPr>
            <w:tcW w:type="dxa" w:w="1559"/>
          </w:tcPr>
          <w:p>
            <w:r/>
            <w:r>
              <w:rPr>
                <w:rFonts w:ascii="Times New Roman" w:hAnsi="Times New Roman"/>
                <w:sz w:val="20"/>
              </w:rPr>
              <w:t>0.8497</w:t>
            </w:r>
          </w:p>
        </w:tc>
        <w:tc>
          <w:tcPr>
            <w:tcW w:type="dxa" w:w="1559"/>
          </w:tcPr>
          <w:p>
            <w:r/>
            <w:r>
              <w:rPr>
                <w:rFonts w:ascii="Times New Roman" w:hAnsi="Times New Roman"/>
                <w:sz w:val="20"/>
              </w:rPr>
              <w:t>0.8494</w:t>
            </w:r>
          </w:p>
        </w:tc>
        <w:tc>
          <w:tcPr>
            <w:tcW w:type="dxa" w:w="1559"/>
          </w:tcPr>
          <w:p>
            <w:r/>
            <w:r>
              <w:rPr>
                <w:rFonts w:ascii="Times New Roman" w:hAnsi="Times New Roman"/>
                <w:sz w:val="20"/>
              </w:rPr>
              <w:t>0.8649</w:t>
            </w:r>
          </w:p>
        </w:tc>
        <w:tc>
          <w:tcPr>
            <w:tcW w:type="dxa" w:w="1559"/>
          </w:tcPr>
          <w:p>
            <w:r/>
            <w:r>
              <w:rPr>
                <w:rFonts w:ascii="Times New Roman" w:hAnsi="Times New Roman"/>
                <w:sz w:val="20"/>
              </w:rPr>
              <w:t>0.0182</w:t>
            </w:r>
          </w:p>
        </w:tc>
      </w:tr>
      <w:tr>
        <w:tc>
          <w:tcPr>
            <w:tcW w:type="dxa" w:w="1559"/>
          </w:tcPr>
          <w:p>
            <w:r/>
            <w:r>
              <w:rPr>
                <w:rFonts w:ascii="Times New Roman" w:hAnsi="Times New Roman"/>
                <w:sz w:val="20"/>
              </w:rPr>
              <w:t>Gaussian Noise</w:t>
            </w:r>
          </w:p>
        </w:tc>
        <w:tc>
          <w:tcPr>
            <w:tcW w:type="dxa" w:w="1559"/>
          </w:tcPr>
          <w:p>
            <w:r/>
            <w:r>
              <w:rPr>
                <w:rFonts w:ascii="Times New Roman" w:hAnsi="Times New Roman"/>
                <w:sz w:val="20"/>
              </w:rPr>
              <w:t>0.8736</w:t>
            </w:r>
          </w:p>
        </w:tc>
        <w:tc>
          <w:tcPr>
            <w:tcW w:type="dxa" w:w="1559"/>
          </w:tcPr>
          <w:p>
            <w:r/>
            <w:r>
              <w:rPr>
                <w:rFonts w:ascii="Times New Roman" w:hAnsi="Times New Roman"/>
                <w:sz w:val="20"/>
              </w:rPr>
              <w:t>0.8762</w:t>
            </w:r>
          </w:p>
        </w:tc>
        <w:tc>
          <w:tcPr>
            <w:tcW w:type="dxa" w:w="1559"/>
          </w:tcPr>
          <w:p>
            <w:r/>
            <w:r>
              <w:rPr>
                <w:rFonts w:ascii="Times New Roman" w:hAnsi="Times New Roman"/>
                <w:sz w:val="20"/>
              </w:rPr>
              <w:t>0.8696</w:t>
            </w:r>
          </w:p>
        </w:tc>
        <w:tc>
          <w:tcPr>
            <w:tcW w:type="dxa" w:w="1559"/>
          </w:tcPr>
          <w:p>
            <w:r/>
            <w:r>
              <w:rPr>
                <w:rFonts w:ascii="Times New Roman" w:hAnsi="Times New Roman"/>
                <w:sz w:val="20"/>
              </w:rPr>
              <w:t>0.8864</w:t>
            </w:r>
          </w:p>
        </w:tc>
        <w:tc>
          <w:tcPr>
            <w:tcW w:type="dxa" w:w="1559"/>
          </w:tcPr>
          <w:p>
            <w:r/>
            <w:r>
              <w:rPr>
                <w:rFonts w:ascii="Times New Roman" w:hAnsi="Times New Roman"/>
                <w:sz w:val="20"/>
              </w:rPr>
              <w:t>−0.0083</w:t>
            </w:r>
          </w:p>
        </w:tc>
      </w:tr>
      <w:tr>
        <w:tc>
          <w:tcPr>
            <w:tcW w:type="dxa" w:w="1559"/>
          </w:tcPr>
          <w:p>
            <w:r/>
            <w:r>
              <w:rPr>
                <w:rFonts w:ascii="Times New Roman" w:hAnsi="Times New Roman"/>
                <w:sz w:val="20"/>
              </w:rPr>
              <w:t>Center Occlusion</w:t>
            </w:r>
          </w:p>
        </w:tc>
        <w:tc>
          <w:tcPr>
            <w:tcW w:type="dxa" w:w="1559"/>
          </w:tcPr>
          <w:p>
            <w:r/>
            <w:r>
              <w:rPr>
                <w:rFonts w:ascii="Times New Roman" w:hAnsi="Times New Roman"/>
                <w:sz w:val="20"/>
              </w:rPr>
              <w:t>0.8235</w:t>
            </w:r>
          </w:p>
        </w:tc>
        <w:tc>
          <w:tcPr>
            <w:tcW w:type="dxa" w:w="1559"/>
          </w:tcPr>
          <w:p>
            <w:r/>
            <w:r>
              <w:rPr>
                <w:rFonts w:ascii="Times New Roman" w:hAnsi="Times New Roman"/>
                <w:sz w:val="20"/>
              </w:rPr>
              <w:t>0.8264</w:t>
            </w:r>
          </w:p>
        </w:tc>
        <w:tc>
          <w:tcPr>
            <w:tcW w:type="dxa" w:w="1559"/>
          </w:tcPr>
          <w:p>
            <w:r/>
            <w:r>
              <w:rPr>
                <w:rFonts w:ascii="Times New Roman" w:hAnsi="Times New Roman"/>
                <w:sz w:val="20"/>
              </w:rPr>
              <w:t>0.8260</w:t>
            </w:r>
          </w:p>
        </w:tc>
        <w:tc>
          <w:tcPr>
            <w:tcW w:type="dxa" w:w="1559"/>
          </w:tcPr>
          <w:p>
            <w:r/>
            <w:r>
              <w:rPr>
                <w:rFonts w:ascii="Times New Roman" w:hAnsi="Times New Roman"/>
                <w:sz w:val="20"/>
              </w:rPr>
              <w:t>0.8346</w:t>
            </w:r>
          </w:p>
        </w:tc>
        <w:tc>
          <w:tcPr>
            <w:tcW w:type="dxa" w:w="1559"/>
          </w:tcPr>
          <w:p>
            <w:r/>
            <w:r>
              <w:rPr>
                <w:rFonts w:ascii="Times New Roman" w:hAnsi="Times New Roman"/>
                <w:sz w:val="20"/>
              </w:rPr>
              <w:t>0.0415</w:t>
            </w:r>
          </w:p>
        </w:tc>
      </w:tr>
    </w:tbl>
    <w:p/>
    <w:p>
      <w:pPr>
        <w:spacing w:line="276" w:lineRule="auto"/>
        <w:ind w:firstLine="0"/>
        <w:jc w:val="both"/>
      </w:pPr>
      <w:r>
        <w:rPr>
          <w:rFonts w:ascii="Times New Roman" w:hAnsi="Times New Roman"/>
          <w:sz w:val="24"/>
        </w:rPr>
        <w:t>The model was highly resilient to blur and noise, with center occlusion representing the most challenging condition (4.15% F1 drop). Low light caused a moderate 1.82% F1 drop. Both the Gaussian blur and Gaussian noise conditions produced marginally higher macro-F1 scores (0.8848 and 0.8762, respectively) compared to clean images (0.8679), which falls within normal statistical variance for a test set of 459 images. This result suggests that the model's decision boundaries are robust enough that minor perturbations do not meaningfully affect classification, a desirable property for field deployment where smartphone camera quality and compression artifacts vary substantially between devices.</w:t>
      </w:r>
    </w:p>
    <w:p>
      <w:pPr>
        <w:spacing w:line="276" w:lineRule="auto" w:before="120"/>
      </w:pPr>
      <w:r>
        <w:rPr>
          <w:rFonts w:ascii="Times New Roman" w:hAnsi="Times New Roman"/>
          <w:b/>
          <w:sz w:val="24"/>
        </w:rPr>
        <w:t>Explainability and Deployment</w:t>
      </w:r>
    </w:p>
    <w:p>
      <w:pPr>
        <w:spacing w:line="276" w:lineRule="auto"/>
        <w:ind w:firstLine="0"/>
        <w:jc w:val="both"/>
      </w:pPr>
      <w:r>
        <w:rPr>
          <w:rFonts w:ascii="Times New Roman" w:hAnsi="Times New Roman"/>
          <w:sz w:val="24"/>
        </w:rPr>
        <w:t>Grad-CAM heatmaps generated for correctly classified test samples across multiple classes confirmed that the Hybrid CNN-Transformer model attended to lesion-relevant leaf regions. The model's attention was concentrated on areas exhibiting visible disease symptoms, discolorations, and leaf surface abnormalities, rather than relying on background textures or imaging artifacts. This provides interpretability evidence supporting the model's reliability for agricultural deployment.</w:t>
      </w:r>
    </w:p>
    <w:p>
      <w:pPr>
        <w:spacing w:line="276" w:lineRule="auto"/>
        <w:ind w:firstLine="0"/>
        <w:jc w:val="both"/>
      </w:pPr>
      <w:r>
        <w:rPr>
          <w:rFonts w:ascii="Times New Roman" w:hAnsi="Times New Roman"/>
          <w:sz w:val="24"/>
        </w:rPr>
        <w:t>Deployment artifacts include a Streamlit web application (`app.py`) providing an interactive browser-based inference interface, a standalone CLI prediction tool (`predict.py`), a class metadata JSON file mapping class indices to disease names and symptom descriptions, and a core inference module (`potato_leaf_inference.py`) with built-in brightness validation. The average inference latency of 1.339 ms/image on GPU (35.85 ms on CPU) indicates the model is suitable for real-time or near-real-time applications in precision agriculture workflows.</w:t>
      </w:r>
    </w:p>
    <w:p>
      <w:pPr>
        <w:spacing w:line="276" w:lineRule="auto"/>
        <w:ind w:firstLine="0"/>
        <w:jc w:val="both"/>
      </w:pPr>
      <w:r>
        <w:rPr>
          <w:rFonts w:ascii="Times New Roman" w:hAnsi="Times New Roman"/>
          <w:sz w:val="24"/>
        </w:rPr>
      </w:r>
      <w:r>
        <w:rPr>
          <w:rFonts w:ascii="Times New Roman" w:hAnsi="Times New Roman"/>
          <w:b/>
          <w:sz w:val="24"/>
        </w:rPr>
        <w:t>Figure 3.</w:t>
      </w:r>
      <w:r>
        <w:rPr>
          <w:rFonts w:ascii="Times New Roman" w:hAnsi="Times New Roman"/>
          <w:sz w:val="24"/>
        </w:rPr>
        <w:t xml:space="preserve"> Grad-CAM heatmap examples for correctly classified test samples. Warm regions indicate areas of highest model attention, confirming focus on lesion-relevant leaf areas.</w:t>
      </w:r>
    </w:p>
    <w:p>
      <w:pPr>
        <w:spacing w:line="276" w:lineRule="auto" w:before="240"/>
      </w:pPr>
      <w:r>
        <w:rPr>
          <w:rFonts w:ascii="Times New Roman" w:hAnsi="Times New Roman"/>
          <w:b/>
          <w:sz w:val="24"/>
        </w:rPr>
        <w:t>DISCUSSION</w:t>
      </w:r>
    </w:p>
    <w:p>
      <w:pPr>
        <w:spacing w:line="276" w:lineRule="auto" w:before="120"/>
      </w:pPr>
      <w:r>
        <w:rPr>
          <w:rFonts w:ascii="Times New Roman" w:hAnsi="Times New Roman"/>
          <w:b/>
          <w:sz w:val="24"/>
        </w:rPr>
        <w:t>Comparative Analysis</w:t>
      </w:r>
    </w:p>
    <w:p>
      <w:pPr>
        <w:spacing w:line="276" w:lineRule="auto"/>
        <w:ind w:firstLine="0"/>
        <w:jc w:val="both"/>
      </w:pPr>
      <w:r>
        <w:rPr>
          <w:rFonts w:ascii="Times New Roman" w:hAnsi="Times New Roman"/>
          <w:sz w:val="24"/>
        </w:rPr>
        <w:t>The benchmarking results align with trends reported in the recent literature while also revealing important nuances specific to uncontrolled field imagery. The Baseline CNN's 0.5294 accuracy confirms that training from scratch on a relatively small dataset of 5,236 balanced images is insufficient, consistent with findings by Rifqi et al. (2024) who reported that custom CNNs significantly underperformed pretrained alternatives. The frozen EfficientNetB0 achieved 0.7124 accuracy, demonstrating that pretrained ImageNet features provide a substantial baseline but are insufficient without domain-specific adaptation. The substantial improvement from frozen EfficientNetB0 (0.7124) to fine-tuned EfficientNetB0 (0.8453) validates the importance of domain-specific feature adaptation for agricultural imagery, as also observed by Richter and Kim (2025).</w:t>
      </w:r>
    </w:p>
    <w:p>
      <w:pPr>
        <w:spacing w:line="276" w:lineRule="auto"/>
        <w:ind w:firstLine="0"/>
        <w:jc w:val="both"/>
      </w:pPr>
      <w:r>
        <w:rPr>
          <w:rFonts w:ascii="Times New Roman" w:hAnsi="Times New Roman"/>
          <w:sz w:val="24"/>
        </w:rPr>
        <w:t>The Hybrid CNN-Transformer's 0.8671 accuracy is competitive with several comparable results on the same or similar uncontrolled datasets. Mondal et al. (2025) reported 87.50% on the Mendeley potato dataset using PLDNet, while Boukhlifa and Chibani (2024) achieved approximately 80% with DSCSkipNet. Saleh et al. (2025) obtained 91.73% with a hybrid EfficientNetB0-Swin framework, and Chang and Lai (2024) achieved 90.68% using RegNetY-400MF. The present result of 86.71% thus represents a competitive performance on genuinely uncontrolled imagery. However, direct comparison is complicated by differences in data splitting strategies, augmentation pipelines, and evaluation protocols across studies. It is also worth noting that the Saleh et al. (2025) hybrid EfficientNetB0-Swin framework, which reported the highest comparable accuracy at 91.73%, employed a substantially larger Swin Transformer component compared to the lightweight 2-layer transformer used in this study, suggesting that additional transformer capacity may yield further improvements if training data is sufficient.</w:t>
      </w:r>
    </w:p>
    <w:p>
      <w:pPr>
        <w:spacing w:line="276" w:lineRule="auto"/>
        <w:ind w:firstLine="0"/>
        <w:jc w:val="both"/>
      </w:pPr>
      <w:r>
        <w:rPr>
          <w:rFonts w:ascii="Times New Roman" w:hAnsi="Times New Roman"/>
          <w:sz w:val="24"/>
        </w:rPr>
        <w:t>Interestingly, this result falls between the very high accuracies reported on controlled datasets (95–99%) and the substantially lower figures typical of uncontrolled evaluation, directly illustrating the laboratory-to-field gap documented by Sangar and Rajasekar (2025). The relatively high performance achieved suggests that the combination of class-balanced augmentation, transfer learning, and transformer-based contextual modeling can substantially narrow this gap. The further improvement to the Hybrid CNN-Transformer confirms that combining pretrained feature extraction with global contextual modeling benefits field imagery classification, as also observed by Sinamenye et al. (2025) who confirmed that hybrid CNN-transformer models outperform conventional CNNs on complex, real-world agricultural images.</w:t>
      </w:r>
    </w:p>
    <w:p>
      <w:pPr>
        <w:spacing w:line="276" w:lineRule="auto"/>
        <w:ind w:firstLine="0"/>
        <w:jc w:val="both"/>
      </w:pPr>
      <w:r>
        <w:rPr>
          <w:rFonts w:ascii="Times New Roman" w:hAnsi="Times New Roman"/>
          <w:sz w:val="24"/>
        </w:rPr>
        <w:t>The selection of macro-F1 as the primary ranking metric proved important in this study, ensuring that the selected model is practically reliable for identifying all disease types, including minority classes such as Nematode (only 10 test samples) and Healthy (30 test samples).</w:t>
      </w:r>
    </w:p>
    <w:p>
      <w:pPr>
        <w:spacing w:line="276" w:lineRule="auto" w:before="120"/>
      </w:pPr>
      <w:r>
        <w:rPr>
          <w:rFonts w:ascii="Times New Roman" w:hAnsi="Times New Roman"/>
          <w:b/>
          <w:sz w:val="24"/>
        </w:rPr>
        <w:t>Robustness Implications</w:t>
      </w:r>
    </w:p>
    <w:p>
      <w:pPr>
        <w:spacing w:line="276" w:lineRule="auto"/>
        <w:ind w:firstLine="0"/>
        <w:jc w:val="both"/>
      </w:pPr>
      <w:r>
        <w:rPr>
          <w:rFonts w:ascii="Times New Roman" w:hAnsi="Times New Roman"/>
          <w:sz w:val="24"/>
        </w:rPr>
        <w:t>The robustness analysis provides evidence that goes beyond standard benchmark reporting. The model's performance under blur actually improved slightly (F1 improvement: 0.0169), which is particularly notable because the EDA revealed that 41.7% of images in the dataset already contain significant blur, meaning the model may have learned implicit blur-handling capabilities during training. The tolerance to Gaussian noise (F1 improvement: 0.0083) supports the model's suitability for deployment where camera sensor quality varies.</w:t>
      </w:r>
    </w:p>
    <w:p>
      <w:pPr>
        <w:spacing w:line="276" w:lineRule="auto"/>
        <w:ind w:firstLine="0"/>
        <w:jc w:val="both"/>
      </w:pPr>
      <w:r>
        <w:rPr>
          <w:rFonts w:ascii="Times New Roman" w:hAnsi="Times New Roman"/>
          <w:sz w:val="24"/>
        </w:rPr>
        <w:t>The center occlusion condition simulated scenarios where plant stems, insects, or other objects partially cover the leaf in the camera frame. The F1 drop of 0.0415 was the largest among all degradation conditions, indicating that while the model can partially compensate for missing visual information through the transformer's ability to attend across non-occluded regions, significant occlusion remains challenging. This finding has direct implications for deployment guidelines, suggesting that the inference system should include guidance on minimizing leaf occlusion during image capture.</w:t>
      </w:r>
    </w:p>
    <w:p>
      <w:pPr>
        <w:spacing w:line="276" w:lineRule="auto"/>
        <w:ind w:firstLine="0"/>
        <w:jc w:val="both"/>
      </w:pPr>
      <w:r>
        <w:rPr>
          <w:rFonts w:ascii="Times New Roman" w:hAnsi="Times New Roman"/>
          <w:sz w:val="24"/>
        </w:rPr>
        <w:t>The low-light condition produced a moderate F1 drop of 0.0182, which is lower than the occlusion impact, suggesting the model has reasonable tolerance to brightness reduction. Nevertheless, farmers or field workers using the system under overcast conditions or during early morning photography may experience some degraded predictions. Future work could explicitly incorporate brightness-related augmentation during training or implement adaptive histogram equalization as a preprocessing step. A practical mitigation strategy for deployment includes a brightness check in the inference pipeline that warns users when image brightness falls below a recommended threshold, consistent with challenges reported by Tariq et al. (2025). Fathima and Booba (2024) similarly demonstrated through Grad-CAM analysis that attention visualization can reveal whether models learn genuine disease features or depend on dataset-specific artifacts, further supporting the importance of explainability analysis alongside robustness testing.</w:t>
      </w:r>
    </w:p>
    <w:p>
      <w:pPr>
        <w:spacing w:line="276" w:lineRule="auto" w:before="120"/>
      </w:pPr>
      <w:r>
        <w:rPr>
          <w:rFonts w:ascii="Times New Roman" w:hAnsi="Times New Roman"/>
          <w:b/>
          <w:sz w:val="24"/>
        </w:rPr>
        <w:t>Strengths and Limitations</w:t>
      </w:r>
    </w:p>
    <w:p>
      <w:pPr>
        <w:spacing w:line="276" w:lineRule="auto"/>
        <w:ind w:firstLine="0"/>
        <w:jc w:val="both"/>
      </w:pPr>
      <w:r>
        <w:rPr>
          <w:rFonts w:ascii="Times New Roman" w:hAnsi="Times New Roman"/>
          <w:sz w:val="24"/>
        </w:rPr>
        <w:t>This study's primary strength is its integrated workflow that combines dataset characterization, balanced training, comparative benchmarking, robustness analysis, explainability, and deployment preparation within a single reproducible pipeline. Unlike many studies that report only benchmark accuracy, this approach provides a more complete picture of model readiness for agricultural deployment. The inclusion of statistical significance testing (McNemar's tests with Bonferroni correction) and model calibration analysis (ECE and Brier score) adds rigor that is frequently absent from plant disease classification studies. Furthermore, the ablation study isolating the transformer component's contribution provides architectural insight beyond simple benchmark comparison.</w:t>
      </w:r>
    </w:p>
    <w:p>
      <w:pPr>
        <w:spacing w:line="276" w:lineRule="auto"/>
        <w:ind w:firstLine="0"/>
        <w:jc w:val="both"/>
      </w:pPr>
      <w:r>
        <w:rPr>
          <w:rFonts w:ascii="Times New Roman" w:hAnsi="Times New Roman"/>
          <w:sz w:val="24"/>
        </w:rPr>
        <w:t>The deployment-ready inference pipeline, featuring automatic brightness validation and user-facing warnings for challenging imaging conditions, represents a practical contribution that extends beyond academic benchmarking toward field-ready implementation. The modular architecture of the inference system permits straightforward integration into mobile applications or IoT-based monitoring systems.</w:t>
      </w:r>
    </w:p>
    <w:p>
      <w:pPr>
        <w:spacing w:line="276" w:lineRule="auto"/>
        <w:ind w:firstLine="0"/>
        <w:jc w:val="both"/>
      </w:pPr>
      <w:r>
        <w:rPr>
          <w:rFonts w:ascii="Times New Roman" w:hAnsi="Times New Roman"/>
          <w:sz w:val="24"/>
        </w:rPr>
        <w:t>Several limitations should be acknowledged. First, the dataset, while genuinely collected under field conditions, contains only seven classes and 3,076 images, which limits the generalizability of findings to larger-scale agricultural systems. Second, the robustness analysis uses simulated degradations rather than naturally occurring image quality variations, although the degradation types were selected to represent common field photography challenges. Third, the model has not been tested with actual end-users in a field setting, which remains an important gap for practical deployment validation. Fourth, cross-dataset generalization analysis was not performed, meaning it remains unknown whether the model would transfer to potato disease images collected in different geographic regions or growing conditions. Fifth, the non-significant difference between the Hybrid CNN-Transformer and EfficientNetB0 fine-tune (p = 0.212) suggests that validation on larger test sets would be valuable to establish whether the observed performance improvement is consistently replicable.</w:t>
      </w:r>
    </w:p>
    <w:p>
      <w:pPr>
        <w:spacing w:line="276" w:lineRule="auto" w:before="240"/>
      </w:pPr>
      <w:r>
        <w:rPr>
          <w:rFonts w:ascii="Times New Roman" w:hAnsi="Times New Roman"/>
          <w:b/>
          <w:sz w:val="24"/>
        </w:rPr>
        <w:t>CONCLUSION</w:t>
      </w:r>
    </w:p>
    <w:p>
      <w:pPr>
        <w:spacing w:line="276" w:lineRule="auto"/>
        <w:ind w:firstLine="0"/>
        <w:jc w:val="both"/>
      </w:pPr>
      <w:r>
        <w:rPr>
          <w:rFonts w:ascii="Times New Roman" w:hAnsi="Times New Roman"/>
          <w:sz w:val="24"/>
        </w:rPr>
        <w:t>This study developed a comprehensive deep learning workflow for potato leaf disease identification using genuinely field-collected images captured under uncontrolled environmental conditions. Through systematic benchmarking of four architectures under a locked evaluation protocol, the Hybrid CNN-Transformer emerged as the best-performing model with 0.8671 accuracy and 0.8679 macro-F1 score, demonstrating that combining CNN-based feature extraction with transformer self-attention is effective for agricultural imagery where class imbalance, blur, and background complexity are prevalent.</w:t>
      </w:r>
    </w:p>
    <w:p>
      <w:pPr>
        <w:spacing w:line="276" w:lineRule="auto"/>
        <w:ind w:firstLine="0"/>
        <w:jc w:val="both"/>
      </w:pPr>
      <w:r>
        <w:rPr>
          <w:rFonts w:ascii="Times New Roman" w:hAnsi="Times New Roman"/>
          <w:sz w:val="24"/>
        </w:rPr>
        <w:t>The comparative benchmarking revealed a clear performance hierarchy: models trained from scratch performed poorly (0.5294 accuracy), frozen transfer learning provided moderate improvement (0.7124 accuracy), fine-tuned transfer learning substantially improved performance (0.8453 accuracy, 0.8494 macro-F1), and the Hybrid CNN-Transformer achieved the strongest balanced performance (0.8671 accuracy, 0.8679 macro-F1) across all seven disease classes. Pairwise McNemar's tests with Bonferroni correction confirmed statistically significant differences between most model pairs, though the difference between the Hybrid and EfficientNetB0 fine-tune was not significant at the corrected threshold (p = 0.212). These results confirm the critical importance of both pretrained visual features and global contextual modeling for uncontrolled agricultural imagery. The ablation study reinforced this conclusion by demonstrating that removal of the Transformer component caused a dramatic 39.73 percentage-point drop in macro-F1, confirming that self-attention is the primary mechanism enabling the model to handle complex field imagery effectively.</w:t>
      </w:r>
    </w:p>
    <w:p>
      <w:pPr>
        <w:spacing w:line="276" w:lineRule="auto"/>
        <w:ind w:firstLine="0"/>
        <w:jc w:val="both"/>
      </w:pPr>
      <w:r>
        <w:rPr>
          <w:rFonts w:ascii="Times New Roman" w:hAnsi="Times New Roman"/>
          <w:sz w:val="24"/>
        </w:rPr>
        <w:t>The robustness analysis showed the model maintains strong performance under blur, noise, and low-light conditions, with center occlusion identified as the primary area requiring future improvement (F1 drop: 0.0415). This finding has direct implications for deployment guidelines, suggesting that the inference system should include guidance on minimizing leaf occlusion during image capture. The model's tolerance to blur is particularly relevant given that 41.7% of images in the training dataset already contained significant blur, suggesting the model acquired implicit blur-handling capabilities during training. Grad-CAM explainability analysis confirmed that the model focuses on lesion-relevant regions, supporting its interpretability and reliability for end-user trust in agricultural decision-making contexts.</w:t>
      </w:r>
    </w:p>
    <w:p>
      <w:pPr>
        <w:spacing w:line="276" w:lineRule="auto"/>
        <w:ind w:firstLine="0"/>
        <w:jc w:val="both"/>
      </w:pPr>
      <w:r>
        <w:rPr>
          <w:rFonts w:ascii="Times New Roman" w:hAnsi="Times New Roman"/>
          <w:sz w:val="24"/>
        </w:rPr>
        <w:t>The project delivered a complete deployment pipeline including a Streamlit web application, CLI prediction tool, and inference module with built-in brightness validation, supporting practical integration into agricultural decision-support systems. The average inference latency of 1.339 ms/image on GPU (35.85 ms on CPU) confirms the model's suitability for real-time or near-real-time applications in precision agriculture workflows.</w:t>
      </w:r>
    </w:p>
    <w:p>
      <w:pPr>
        <w:spacing w:line="276" w:lineRule="auto"/>
        <w:ind w:firstLine="0"/>
        <w:jc w:val="both"/>
      </w:pPr>
      <w:r>
        <w:rPr>
          <w:rFonts w:ascii="Times New Roman" w:hAnsi="Times New Roman"/>
          <w:sz w:val="24"/>
        </w:rPr>
        <w:t>Future research should focus on: (1) expanding the dataset to include additional crops, disease classes, and geographic regions to improve generalizability; (2) incorporating brightness-specific augmentation strategies to address the identified low-light vulnerability; (3) conducting cross-dataset generalization testing to validate transferability; (4) performing end-user field trials with farmers and agricultural extension workers to bridge the gap between laboratory evaluation and practical adoption; and (5) exploring model compression techniques such as quantization and pruning to enable deployment on resource-constrained edge devices in rural agricultural settings.</w:t>
      </w:r>
    </w:p>
    <w:p>
      <w:pPr>
        <w:spacing w:line="276" w:lineRule="auto" w:before="240"/>
      </w:pPr>
      <w:r>
        <w:rPr>
          <w:rFonts w:ascii="Times New Roman" w:hAnsi="Times New Roman"/>
          <w:b/>
          <w:sz w:val="24"/>
        </w:rPr>
        <w:t>REFERENCES</w:t>
      </w:r>
    </w:p>
    <w:p>
      <w:pPr>
        <w:spacing w:line="276" w:lineRule="auto"/>
        <w:ind w:firstLine="0"/>
        <w:jc w:val="both"/>
      </w:pPr>
      <w:r>
        <w:rPr>
          <w:rFonts w:ascii="Times New Roman" w:hAnsi="Times New Roman"/>
          <w:sz w:val="24"/>
        </w:rPr>
        <w:t xml:space="preserve">Al-Noman, A., Ifti, I. S., Debi, C. R., Khaliluzzaman, M., &amp; Hassan, M. (2025). A YOLO-assisted framework for potato leaf disease detection and classification using CNN and multi-head attention mechanism. In </w:t>
      </w:r>
      <w:r>
        <w:rPr>
          <w:rFonts w:ascii="Times New Roman" w:hAnsi="Times New Roman"/>
          <w:i/>
          <w:sz w:val="24"/>
        </w:rPr>
        <w:t>2025 International Conference on Electrical, Computer, Communications and Mechatronics Engineering (ECCE)</w:t>
      </w:r>
      <w:r>
        <w:rPr>
          <w:rFonts w:ascii="Times New Roman" w:hAnsi="Times New Roman"/>
          <w:sz w:val="24"/>
        </w:rPr>
        <w:t xml:space="preserve"> (pp. 1–6). IEEE. https://doi.org/10.1109/ecce64574.2025.11013219</w:t>
      </w:r>
    </w:p>
    <w:p>
      <w:pPr>
        <w:spacing w:line="276" w:lineRule="auto"/>
        <w:ind w:firstLine="0"/>
        <w:jc w:val="both"/>
      </w:pPr>
      <w:r>
        <w:rPr>
          <w:rFonts w:ascii="Times New Roman" w:hAnsi="Times New Roman"/>
          <w:sz w:val="24"/>
        </w:rPr>
        <w:t xml:space="preserve">Austin, S., Barua, A., Haider, S. N., Niha, F. L., Faisal, M., &amp; Shawon, S. M. (2025). Precision classification of potato diseases using transformer-enhanced CNNs. In </w:t>
      </w:r>
      <w:r>
        <w:rPr>
          <w:rFonts w:ascii="Times New Roman" w:hAnsi="Times New Roman"/>
          <w:i/>
          <w:sz w:val="24"/>
        </w:rPr>
        <w:t>2025 International Conference on Quantum Photonics, Artificial Intelligence, and Networking (QPAIN)</w:t>
      </w:r>
      <w:r>
        <w:rPr>
          <w:rFonts w:ascii="Times New Roman" w:hAnsi="Times New Roman"/>
          <w:sz w:val="24"/>
        </w:rPr>
        <w:t xml:space="preserve"> (pp. 1–6). IEEE. https://doi.org/10.1109/qpain66474.2025.11172153</w:t>
      </w:r>
    </w:p>
    <w:p>
      <w:pPr>
        <w:spacing w:line="276" w:lineRule="auto"/>
        <w:ind w:firstLine="0"/>
        <w:jc w:val="both"/>
      </w:pPr>
      <w:r>
        <w:rPr>
          <w:rFonts w:ascii="Times New Roman" w:hAnsi="Times New Roman"/>
          <w:sz w:val="24"/>
        </w:rPr>
        <w:t xml:space="preserve">Bhavani, G. D., &amp; Chalapathi, M. M. V. (2025). PotatoLeafNet: Two-stage convolutional neural networks for effective potato leaf disease identification and classification. </w:t>
      </w:r>
      <w:r>
        <w:rPr>
          <w:rFonts w:ascii="Times New Roman" w:hAnsi="Times New Roman"/>
          <w:i/>
          <w:sz w:val="24"/>
        </w:rPr>
        <w:t>Frontiers in Artificial Intelligence</w:t>
      </w:r>
      <w:r>
        <w:rPr>
          <w:rFonts w:ascii="Times New Roman" w:hAnsi="Times New Roman"/>
          <w:sz w:val="24"/>
        </w:rPr>
        <w:t xml:space="preserve">, </w:t>
      </w:r>
      <w:r>
        <w:rPr>
          <w:rFonts w:ascii="Times New Roman" w:hAnsi="Times New Roman"/>
          <w:i/>
          <w:sz w:val="24"/>
        </w:rPr>
        <w:t>8</w:t>
      </w:r>
      <w:r>
        <w:rPr>
          <w:rFonts w:ascii="Times New Roman" w:hAnsi="Times New Roman"/>
          <w:sz w:val="24"/>
        </w:rPr>
        <w:t>, 1668839. https://doi.org/10.3389/frai.2025.1668839</w:t>
      </w:r>
    </w:p>
    <w:p>
      <w:pPr>
        <w:spacing w:line="276" w:lineRule="auto"/>
        <w:ind w:firstLine="0"/>
        <w:jc w:val="both"/>
      </w:pPr>
      <w:r>
        <w:rPr>
          <w:rFonts w:ascii="Times New Roman" w:hAnsi="Times New Roman"/>
          <w:sz w:val="24"/>
        </w:rPr>
        <w:t xml:space="preserve">Boukhlifa, G., &amp; Chibani, Y. (2024). DSCSkipNet: An accuracy-complexity trade-off for effective potato disease identification in uncontrolled environments. In </w:t>
      </w:r>
      <w:r>
        <w:rPr>
          <w:rFonts w:ascii="Times New Roman" w:hAnsi="Times New Roman"/>
          <w:i/>
          <w:sz w:val="24"/>
        </w:rPr>
        <w:t>2024 4th International Conference on Electronic Document Identification and Security (EDiS)</w:t>
      </w:r>
      <w:r>
        <w:rPr>
          <w:rFonts w:ascii="Times New Roman" w:hAnsi="Times New Roman"/>
          <w:sz w:val="24"/>
        </w:rPr>
        <w:t xml:space="preserve"> (pp. 1–6). IEEE. https://doi.org/10.1109/edis63605.2024.10783376</w:t>
      </w:r>
    </w:p>
    <w:p>
      <w:pPr>
        <w:spacing w:line="276" w:lineRule="auto"/>
        <w:ind w:firstLine="0"/>
        <w:jc w:val="both"/>
      </w:pPr>
      <w:r>
        <w:rPr>
          <w:rFonts w:ascii="Times New Roman" w:hAnsi="Times New Roman"/>
          <w:sz w:val="24"/>
        </w:rPr>
        <w:t xml:space="preserve">Chang, C.-Y., &amp; Lai, C.-C. (2024). Potato leaf disease detection based on a lightweight deep learning model. </w:t>
      </w:r>
      <w:r>
        <w:rPr>
          <w:rFonts w:ascii="Times New Roman" w:hAnsi="Times New Roman"/>
          <w:i/>
          <w:sz w:val="24"/>
        </w:rPr>
        <w:t>Machine Learning and Knowledge Extraction</w:t>
      </w:r>
      <w:r>
        <w:rPr>
          <w:rFonts w:ascii="Times New Roman" w:hAnsi="Times New Roman"/>
          <w:sz w:val="24"/>
        </w:rPr>
        <w:t xml:space="preserve">, </w:t>
      </w:r>
      <w:r>
        <w:rPr>
          <w:rFonts w:ascii="Times New Roman" w:hAnsi="Times New Roman"/>
          <w:i/>
          <w:sz w:val="24"/>
        </w:rPr>
        <w:t>6</w:t>
      </w:r>
      <w:r>
        <w:rPr>
          <w:rFonts w:ascii="Times New Roman" w:hAnsi="Times New Roman"/>
          <w:sz w:val="24"/>
        </w:rPr>
        <w:t>(4), 2321–2335. https://doi.org/10.3390/make6040114</w:t>
      </w:r>
    </w:p>
    <w:p>
      <w:pPr>
        <w:spacing w:line="276" w:lineRule="auto"/>
        <w:ind w:firstLine="0"/>
        <w:jc w:val="both"/>
      </w:pPr>
      <w:r>
        <w:rPr>
          <w:rFonts w:ascii="Times New Roman" w:hAnsi="Times New Roman"/>
          <w:sz w:val="24"/>
        </w:rPr>
        <w:t xml:space="preserve">Chowdhury, S., &amp; Das, D. K. (2025). Harnessing the potato leaf disease detection process through proposed Conv2D and ResNet50 deep learning models. </w:t>
      </w:r>
      <w:r>
        <w:rPr>
          <w:rFonts w:ascii="Times New Roman" w:hAnsi="Times New Roman"/>
          <w:i/>
          <w:sz w:val="24"/>
        </w:rPr>
        <w:t>Procedia Computer Science</w:t>
      </w:r>
      <w:r>
        <w:rPr>
          <w:rFonts w:ascii="Times New Roman" w:hAnsi="Times New Roman"/>
          <w:sz w:val="24"/>
        </w:rPr>
        <w:t xml:space="preserve">, </w:t>
      </w:r>
      <w:r>
        <w:rPr>
          <w:rFonts w:ascii="Times New Roman" w:hAnsi="Times New Roman"/>
          <w:i/>
          <w:sz w:val="24"/>
        </w:rPr>
        <w:t>252</w:t>
      </w:r>
      <w:r>
        <w:rPr>
          <w:rFonts w:ascii="Times New Roman" w:hAnsi="Times New Roman"/>
          <w:sz w:val="24"/>
        </w:rPr>
        <w:t>, 539–547. https://doi.org/10.1016/j.procs.2025.01.013</w:t>
      </w:r>
    </w:p>
    <w:p>
      <w:pPr>
        <w:spacing w:line="276" w:lineRule="auto"/>
        <w:ind w:firstLine="0"/>
        <w:jc w:val="both"/>
      </w:pPr>
      <w:r>
        <w:rPr>
          <w:rFonts w:ascii="Times New Roman" w:hAnsi="Times New Roman"/>
          <w:sz w:val="24"/>
        </w:rPr>
        <w:t xml:space="preserve">Devaux, A., Goffart, J. P., Kromann, P., Andrade-Piedra, J., Polar, V., &amp; Hareau, G. (2021). The potato of the future: Opportunities and challenges in sustainable agri-food systems. </w:t>
      </w:r>
      <w:r>
        <w:rPr>
          <w:rFonts w:ascii="Times New Roman" w:hAnsi="Times New Roman"/>
          <w:i/>
          <w:sz w:val="24"/>
        </w:rPr>
        <w:t>Potato Research</w:t>
      </w:r>
      <w:r>
        <w:rPr>
          <w:rFonts w:ascii="Times New Roman" w:hAnsi="Times New Roman"/>
          <w:sz w:val="24"/>
        </w:rPr>
        <w:t xml:space="preserve">, </w:t>
      </w:r>
      <w:r>
        <w:rPr>
          <w:rFonts w:ascii="Times New Roman" w:hAnsi="Times New Roman"/>
          <w:i/>
          <w:sz w:val="24"/>
        </w:rPr>
        <w:t>64</w:t>
      </w:r>
      <w:r>
        <w:rPr>
          <w:rFonts w:ascii="Times New Roman" w:hAnsi="Times New Roman"/>
          <w:sz w:val="24"/>
        </w:rPr>
        <w:t>, 681–720. https://doi.org/10.1007/s11540-021-09501-4</w:t>
      </w:r>
    </w:p>
    <w:p>
      <w:pPr>
        <w:spacing w:line="276" w:lineRule="auto"/>
        <w:ind w:firstLine="0"/>
        <w:jc w:val="both"/>
      </w:pPr>
      <w:r>
        <w:rPr>
          <w:rFonts w:ascii="Times New Roman" w:hAnsi="Times New Roman"/>
          <w:sz w:val="24"/>
        </w:rPr>
        <w:t xml:space="preserve">Dey, B., &amp; Ahmed, R. (2025). A comprehensive review of AI-driven plant stress monitoring and embedded sensor technology: Agriculture 5.0. </w:t>
      </w:r>
      <w:r>
        <w:rPr>
          <w:rFonts w:ascii="Times New Roman" w:hAnsi="Times New Roman"/>
          <w:i/>
          <w:sz w:val="24"/>
        </w:rPr>
        <w:t>Journal of Industrial Information Integration</w:t>
      </w:r>
      <w:r>
        <w:rPr>
          <w:rFonts w:ascii="Times New Roman" w:hAnsi="Times New Roman"/>
          <w:sz w:val="24"/>
        </w:rPr>
        <w:t xml:space="preserve">, </w:t>
      </w:r>
      <w:r>
        <w:rPr>
          <w:rFonts w:ascii="Times New Roman" w:hAnsi="Times New Roman"/>
          <w:i/>
          <w:sz w:val="24"/>
        </w:rPr>
        <w:t>47</w:t>
      </w:r>
      <w:r>
        <w:rPr>
          <w:rFonts w:ascii="Times New Roman" w:hAnsi="Times New Roman"/>
          <w:sz w:val="24"/>
        </w:rPr>
        <w:t>, 100931. https://doi.org/10.1016/j.jii.2025.100931</w:t>
      </w:r>
    </w:p>
    <w:p>
      <w:pPr>
        <w:spacing w:line="276" w:lineRule="auto"/>
        <w:ind w:firstLine="0"/>
        <w:jc w:val="both"/>
      </w:pPr>
      <w:r>
        <w:rPr>
          <w:rFonts w:ascii="Times New Roman" w:hAnsi="Times New Roman"/>
          <w:sz w:val="24"/>
        </w:rPr>
        <w:t xml:space="preserve">Fathima, M. S., &amp; Booba, B. (2024). Enhancing plant leaf disease detection: Integrating MobileNet with local binary pattern and visualizing insights with Grad-CAM. In </w:t>
      </w:r>
      <w:r>
        <w:rPr>
          <w:rFonts w:ascii="Times New Roman" w:hAnsi="Times New Roman"/>
          <w:i/>
          <w:sz w:val="24"/>
        </w:rPr>
        <w:t>2024 7th International Conference on Circuit Power and Computing Technologies (ICCPCT)</w:t>
      </w:r>
      <w:r>
        <w:rPr>
          <w:rFonts w:ascii="Times New Roman" w:hAnsi="Times New Roman"/>
          <w:sz w:val="24"/>
        </w:rPr>
        <w:t xml:space="preserve"> (pp. 1–6). IEEE. https://doi.org/10.1109/iccpct61902.2024.10673312</w:t>
      </w:r>
    </w:p>
    <w:p>
      <w:pPr>
        <w:spacing w:line="276" w:lineRule="auto"/>
        <w:ind w:firstLine="0"/>
        <w:jc w:val="both"/>
      </w:pPr>
      <w:r>
        <w:rPr>
          <w:rFonts w:ascii="Times New Roman" w:hAnsi="Times New Roman"/>
          <w:sz w:val="24"/>
        </w:rPr>
        <w:t xml:space="preserve">Mondal, A., Chatterjee, A., &amp; Avazov, N. (2025). A hybrid CNN-transformer model with adaptive activation function for potato leaf disease classification. </w:t>
      </w:r>
      <w:r>
        <w:rPr>
          <w:rFonts w:ascii="Times New Roman" w:hAnsi="Times New Roman"/>
          <w:i/>
          <w:sz w:val="24"/>
        </w:rPr>
        <w:t>Scientific Reports</w:t>
      </w:r>
      <w:r>
        <w:rPr>
          <w:rFonts w:ascii="Times New Roman" w:hAnsi="Times New Roman"/>
          <w:sz w:val="24"/>
        </w:rPr>
        <w:t xml:space="preserve">, </w:t>
      </w:r>
      <w:r>
        <w:rPr>
          <w:rFonts w:ascii="Times New Roman" w:hAnsi="Times New Roman"/>
          <w:i/>
          <w:sz w:val="24"/>
        </w:rPr>
        <w:t>16</w:t>
      </w:r>
      <w:r>
        <w:rPr>
          <w:rFonts w:ascii="Times New Roman" w:hAnsi="Times New Roman"/>
          <w:sz w:val="24"/>
        </w:rPr>
        <w:t>, 4282. https://doi.org/10.1038/s41598-025-34406-4</w:t>
      </w:r>
    </w:p>
    <w:p>
      <w:pPr>
        <w:spacing w:line="276" w:lineRule="auto"/>
        <w:ind w:firstLine="0"/>
        <w:jc w:val="both"/>
      </w:pPr>
      <w:r>
        <w:rPr>
          <w:rFonts w:ascii="Times New Roman" w:hAnsi="Times New Roman"/>
          <w:sz w:val="24"/>
        </w:rPr>
        <w:t xml:space="preserve">Palei, S., &amp; Mohapatra, P. (2025). Cutting-edge approaches to plant disease detection: A survey of machine learning models and optimization methods. </w:t>
      </w:r>
      <w:r>
        <w:rPr>
          <w:rFonts w:ascii="Times New Roman" w:hAnsi="Times New Roman"/>
          <w:i/>
          <w:sz w:val="24"/>
        </w:rPr>
        <w:t>Journal of Ambient Intelligence and Humanized Computing</w:t>
      </w:r>
      <w:r>
        <w:rPr>
          <w:rFonts w:ascii="Times New Roman" w:hAnsi="Times New Roman"/>
          <w:sz w:val="24"/>
        </w:rPr>
        <w:t xml:space="preserve">, </w:t>
      </w:r>
      <w:r>
        <w:rPr>
          <w:rFonts w:ascii="Times New Roman" w:hAnsi="Times New Roman"/>
          <w:i/>
          <w:sz w:val="24"/>
        </w:rPr>
        <w:t>16</w:t>
      </w:r>
      <w:r>
        <w:rPr>
          <w:rFonts w:ascii="Times New Roman" w:hAnsi="Times New Roman"/>
          <w:sz w:val="24"/>
        </w:rPr>
        <w:t>(10), 1073–1086. https://doi.org/10.1007/s12652-025-05000-3</w:t>
      </w:r>
    </w:p>
    <w:p>
      <w:pPr>
        <w:spacing w:line="276" w:lineRule="auto"/>
        <w:ind w:firstLine="0"/>
        <w:jc w:val="both"/>
      </w:pPr>
      <w:r>
        <w:rPr>
          <w:rFonts w:ascii="Times New Roman" w:hAnsi="Times New Roman"/>
          <w:sz w:val="24"/>
        </w:rPr>
        <w:t xml:space="preserve">Richter, D. J., &amp; Kim, K. (2025). Assessing the performance of domain-specific models for plant leaf disease classification: A comprehensive benchmark of CNNs. </w:t>
      </w:r>
      <w:r>
        <w:rPr>
          <w:rFonts w:ascii="Times New Roman" w:hAnsi="Times New Roman"/>
          <w:i/>
          <w:sz w:val="24"/>
        </w:rPr>
        <w:t>Scientific Reports</w:t>
      </w:r>
      <w:r>
        <w:rPr>
          <w:rFonts w:ascii="Times New Roman" w:hAnsi="Times New Roman"/>
          <w:sz w:val="24"/>
        </w:rPr>
        <w:t xml:space="preserve">, </w:t>
      </w:r>
      <w:r>
        <w:rPr>
          <w:rFonts w:ascii="Times New Roman" w:hAnsi="Times New Roman"/>
          <w:i/>
          <w:sz w:val="24"/>
        </w:rPr>
        <w:t>15</w:t>
      </w:r>
      <w:r>
        <w:rPr>
          <w:rFonts w:ascii="Times New Roman" w:hAnsi="Times New Roman"/>
          <w:sz w:val="24"/>
        </w:rPr>
        <w:t>, 18973. https://doi.org/10.1038/s41598-025-03235-w</w:t>
      </w:r>
    </w:p>
    <w:p>
      <w:pPr>
        <w:spacing w:line="276" w:lineRule="auto"/>
        <w:ind w:firstLine="0"/>
        <w:jc w:val="both"/>
      </w:pPr>
      <w:r>
        <w:rPr>
          <w:rFonts w:ascii="Times New Roman" w:hAnsi="Times New Roman"/>
          <w:sz w:val="24"/>
        </w:rPr>
        <w:t xml:space="preserve">Rifqi, M., Rahardi, M., Aminuddin, A., &amp; Abdulloh, A. (2024). Comparison of convolutional neural network and MobileNetV2 for potato leaf disease detection. In </w:t>
      </w:r>
      <w:r>
        <w:rPr>
          <w:rFonts w:ascii="Times New Roman" w:hAnsi="Times New Roman"/>
          <w:i/>
          <w:sz w:val="24"/>
        </w:rPr>
        <w:t>2024 International Conference on Information Technology Systems and Innovation (ICITSI)</w:t>
      </w:r>
      <w:r>
        <w:rPr>
          <w:rFonts w:ascii="Times New Roman" w:hAnsi="Times New Roman"/>
          <w:sz w:val="24"/>
        </w:rPr>
        <w:t xml:space="preserve"> (pp. 1–6). IEEE. https://doi.org/10.1109/icitsi65188.2024.10929413</w:t>
      </w:r>
    </w:p>
    <w:p>
      <w:pPr>
        <w:spacing w:line="276" w:lineRule="auto"/>
        <w:ind w:firstLine="0"/>
        <w:jc w:val="both"/>
      </w:pPr>
      <w:r>
        <w:rPr>
          <w:rFonts w:ascii="Times New Roman" w:hAnsi="Times New Roman"/>
          <w:sz w:val="24"/>
        </w:rPr>
        <w:t xml:space="preserve">Rivaldo, M., &amp; Udjulawa, D. (2025). Performance comparison of EfficientNetB0 in potato leaf disease classification with Adam and SGD. </w:t>
      </w:r>
      <w:r>
        <w:rPr>
          <w:rFonts w:ascii="Times New Roman" w:hAnsi="Times New Roman"/>
          <w:i/>
          <w:sz w:val="24"/>
        </w:rPr>
        <w:t>Brilliance: Research of Artificial Intelligence</w:t>
      </w:r>
      <w:r>
        <w:rPr>
          <w:rFonts w:ascii="Times New Roman" w:hAnsi="Times New Roman"/>
          <w:sz w:val="24"/>
        </w:rPr>
        <w:t xml:space="preserve">, </w:t>
      </w:r>
      <w:r>
        <w:rPr>
          <w:rFonts w:ascii="Times New Roman" w:hAnsi="Times New Roman"/>
          <w:i/>
          <w:sz w:val="24"/>
        </w:rPr>
        <w:t>5</w:t>
      </w:r>
      <w:r>
        <w:rPr>
          <w:rFonts w:ascii="Times New Roman" w:hAnsi="Times New Roman"/>
          <w:sz w:val="24"/>
        </w:rPr>
        <w:t>(2), 1224–1231. https://doi.org/10.47709/brilliance.v5i2.7482</w:t>
      </w:r>
    </w:p>
    <w:p>
      <w:pPr>
        <w:spacing w:line="276" w:lineRule="auto"/>
        <w:ind w:firstLine="0"/>
        <w:jc w:val="both"/>
      </w:pPr>
      <w:r>
        <w:rPr>
          <w:rFonts w:ascii="Times New Roman" w:hAnsi="Times New Roman"/>
          <w:sz w:val="24"/>
        </w:rPr>
        <w:t xml:space="preserve">Saleh, H., McCann, M., Creaven, S., Breslin, J., &amp; El-Sappagh, S. (2025). Hybrid CNN-Swin framework for detection and classification of potato leaf diseases. In </w:t>
      </w:r>
      <w:r>
        <w:rPr>
          <w:rFonts w:ascii="Times New Roman" w:hAnsi="Times New Roman"/>
          <w:i/>
          <w:sz w:val="24"/>
        </w:rPr>
        <w:t>2025 35th Irish Signals and Systems Conference (ISSC)</w:t>
      </w:r>
      <w:r>
        <w:rPr>
          <w:rFonts w:ascii="Times New Roman" w:hAnsi="Times New Roman"/>
          <w:sz w:val="24"/>
        </w:rPr>
        <w:t xml:space="preserve"> (pp. 1–6). IEEE. https://doi.org/10.1109/issc67739.2025.11291558</w:t>
      </w:r>
    </w:p>
    <w:p>
      <w:pPr>
        <w:spacing w:line="276" w:lineRule="auto"/>
        <w:ind w:firstLine="0"/>
        <w:jc w:val="both"/>
      </w:pPr>
      <w:r>
        <w:rPr>
          <w:rFonts w:ascii="Times New Roman" w:hAnsi="Times New Roman"/>
          <w:sz w:val="24"/>
        </w:rPr>
        <w:t xml:space="preserve">Sangar, G., &amp; Rajasekar, V. (2025). Optimized classification of potato leaf disease using EfficientNet-LITE and KE-SVM in diverse environments. </w:t>
      </w:r>
      <w:r>
        <w:rPr>
          <w:rFonts w:ascii="Times New Roman" w:hAnsi="Times New Roman"/>
          <w:i/>
          <w:sz w:val="24"/>
        </w:rPr>
        <w:t>Frontiers in Plant Science</w:t>
      </w:r>
      <w:r>
        <w:rPr>
          <w:rFonts w:ascii="Times New Roman" w:hAnsi="Times New Roman"/>
          <w:sz w:val="24"/>
        </w:rPr>
        <w:t xml:space="preserve">, </w:t>
      </w:r>
      <w:r>
        <w:rPr>
          <w:rFonts w:ascii="Times New Roman" w:hAnsi="Times New Roman"/>
          <w:i/>
          <w:sz w:val="24"/>
        </w:rPr>
        <w:t>16</w:t>
      </w:r>
      <w:r>
        <w:rPr>
          <w:rFonts w:ascii="Times New Roman" w:hAnsi="Times New Roman"/>
          <w:sz w:val="24"/>
        </w:rPr>
        <w:t>, 1499909. https://doi.org/10.3389/fpls.2025.1499909</w:t>
      </w:r>
    </w:p>
    <w:p>
      <w:pPr>
        <w:spacing w:line="276" w:lineRule="auto"/>
        <w:ind w:firstLine="0"/>
        <w:jc w:val="both"/>
      </w:pPr>
      <w:r>
        <w:rPr>
          <w:rFonts w:ascii="Times New Roman" w:hAnsi="Times New Roman"/>
          <w:sz w:val="24"/>
        </w:rPr>
        <w:t xml:space="preserve">Selvaraju, R. R., Cogswell, M., Das, A., Vedantam, R., Parikh, D., &amp; Batra, D. (2017). Grad-CAM: Visual explanations from deep networks via gradient-based localization. </w:t>
      </w:r>
      <w:r>
        <w:rPr>
          <w:rFonts w:ascii="Times New Roman" w:hAnsi="Times New Roman"/>
          <w:i/>
          <w:sz w:val="24"/>
        </w:rPr>
        <w:t>Proceedings of the IEEE International Conference on Computer Vision (ICCV)</w:t>
      </w:r>
      <w:r>
        <w:rPr>
          <w:rFonts w:ascii="Times New Roman" w:hAnsi="Times New Roman"/>
          <w:sz w:val="24"/>
        </w:rPr>
        <w:t>, 618–626. https://doi.org/10.1109/ICCV.2017.74</w:t>
      </w:r>
    </w:p>
    <w:p>
      <w:pPr>
        <w:spacing w:line="276" w:lineRule="auto"/>
        <w:ind w:firstLine="0"/>
        <w:jc w:val="both"/>
      </w:pPr>
      <w:r>
        <w:rPr>
          <w:rFonts w:ascii="Times New Roman" w:hAnsi="Times New Roman"/>
          <w:sz w:val="24"/>
        </w:rPr>
        <w:t xml:space="preserve">Shabrina, N. H. (2023). Potato leaf disease dataset in uncontrolled environment. </w:t>
      </w:r>
      <w:r>
        <w:rPr>
          <w:rFonts w:ascii="Times New Roman" w:hAnsi="Times New Roman"/>
          <w:i/>
          <w:sz w:val="24"/>
        </w:rPr>
        <w:t>Mendeley Data</w:t>
      </w:r>
      <w:r>
        <w:rPr>
          <w:rFonts w:ascii="Times New Roman" w:hAnsi="Times New Roman"/>
          <w:sz w:val="24"/>
        </w:rPr>
        <w:t>, V1. https://doi.org/10.17632/ptz377bwb8.1</w:t>
      </w:r>
    </w:p>
    <w:p>
      <w:pPr>
        <w:spacing w:line="276" w:lineRule="auto"/>
        <w:ind w:firstLine="0"/>
        <w:jc w:val="both"/>
      </w:pPr>
      <w:r>
        <w:rPr>
          <w:rFonts w:ascii="Times New Roman" w:hAnsi="Times New Roman"/>
          <w:sz w:val="24"/>
        </w:rPr>
        <w:t xml:space="preserve">Sinamenye, J. H., Chatterjee, A., &amp; Shrestha, R. (2025). Potato plant disease detection: Leveraging hybrid deep learning models. </w:t>
      </w:r>
      <w:r>
        <w:rPr>
          <w:rFonts w:ascii="Times New Roman" w:hAnsi="Times New Roman"/>
          <w:i/>
          <w:sz w:val="24"/>
        </w:rPr>
        <w:t>BMC Plant Biology</w:t>
      </w:r>
      <w:r>
        <w:rPr>
          <w:rFonts w:ascii="Times New Roman" w:hAnsi="Times New Roman"/>
          <w:sz w:val="24"/>
        </w:rPr>
        <w:t xml:space="preserve">, </w:t>
      </w:r>
      <w:r>
        <w:rPr>
          <w:rFonts w:ascii="Times New Roman" w:hAnsi="Times New Roman"/>
          <w:i/>
          <w:sz w:val="24"/>
        </w:rPr>
        <w:t>25</w:t>
      </w:r>
      <w:r>
        <w:rPr>
          <w:rFonts w:ascii="Times New Roman" w:hAnsi="Times New Roman"/>
          <w:sz w:val="24"/>
        </w:rPr>
        <w:t>(1), 647. https://doi.org/10.1186/s12870-025-06679-4</w:t>
      </w:r>
    </w:p>
    <w:p>
      <w:pPr>
        <w:spacing w:line="276" w:lineRule="auto"/>
        <w:ind w:firstLine="0"/>
        <w:jc w:val="both"/>
      </w:pPr>
      <w:r>
        <w:rPr>
          <w:rFonts w:ascii="Times New Roman" w:hAnsi="Times New Roman"/>
          <w:sz w:val="24"/>
        </w:rPr>
        <w:t xml:space="preserve">Tariq, M. H., Sultan, H., Akram, R., Chen, Y., Kim, S. G., Kim, J. S., Usman, M., Gondal, M. A., Seo, H., Lee, K., &amp; Park, J. (2025). Estimation of fractal dimensions and classification of plant disease with complex backgrounds. </w:t>
      </w:r>
      <w:r>
        <w:rPr>
          <w:rFonts w:ascii="Times New Roman" w:hAnsi="Times New Roman"/>
          <w:i/>
          <w:sz w:val="24"/>
        </w:rPr>
        <w:t>Fractal and Fractional</w:t>
      </w:r>
      <w:r>
        <w:rPr>
          <w:rFonts w:ascii="Times New Roman" w:hAnsi="Times New Roman"/>
          <w:sz w:val="24"/>
        </w:rPr>
        <w:t xml:space="preserve">, </w:t>
      </w:r>
      <w:r>
        <w:rPr>
          <w:rFonts w:ascii="Times New Roman" w:hAnsi="Times New Roman"/>
          <w:i/>
          <w:sz w:val="24"/>
        </w:rPr>
        <w:t>9</w:t>
      </w:r>
      <w:r>
        <w:rPr>
          <w:rFonts w:ascii="Times New Roman" w:hAnsi="Times New Roman"/>
          <w:sz w:val="24"/>
        </w:rPr>
        <w:t>(5), 315. https://doi.org/10.3390/fractalfract9050315</w:t>
      </w:r>
    </w:p>
    <w:p>
      <w:pPr>
        <w:spacing w:line="276" w:lineRule="auto"/>
        <w:ind w:firstLine="0"/>
        <w:jc w:val="both"/>
      </w:pPr>
      <w:r>
        <w:rPr>
          <w:rFonts w:ascii="Times New Roman" w:hAnsi="Times New Roman"/>
          <w:sz w:val="24"/>
        </w:rPr>
        <w:t xml:space="preserve">Vitasoa, D. C., Randriamitsiry, P. M., Razafimahatratra, T., &amp; Mahatody, T. (2025). DenseSwinNet: A hybrid CNN-transformer model for robust classification in uncontrolled environments. In </w:t>
      </w:r>
      <w:r>
        <w:rPr>
          <w:rFonts w:ascii="Times New Roman" w:hAnsi="Times New Roman"/>
          <w:i/>
          <w:sz w:val="24"/>
        </w:rPr>
        <w:t>2025 29th International Conference on System Theory, Control and Computing (ICSTCC)</w:t>
      </w:r>
      <w:r>
        <w:rPr>
          <w:rFonts w:ascii="Times New Roman" w:hAnsi="Times New Roman"/>
          <w:sz w:val="24"/>
        </w:rPr>
        <w:t xml:space="preserve"> (pp. 1–6). IEEE. https://doi.org/10.1109/icstcc66753.2025.11240329</w:t>
      </w:r>
    </w:p>
    <w:p>
      <w:pPr>
        <w:spacing w:line="276" w:lineRule="auto"/>
        <w:ind w:firstLine="0"/>
        <w:jc w:val="both"/>
      </w:pPr>
      <w:r>
        <w:rPr>
          <w:rFonts w:ascii="Times New Roman" w:hAnsi="Times New Roman"/>
          <w:sz w:val="24"/>
        </w:rPr>
        <w:t xml:space="preserve">Wang, R.-F., &amp; Su, W.-H. (2024). The application of deep learning in the whole potato production chain: A comprehensive review. </w:t>
      </w:r>
      <w:r>
        <w:rPr>
          <w:rFonts w:ascii="Times New Roman" w:hAnsi="Times New Roman"/>
          <w:i/>
          <w:sz w:val="24"/>
        </w:rPr>
        <w:t>Agriculture</w:t>
      </w:r>
      <w:r>
        <w:rPr>
          <w:rFonts w:ascii="Times New Roman" w:hAnsi="Times New Roman"/>
          <w:sz w:val="24"/>
        </w:rPr>
        <w:t xml:space="preserve">, </w:t>
      </w:r>
      <w:r>
        <w:rPr>
          <w:rFonts w:ascii="Times New Roman" w:hAnsi="Times New Roman"/>
          <w:i/>
          <w:sz w:val="24"/>
        </w:rPr>
        <w:t>14</w:t>
      </w:r>
      <w:r>
        <w:rPr>
          <w:rFonts w:ascii="Times New Roman" w:hAnsi="Times New Roman"/>
          <w:sz w:val="24"/>
        </w:rPr>
        <w:t>(8), 1225. https://doi.org/10.3390/agriculture14081225</w:t>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