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a NetSuite Chatbot</w:t>
        <w:br/>
        <w:t>with Suitelets and Ollama</w:t>
      </w:r>
    </w:p>
    <w:p>
      <w:pPr>
        <w:pStyle w:val="Subtitle"/>
      </w:pPr>
      <w:r>
        <w:t>A practical guide to local AI inference and live SuiteQL queries without an inbound tunnel</w:t>
      </w:r>
    </w:p>
    <w:p>
      <w:pPr>
        <w:spacing w:after="240"/>
      </w:pPr>
      <w:r>
        <w:rPr>
          <w:sz w:val="20"/>
        </w:rPr>
        <w:t>By Shaheer Badar</w:t>
      </w:r>
    </w:p>
    <w:p>
      <w:r>
        <w:t>An administrator opens NetSuite and asks, “How many customer records do we have?” A chat interface accepts the question, a model running on a local computer prepares a query, and NetSuite returns the count. The administrator sees the result alongside the SQL and the interpretation used to produce it.</w:t>
      </w:r>
    </w:p>
    <w:p>
      <w:r>
        <w:t>That is the proof of concept (POC) we built and tested in a NetSuite sandbox. It combines a Suitelet, an authenticated RESTlet, a Python worker, and Ollama. The model helps translate questions into SuiteQL; NetSuite remains responsible for executing the query and calculating the answer.</w:t>
      </w:r>
    </w:p>
    <w:p>
      <w:r>
        <w:t>The interesting part is how these components communicate. NetSuite never calls the laptop’s localhost address. The local worker initiates outbound HTTPS requests to NetSuite and picks up queued questions. This lets us test the complete workflow without exposing the laptop through a public URL or tunnel.</w:t>
      </w:r>
    </w:p>
    <w:p>
      <w:r>
        <w:t>This article explains that design, the role of a business knowledge document, and the problems we encountered with schema discovery, SQL generation, and response time. It is written for NetSuite developers and administrators evaluating a custom assistant. Familiarity with SuiteScript, basic SQL, and API authentication will help.</w:t>
      </w:r>
    </w:p>
    <w:p>
      <w:pPr>
        <w:pStyle w:val="Imagenote"/>
      </w:pPr>
      <w:r>
        <w:t>IMAGE 1 — Place a cropped screenshot of the working Suitelet here. Show the customer-count question, its result, and the expandable SQL details. Hide the account hostname, employee identity, and unrelated records. Suggested caption: “A question asked inside NetSuite returns live data with the query available for inspection.”</w:t>
      </w:r>
    </w:p>
    <w:p>
      <w:pPr>
        <w:pStyle w:val="Heading1"/>
      </w:pPr>
      <w:r>
        <w:t>What the assistant actually does</w:t>
      </w:r>
    </w:p>
    <w:p>
      <w:r>
        <w:t>The interface is restricted to administrators. It supports questions, follow-ups, paginated results, and explicit clarification or error responses. It does not create sales orders, update customers, approve transactions, or send emails.</w:t>
      </w:r>
    </w:p>
    <w:p>
      <w:r>
        <w:t>There is an important distinction in the phrase “read-only.” Business-record access is read-only, but the application creates and updates its own job records to move questions and answers between NetSuite and the worker. A retention script later deletes old application jobs. Those housekeeping writes are separate from business transactions.</w:t>
      </w:r>
    </w:p>
    <w:p>
      <w:r>
        <w:t>For this build, we used Ollama 0.34.0 with the locally installed qwen3.5:4b model on a CPU-only computer. The backend uses Python and FastAPI, with SQLite for local state and recovery. The NetSuite side uses SuiteScript 2.1. This configuration demonstrated the workflow, but it did not deliver consistently fast responses to unfamiliar questions.</w:t>
      </w:r>
    </w:p>
    <w:p>
      <w:pPr>
        <w:pStyle w:val="Heading1"/>
      </w:pPr>
      <w:r>
        <w:t>How the Suitelet talks to a local model</w:t>
      </w:r>
    </w:p>
    <w:p>
      <w:r>
        <w:t>A localhost address belongs to the machine making the request. If a NetSuite server attempted to call 127.0.0.1, that address would not point to a developer’s laptop. Our solution is to reverse who initiates the connection.</w:t>
      </w:r>
    </w:p>
    <w:p>
      <w:r>
        <w:t>The Suitelet serves the chat interface and accepts the administrator’s question. It stores a job in a custom record. The worker running on the computer periodically asks the RESTlet whether a job is waiting. Once it claims a job, it has the question and the context needed to prepare an answer.</w:t>
      </w:r>
    </w:p>
    <w:p>
      <w:r>
        <w:t>The complete request follows this sequence:</w:t>
      </w:r>
    </w:p>
    <w:p>
      <w:pPr>
        <w:pStyle w:val="ListNumber"/>
      </w:pPr>
      <w:r>
        <w:t>The browser submits the question to the Suitelet inside NetSuite.</w:t>
      </w:r>
    </w:p>
    <w:p>
      <w:pPr>
        <w:pStyle w:val="ListNumber"/>
      </w:pPr>
      <w:r>
        <w:t>The Suitelet validates the request and creates an application job.</w:t>
      </w:r>
    </w:p>
    <w:p>
      <w:pPr>
        <w:pStyle w:val="ListNumber"/>
      </w:pPr>
      <w:r>
        <w:t>The local worker polls the authenticated RESTlet and claims that job.</w:t>
      </w:r>
    </w:p>
    <w:p>
      <w:pPr>
        <w:pStyle w:val="ListNumber"/>
      </w:pPr>
      <w:r>
        <w:t>The worker loads business definitions and selects relevant schema information.</w:t>
      </w:r>
    </w:p>
    <w:p>
      <w:pPr>
        <w:pStyle w:val="ListNumber"/>
      </w:pPr>
      <w:r>
        <w:t>Ollama returns a structured query plan over the computer’s loopback interface.</w:t>
      </w:r>
    </w:p>
    <w:p>
      <w:pPr>
        <w:pStyle w:val="ListNumber"/>
      </w:pPr>
      <w:r>
        <w:t>The backend validates the proposed SQL and sends it to the RESTlet.</w:t>
      </w:r>
    </w:p>
    <w:p>
      <w:pPr>
        <w:pStyle w:val="ListNumber"/>
      </w:pPr>
      <w:r>
        <w:t>The RESTlet executes SuiteQL through N/query under the integration role.</w:t>
      </w:r>
    </w:p>
    <w:p>
      <w:pPr>
        <w:pStyle w:val="ListNumber"/>
      </w:pPr>
      <w:r>
        <w:t>The worker publishes the result to the job, and the browser retrieves it through the Suitelet.</w:t>
      </w:r>
    </w:p>
    <w:p>
      <w:r>
        <w:t>The browser talks to NetSuite. The worker talks to NetSuite over outbound HTTPS. Only the worker’s connection to Ollama uses localhost. The local management service also stays on loopback; the Suitelet does not call it.</w:t>
      </w:r>
    </w:p>
    <w:p>
      <w:pPr>
        <w:pStyle w:val="Imagenote"/>
      </w:pPr>
      <w:r>
        <w:t>IMAGE 2 — Insert an architecture diagram here with three areas: Browser, NetSuite, and Local computer or private server. Inside NetSuite show Suitelet, Job records, RESTlet, and N/query. Inside the local area show Python worker, Business document, Schema cache, SQLite, and Ollama. Label the worker-to-RESTlet arrow “Outbound HTTPS with OAuth 2.0” and the worker-to-Ollama arrow “Loopback HTTP.” Do not draw a NetSuite-to-localhost request. Suggested caption: “Outbound polling connects the NetSuite interface to local inference without an inbound tunnel.”</w:t>
      </w:r>
    </w:p>
    <w:p>
      <w:r>
        <w:t>This arrangement also explains the waiting experience. If the computer sleeps or the worker stops, no local model is processing the queued questions. The current implementation supports one active worker per integration deployment. Moving it to a server improves availability, but running multiple worker copies requires additional coordination beyond this version.</w:t>
      </w:r>
    </w:p>
    <w:p>
      <w:pPr>
        <w:pStyle w:val="Heading1"/>
      </w:pPr>
      <w:r>
        <w:t>Putting the components in place</w:t>
      </w:r>
    </w:p>
    <w:p>
      <w:r>
        <w:t>The application has several moving parts, so we brought them online independently before testing natural-language queries. That made authentication failures distinguishable from model or SQL failures.</w:t>
      </w:r>
    </w:p>
    <w:p>
      <w:pPr>
        <w:pStyle w:val="Heading2"/>
      </w:pPr>
      <w:r>
        <w:t>Prepare local inference</w:t>
      </w:r>
    </w:p>
    <w:p>
      <w:r>
        <w:t>Install Ollama, download the selected model, and verify that it answers a small structured-output request. Apply these settings to the Ollama service:</w:t>
      </w:r>
    </w:p>
    <w:p>
      <w:pPr>
        <w:pStyle w:val="Code"/>
        <w:keepLines/>
      </w:pPr>
      <w:r>
        <w:t>OLLAMA_NO_CLOUD=1</w:t>
        <w:br/>
        <w:t>OLLAMA_HOST=127.0.0.1:11434</w:t>
        <w:br/>
        <w:t>OLLAMA_NUM_PARALLEL=1</w:t>
        <w:br/>
        <w:t>OLLAMA_MAX_LOADED_MODELS=1</w:t>
      </w:r>
    </w:p>
    <w:p>
      <w:r>
        <w:t xml:space="preserve">These settings disable Ollama cloud features, keep its listener local, and limit simultaneous model loading and inference. They do not eliminate the memory required for model weights and context. See the </w:t>
      </w:r>
      <w:hyperlink r:id="rId11">
        <w:r>
          <w:rPr>
            <w:color w:val="175A78"/>
            <w:u w:val="single"/>
          </w:rPr>
          <w:t>Ollama configuration and local-only guidance</w:t>
        </w:r>
      </w:hyperlink>
      <w:r>
        <w:t>.</w:t>
      </w:r>
    </w:p>
    <w:p>
      <w:r>
        <w:t>A small benchmark is useful as a connectivity check. It is not a reliable estimate of a real request containing business definitions, schema information, and conversation history.</w:t>
      </w:r>
    </w:p>
    <w:p>
      <w:pPr>
        <w:pStyle w:val="Heading2"/>
      </w:pPr>
      <w:r>
        <w:t>Deploy the NetSuite application</w:t>
      </w:r>
    </w:p>
    <w:p>
      <w:r>
        <w:t>The SuiteCloud package contains the chat Suitelet, worker RESTlet, shared library, chat HTML, custom job record, and scheduled retention script. Validating and deploying the package is only part of setup: the script deployments, audience, integration identity, and deployment parameters must also be configured for the target account.</w:t>
      </w:r>
    </w:p>
    <w:p>
      <w:r>
        <w:t>Keep the chat Suitelet available only to the intended administrators and require a NetSuite login. Restrict the worker deployment to the integration identity. The worker parameters identify the permitted role, user, and worker name so that an unrelated caller cannot take over the queue.</w:t>
      </w:r>
    </w:p>
    <w:p>
      <w:pPr>
        <w:pStyle w:val="Heading2"/>
      </w:pPr>
      <w:r>
        <w:t>Authenticate the worker separately</w:t>
      </w:r>
    </w:p>
    <w:p>
      <w:r>
        <w:t>An administrator using the chat does not mean the backend should authenticate as Administrator. The worker has a dedicated integration role with View access to the business records it needs, the required analytics permissions, and limited access to its own job records.</w:t>
      </w:r>
    </w:p>
    <w:p>
      <w:r>
        <w:t>We use OAuth 2.0 client credentials with certificate authentication. NetSuite holds the public certificate and a mapping between the application, entity, and role. The worker holds the private key and uses it to obtain access tokens. The model never receives that private key.</w:t>
      </w:r>
    </w:p>
    <w:p>
      <w:r>
        <w:t xml:space="preserve">Follow </w:t>
      </w:r>
      <w:hyperlink r:id="rId12">
        <w:r>
          <w:rPr>
            <w:color w:val="175A78"/>
            <w:u w:val="single"/>
          </w:rPr>
          <w:t>Oracle’s client credentials mapping instructions</w:t>
        </w:r>
      </w:hyperlink>
      <w:r>
        <w:t xml:space="preserve"> for account-specific setup. Sandbox refreshes clear this mapping, so rebuilding it belongs in the recovery procedure. Folio3’s </w:t>
      </w:r>
      <w:hyperlink r:id="rId13">
        <w:r>
          <w:rPr>
            <w:color w:val="175A78"/>
            <w:u w:val="single"/>
          </w:rPr>
          <w:t>OAuth 2.0 setup guide</w:t>
        </w:r>
      </w:hyperlink>
      <w:r>
        <w:t xml:space="preserve"> provides a longer walkthrough of the authentication flow.</w:t>
      </w:r>
    </w:p>
    <w:p>
      <w:pPr>
        <w:pStyle w:val="Imagenote"/>
      </w:pPr>
      <w:r>
        <w:t>IMAGE 3 — Place a sanitized screenshot of the worker deployment and its Parameters tab here. Highlight the integration role, integration user, and worker identity labels. Replace identifying values with placeholders. Suggested caption: “The worker deployment is tied to a specific integration identity.”</w:t>
      </w:r>
    </w:p>
    <w:p>
      <w:pPr>
        <w:pStyle w:val="Heading1"/>
      </w:pPr>
      <w:r>
        <w:t>Turn the question into a plan before executing anything</w:t>
      </w:r>
    </w:p>
    <w:p>
      <w:r>
        <w:t>Free-form model text is a poor interface for database execution. A response might contain commentary, incomplete SQL, or a request for clarification. The backend needs to distinguish these outcomes before it contacts NetSuite.</w:t>
      </w:r>
    </w:p>
    <w:p>
      <w:r>
        <w:t>Our model returns a structured plan with a kind, explanation, SQL, and the business definitions used. The supported outcomes are query, clarify, and unsupported. A representative count plan looks like this:</w:t>
      </w:r>
    </w:p>
    <w:p>
      <w:pPr>
        <w:pStyle w:val="Code"/>
        <w:keepLines/>
      </w:pPr>
      <w:r>
        <w:t>{</w:t>
        <w:br/>
        <w:t xml:space="preserve">  "kind": "query",</w:t>
        <w:br/>
        <w:t xml:space="preserve">  "explanation": "Count all accessible customer records.",</w:t>
        <w:br/>
        <w:t xml:space="preserve">  "sql": "SELECT COUNT(*) AS total_customers FROM customer ORDER BY COUNT(*)",</w:t>
        <w:br/>
        <w:t xml:space="preserve">  "definitions": ["One row in customer means one customer record."]</w:t>
        <w:br/>
        <w:t>}</w:t>
      </w:r>
    </w:p>
    <w:p>
      <w:r>
        <w:t xml:space="preserve">Ollama accepts a JSON schema through the API’s format field. The application then validates the returned object again before using it. Structured output helps with response shape; it does not establish that the SQL answers the business question correctly. </w:t>
      </w:r>
      <w:hyperlink r:id="rId14">
        <w:r>
          <w:rPr>
            <w:color w:val="175A78"/>
            <w:u w:val="single"/>
          </w:rPr>
          <w:t>Ollama structured outputs documentation</w:t>
        </w:r>
      </w:hyperlink>
      <w:r>
        <w:t>.</w:t>
      </w:r>
    </w:p>
    <w:p>
      <w:r>
        <w:t>The backend parses the SQL into an abstract syntax tree rather than checking only for forbidden words. It validates tables and fields against the discovered schema and restricts the accepted query structure. The model cannot turn a request such as “update all customers” into an authorized business write merely by producing different SQL.</w:t>
      </w:r>
    </w:p>
    <w:p>
      <w:r>
        <w:t>The RESTlet also checks the authenticated integration identity, the job lease, and the request before execution. NetSuite’s role permissions remain the final data-access boundary. A business document can explain a reporting definition, but it cannot grant permission to read a restricted record.</w:t>
      </w:r>
    </w:p>
    <w:p>
      <w:r>
        <w:t>When validation or execution fails, the model gets a bounded opportunity to repair the query. After the configured attempt limit, the application returns an error. Retrying indefinitely would make a slow answer even slower while hiding the underlying problem.</w:t>
      </w:r>
    </w:p>
    <w:p>
      <w:r>
        <w:t>Returned rows are rendered directly in this version. There is no second model call that rewrites the result into a narrative summary. The displayed interpretation explains the proposed query; the numbers themselves come from NetSuite.</w:t>
      </w:r>
    </w:p>
    <w:p>
      <w:pPr>
        <w:pStyle w:val="Heading1"/>
      </w:pPr>
      <w:r>
        <w:t>Give the agent structure and business meaning</w:t>
      </w:r>
    </w:p>
    <w:p>
      <w:r>
        <w:t>A list of fields cannot tell an assistant whether “new customer” means a recently created record, a first purchase, or completion of a registration process. Similarly, “returned order” could refer to a return authorization, a physical receipt, a credit memo, or a refund.</w:t>
      </w:r>
    </w:p>
    <w:p>
      <w:r>
        <w:t>We keep those meanings in an editable business document. The backend loads the document on each question, retains core rules, and selects relevant sections for the model’s context. It records a content hash so that an answer can be associated with the definitions used at that time. This is prompt context, not model training, and it does not require a vector database.</w:t>
      </w:r>
    </w:p>
    <w:p>
      <w:r>
        <w:t>A useful sales-order section could include:</w:t>
      </w:r>
    </w:p>
    <w:p>
      <w:pPr>
        <w:pStyle w:val="Code"/>
        <w:keepLines/>
      </w:pPr>
      <w:r>
        <w:t>Sales orders use transaction.type = 'SalesOrd'.</w:t>
        <w:br/>
        <w:t>An order list has one row per transaction.id.</w:t>
        <w:br/>
        <w:t>“Orders from May to July” uses transaction.trandate.</w:t>
        <w:br/>
        <w:t>“Records created after a date” uses transaction.createddate.</w:t>
        <w:br/>
        <w:t>Show the date interpretation in the answer.</w:t>
        <w:br/>
        <w:t>Keep transaction amounts with their original currency.</w:t>
        <w:br/>
        <w:t>Ask for a conversion rule before combining currencies.</w:t>
      </w:r>
    </w:p>
    <w:p>
      <w:r>
        <w:t>These rules need a business owner and account-level verification. Writing “USD” in a document does not convert an amount to USD. A timezone preference does not, by itself, prove the interpretation of every source timestamp.</w:t>
      </w:r>
    </w:p>
    <w:p>
      <w:r>
        <w:t>Schema discovery is a separate process. The worker inventories candidate record types, probes accessible columns, and periodically refreshes the local schema. The current default refresh interval is one hour. A newly created customer can be returned by a fresh query without retraining; a newly added field may require a schema refresh, permission changes, and an updated business definition.</w:t>
      </w:r>
    </w:p>
    <w:p>
      <w:pPr>
        <w:pStyle w:val="Imagenote"/>
      </w:pPr>
      <w:r>
        <w:t>IMAGE 4 — Insert a side-by-side illustration here. On the left show verified table and field names; on the right show a short business definition with date, currency, and row-grain rules. Suggested caption: “Schema discovery supplies structure while business knowledge supplies meaning.”</w:t>
      </w:r>
    </w:p>
    <w:p>
      <w:r>
        <w:t>An early refresh found 262 usable tables and reported 87 failed probes. That was partial coverage, not a clean bill of health for every query. Permissions, unavailable analytics types, and metadata compatibility are possibilities to investigate; the failure count alone does not identify the cause.</w:t>
      </w:r>
    </w:p>
    <w:p>
      <w:r>
        <w:t>For each new custom field, record its script ID, business meaning, allowed values, relationships, and one example question with an independently checked answer. A document update cannot make an inaccessible field queryable, and a successful schema refresh cannot invent its meaning.</w:t>
      </w:r>
    </w:p>
    <w:p>
      <w:pPr>
        <w:pStyle w:val="Heading1"/>
      </w:pPr>
      <w:r>
        <w:t>Three questions that reveal the real requirements</w:t>
      </w:r>
    </w:p>
    <w:p>
      <w:pPr>
        <w:pStyle w:val="Heading2"/>
      </w:pPr>
      <w:r>
        <w:t>Count all customer records</w:t>
      </w:r>
    </w:p>
    <w:p>
      <w:r>
        <w:t>This was our first useful end-to-end check. The agent returned 1,197, matching a direct SuiteQL count during setup. That is a point-in-time sandbox result, not a number the model should remember for future answers.</w:t>
      </w:r>
    </w:p>
    <w:p>
      <w:r>
        <w:t>The intended query counts customer records across the integration role’s accessible scope, without introducing active-status or signup-date filters. It also avoids joins that could multiply customer rows.</w:t>
      </w:r>
    </w:p>
    <w:p>
      <w:pPr>
        <w:pStyle w:val="Code"/>
        <w:keepLines/>
      </w:pPr>
      <w:r>
        <w:t>SELECT COUNT(*) AS total_customers</w:t>
        <w:br/>
        <w:t>FROM customer</w:t>
        <w:br/>
        <w:t>ORDER BY COUNT(*)</w:t>
      </w:r>
    </w:p>
    <w:p>
      <w:r>
        <w:t>For a count question, calculating COUNT(*) in NetSuite matters. Counting the 100 rows displayed on one page would answer a different question.</w:t>
      </w:r>
    </w:p>
    <w:p>
      <w:pPr>
        <w:pStyle w:val="Heading2"/>
      </w:pPr>
      <w:r>
        <w:t>Show credit memos and the items they contain</w:t>
      </w:r>
    </w:p>
    <w:p>
      <w:r>
        <w:t>This request is more demanding because one credit memo can contain several item lines. The result should have one row per matching line, with the memo identifier repeated where necessary.</w:t>
      </w:r>
    </w:p>
    <w:p>
      <w:r>
        <w:t>The core relationship is transaction to transactionline, then transactionline to item. The following excerpt illustrates the intended join and filter shape; it is not a complete report definition:</w:t>
      </w:r>
    </w:p>
    <w:p>
      <w:pPr>
        <w:pStyle w:val="Code"/>
        <w:keepLines/>
      </w:pPr>
      <w:r>
        <w:t>FROM transaction t</w:t>
        <w:br/>
        <w:t>JOIN transactionline l ON l.transaction = t.id</w:t>
        <w:br/>
        <w:t>LEFT JOIN item i ON i.id = l.item</w:t>
        <w:br/>
        <w:t>WHERE t.type = 'CustCred'</w:t>
        <w:br/>
        <w:t xml:space="preserve">  AND l.mainline = 'F'</w:t>
        <w:br/>
        <w:t xml:space="preserve">  AND l.taxline = 'F'</w:t>
        <w:br/>
        <w:t xml:space="preserve">  AND l.item IS NOT NULL</w:t>
      </w:r>
    </w:p>
    <w:p>
      <w:r>
        <w:t>After fixing discovery of transactionline, the credit-memo request returned results in our sandbox. An item-only result still excludes non-item lines. Repeating a memo’s header total on every item row and then summing it would inflate the total. Quantity signs and monetary interpretation also need explicit rules before turning this list into a financial report.</w:t>
      </w:r>
    </w:p>
    <w:p>
      <w:pPr>
        <w:pStyle w:val="Imagenote"/>
      </w:pPr>
      <w:r>
        <w:t>IMAGE 5 — Place a sanitized credit-memo result screenshot here. Include one memo with two item rows and highlight the repeated memo number and distinct line IDs. Use synthetic replacement values if necessary and label them as illustrative. Suggested caption: “One credit memo can produce several rows when the question asks for its items.”</w:t>
      </w:r>
    </w:p>
    <w:p>
      <w:pPr>
        <w:pStyle w:val="Heading2"/>
      </w:pPr>
      <w:r>
        <w:t>Show pending fulfillment sales orders from May through July</w:t>
      </w:r>
    </w:p>
    <w:p>
      <w:r>
        <w:t>A simple-sounding request hides three decisions: which transaction type represents a sales order, which date field controls the range, and how the displayed status maps to queryable data.</w:t>
      </w:r>
    </w:p>
    <w:p>
      <w:r>
        <w:t>Under our documented order-date convention, May through July 2026 means a lower bound of May 1 and an exclusive upper bound of August 1. A request about record creation instead uses the creation field and requires verified timestamp semantics.</w:t>
      </w:r>
    </w:p>
    <w:p>
      <w:r>
        <w:t>An earlier attempt returned no rows. That did not prove there were no matching orders. We still needed to verify the status mapping and compare the date boundaries with known records. Header queries had executed, but that alone did not establish correctness for every status and timezone filter.</w:t>
      </w:r>
    </w:p>
    <w:p>
      <w:pPr>
        <w:pStyle w:val="Heading1"/>
      </w:pPr>
      <w:r>
        <w:t>The failures that made the implementation better</w:t>
      </w:r>
    </w:p>
    <w:p>
      <w:pPr>
        <w:pStyle w:val="Heading2"/>
      </w:pPr>
      <w:r>
        <w:t>An aggregate alias caused an unexpected SuiteScript error</w:t>
      </w:r>
    </w:p>
    <w:p>
      <w:r>
        <w:t>Our customer-count query initially failed with NetSuite’s generic UNEXPECTED_ERROR. We reduced it to three direct diagnostics instead of repeatedly changing the prompt.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328"/>
      </w:tblGrid>
      <w:tr>
        <w:trPr>
          <w:cantSplit/>
          <w:tblHeader/>
        </w:trPr>
        <w:tc>
          <w:tcPr>
            <w:tcW w:type="dxa" w:w="4608"/>
            <w:vAlign w:val="center"/>
            <w:tcMar>
              <w:top w:w="100" w:type="dxa"/>
              <w:left w:w="100" w:type="dxa"/>
              <w:bottom w:w="100" w:type="dxa"/>
              <w:right w:w="100" w:type="dxa"/>
            </w:tcMar>
            <w:shd w:fill="E9EFF2"/>
          </w:tcPr>
          <w:p>
            <w:pPr>
              <w:spacing w:after="40" w:before="40" w:line="247" w:lineRule="auto"/>
            </w:pPr>
            <w:r>
              <w:rPr>
                <w:b/>
                <w:sz w:val="20"/>
              </w:rPr>
              <w:t>Query variation</w:t>
            </w:r>
          </w:p>
        </w:tc>
        <w:tc>
          <w:tcPr>
            <w:tcW w:type="dxa" w:w="5328"/>
            <w:vAlign w:val="center"/>
            <w:tcMar>
              <w:top w:w="100" w:type="dxa"/>
              <w:left w:w="100" w:type="dxa"/>
              <w:bottom w:w="100" w:type="dxa"/>
              <w:right w:w="100" w:type="dxa"/>
            </w:tcMar>
            <w:shd w:fill="E9EFF2"/>
          </w:tcPr>
          <w:p>
            <w:pPr>
              <w:spacing w:after="40" w:before="40" w:line="247" w:lineRule="auto"/>
            </w:pPr>
            <w:r>
              <w:rPr>
                <w:b/>
                <w:sz w:val="20"/>
              </w:rPr>
              <w:t>Observed sandbox result</w:t>
            </w:r>
          </w:p>
        </w:tc>
      </w:tr>
      <w:tr>
        <w:trPr>
          <w:cantSplit/>
        </w:trPr>
        <w:tc>
          <w:tcPr>
            <w:tcW w:type="dxa" w:w="4608"/>
            <w:vAlign w:val="center"/>
            <w:tcMar>
              <w:top w:w="100" w:type="dxa"/>
              <w:left w:w="100" w:type="dxa"/>
              <w:bottom w:w="100" w:type="dxa"/>
              <w:right w:w="100" w:type="dxa"/>
            </w:tcMar>
          </w:tcPr>
          <w:p>
            <w:pPr>
              <w:spacing w:after="40" w:before="40" w:line="247" w:lineRule="auto"/>
            </w:pPr>
            <w:r>
              <w:rPr>
                <w:b w:val="0"/>
                <w:sz w:val="20"/>
              </w:rPr>
              <w:t>COUNT(*) without ORDER BY</w:t>
            </w:r>
          </w:p>
        </w:tc>
        <w:tc>
          <w:tcPr>
            <w:tcW w:type="dxa" w:w="5328"/>
            <w:vAlign w:val="center"/>
            <w:tcMar>
              <w:top w:w="100" w:type="dxa"/>
              <w:left w:w="100" w:type="dxa"/>
              <w:bottom w:w="100" w:type="dxa"/>
              <w:right w:w="100" w:type="dxa"/>
            </w:tcMar>
          </w:tcPr>
          <w:p>
            <w:pPr>
              <w:spacing w:after="40" w:before="40" w:line="247" w:lineRule="auto"/>
            </w:pPr>
            <w:r>
              <w:rPr>
                <w:b w:val="0"/>
                <w:sz w:val="20"/>
              </w:rPr>
              <w:t>Succeeded</w:t>
            </w:r>
          </w:p>
        </w:tc>
      </w:tr>
      <w:tr>
        <w:trPr>
          <w:cantSplit/>
        </w:trPr>
        <w:tc>
          <w:tcPr>
            <w:tcW w:type="dxa" w:w="4608"/>
            <w:vAlign w:val="center"/>
            <w:tcMar>
              <w:top w:w="100" w:type="dxa"/>
              <w:left w:w="100" w:type="dxa"/>
              <w:bottom w:w="100" w:type="dxa"/>
              <w:right w:w="100" w:type="dxa"/>
            </w:tcMar>
          </w:tcPr>
          <w:p>
            <w:pPr>
              <w:spacing w:after="40" w:before="40" w:line="247" w:lineRule="auto"/>
            </w:pPr>
            <w:r>
              <w:rPr>
                <w:b w:val="0"/>
                <w:sz w:val="20"/>
              </w:rPr>
              <w:t>ORDER BY total_customers</w:t>
            </w:r>
          </w:p>
        </w:tc>
        <w:tc>
          <w:tcPr>
            <w:tcW w:type="dxa" w:w="5328"/>
            <w:vAlign w:val="center"/>
            <w:tcMar>
              <w:top w:w="100" w:type="dxa"/>
              <w:left w:w="100" w:type="dxa"/>
              <w:bottom w:w="100" w:type="dxa"/>
              <w:right w:w="100" w:type="dxa"/>
            </w:tcMar>
          </w:tcPr>
          <w:p>
            <w:pPr>
              <w:spacing w:after="40" w:before="40" w:line="247" w:lineRule="auto"/>
            </w:pPr>
            <w:r>
              <w:rPr>
                <w:b w:val="0"/>
                <w:sz w:val="20"/>
              </w:rPr>
              <w:t>Failed with UNEXPECTED_ERROR</w:t>
            </w:r>
          </w:p>
        </w:tc>
      </w:tr>
      <w:tr>
        <w:trPr>
          <w:cantSplit/>
        </w:trPr>
        <w:tc>
          <w:tcPr>
            <w:tcW w:type="dxa" w:w="4608"/>
            <w:vAlign w:val="center"/>
            <w:tcMar>
              <w:top w:w="100" w:type="dxa"/>
              <w:left w:w="100" w:type="dxa"/>
              <w:bottom w:w="100" w:type="dxa"/>
              <w:right w:w="100" w:type="dxa"/>
            </w:tcMar>
          </w:tcPr>
          <w:p>
            <w:pPr>
              <w:spacing w:after="40" w:before="40" w:line="247" w:lineRule="auto"/>
            </w:pPr>
            <w:r>
              <w:rPr>
                <w:b w:val="0"/>
                <w:sz w:val="20"/>
              </w:rPr>
              <w:t>ORDER BY COUNT(*)</w:t>
            </w:r>
          </w:p>
        </w:tc>
        <w:tc>
          <w:tcPr>
            <w:tcW w:type="dxa" w:w="5328"/>
            <w:vAlign w:val="center"/>
            <w:tcMar>
              <w:top w:w="100" w:type="dxa"/>
              <w:left w:w="100" w:type="dxa"/>
              <w:bottom w:w="100" w:type="dxa"/>
              <w:right w:w="100" w:type="dxa"/>
            </w:tcMar>
          </w:tcPr>
          <w:p>
            <w:pPr>
              <w:spacing w:after="40" w:before="40" w:line="247" w:lineRule="auto"/>
            </w:pPr>
            <w:r>
              <w:rPr>
                <w:b w:val="0"/>
                <w:sz w:val="20"/>
              </w:rPr>
              <w:t>Succeeded</w:t>
            </w:r>
          </w:p>
        </w:tc>
      </w:tr>
    </w:tbl>
    <w:p>
      <w:pPr>
        <w:spacing w:after="20"/>
      </w:pPr>
    </w:p>
    <w:p>
      <w:r>
        <w:t>The fix was to normalize aggregate aliases in the ordering clause to their expressions. This is an observed compatibility issue in the tested execution path, not a claim that every alias is invalid everywhere in SuiteQL.</w:t>
      </w:r>
    </w:p>
    <w:p>
      <w:r>
        <w:t xml:space="preserve">For detail results, stable ordering still matters. Oracle requires a unique, unambiguous order for paged SuiteQL to avoid missing or duplicated results. We include appropriate record and line identifiers as tie-breakers. </w:t>
      </w:r>
      <w:hyperlink r:id="rId15">
        <w:r>
          <w:rPr>
            <w:color w:val="175A78"/>
            <w:u w:val="single"/>
          </w:rPr>
          <w:t>Oracle paged SuiteQL guidance</w:t>
        </w:r>
      </w:hyperlink>
      <w:r>
        <w:t>.</w:t>
      </w:r>
    </w:p>
    <w:p>
      <w:pPr>
        <w:pStyle w:val="Heading2"/>
      </w:pPr>
      <w:r>
        <w:t>The model invented transactiondetail</w:t>
      </w:r>
    </w:p>
    <w:p>
      <w:r>
        <w:t>The credit-memo request produced an unknown-table error because the model proposed transactiondetail. A better prompt alone would not have fixed the missing context: the discovery inventory had omitted transactionline.</w:t>
      </w:r>
    </w:p>
    <w:p>
      <w:r>
        <w:t>We verified transactionline with a direct probe, added it explicitly to discovery, and documented the transaction-to-line relationship. The lesson is to inspect both schema retrieval and model output. An assistant cannot reliably select a table it has never been shown, but it should ask for clarification rather than invent one.</w:t>
      </w:r>
    </w:p>
    <w:p>
      <w:pPr>
        <w:pStyle w:val="Heading2"/>
      </w:pPr>
      <w:r>
        <w:t>A displayed status was treated as a stored value</w:t>
      </w:r>
    </w:p>
    <w:p>
      <w:r>
        <w:t>“Pending Fulfillment” is a UI label. Comparing transaction.status directly with that text can produce an empty result when the field uses an internal status code.</w:t>
      </w:r>
    </w:p>
    <w:p>
      <w:r>
        <w:t>The document now requires a verified code or a documented display-value predicate. Our proposed label-based predicate still needs live acceptance testing. We retain that distinction because a syntactically valid query with zero rows can be more misleading than an obvious error.</w:t>
      </w:r>
    </w:p>
    <w:p>
      <w:r>
        <w:t>For each query family, test a known matching record and a known nonmatching record. Also test a genuinely empty period. Those three cases distinguish a correct empty answer from a broken filter.</w:t>
      </w:r>
    </w:p>
    <w:p>
      <w:pPr>
        <w:pStyle w:val="Heading1"/>
      </w:pPr>
      <w:r>
        <w:t>Why the first answers took almost three minutes</w:t>
      </w:r>
    </w:p>
    <w:p>
      <w:r>
        <w:t>We initially saw a fast response to a tiny model benchmark and much slower responses from the real assistant. Timing each component made the difference visible.</w:t>
      </w:r>
    </w:p>
    <w:p>
      <w:r>
        <w:t>One successful customer-count request reported the following backend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328"/>
      </w:tblGrid>
      <w:tr>
        <w:trPr>
          <w:cantSplit/>
          <w:tblHeader/>
        </w:trPr>
        <w:tc>
          <w:tcPr>
            <w:tcW w:type="dxa" w:w="4608"/>
            <w:vAlign w:val="center"/>
            <w:tcMar>
              <w:top w:w="100" w:type="dxa"/>
              <w:left w:w="100" w:type="dxa"/>
              <w:bottom w:w="100" w:type="dxa"/>
              <w:right w:w="100" w:type="dxa"/>
            </w:tcMar>
            <w:shd w:fill="E9EFF2"/>
          </w:tcPr>
          <w:p>
            <w:pPr>
              <w:spacing w:after="40" w:before="40" w:line="247" w:lineRule="auto"/>
            </w:pPr>
            <w:r>
              <w:rPr>
                <w:b/>
                <w:sz w:val="20"/>
              </w:rPr>
              <w:t>Component</w:t>
            </w:r>
          </w:p>
        </w:tc>
        <w:tc>
          <w:tcPr>
            <w:tcW w:type="dxa" w:w="5328"/>
            <w:vAlign w:val="center"/>
            <w:tcMar>
              <w:top w:w="100" w:type="dxa"/>
              <w:left w:w="100" w:type="dxa"/>
              <w:bottom w:w="100" w:type="dxa"/>
              <w:right w:w="100" w:type="dxa"/>
            </w:tcMar>
            <w:shd w:fill="E9EFF2"/>
          </w:tcPr>
          <w:p>
            <w:pPr>
              <w:spacing w:after="40" w:before="40" w:line="247" w:lineRule="auto"/>
            </w:pPr>
            <w:r>
              <w:rPr>
                <w:b/>
                <w:sz w:val="20"/>
              </w:rPr>
              <w:t>Measured time</w:t>
            </w:r>
          </w:p>
        </w:tc>
      </w:tr>
      <w:tr>
        <w:trPr>
          <w:cantSplit/>
        </w:trPr>
        <w:tc>
          <w:tcPr>
            <w:tcW w:type="dxa" w:w="4608"/>
            <w:vAlign w:val="center"/>
            <w:tcMar>
              <w:top w:w="100" w:type="dxa"/>
              <w:left w:w="100" w:type="dxa"/>
              <w:bottom w:w="100" w:type="dxa"/>
              <w:right w:w="100" w:type="dxa"/>
            </w:tcMar>
          </w:tcPr>
          <w:p>
            <w:pPr>
              <w:spacing w:after="40" w:before="40" w:line="247" w:lineRule="auto"/>
            </w:pPr>
            <w:r>
              <w:rPr>
                <w:b w:val="0"/>
                <w:sz w:val="20"/>
              </w:rPr>
              <w:t>Model planning</w:t>
            </w:r>
          </w:p>
        </w:tc>
        <w:tc>
          <w:tcPr>
            <w:tcW w:type="dxa" w:w="5328"/>
            <w:vAlign w:val="center"/>
            <w:tcMar>
              <w:top w:w="100" w:type="dxa"/>
              <w:left w:w="100" w:type="dxa"/>
              <w:bottom w:w="100" w:type="dxa"/>
              <w:right w:w="100" w:type="dxa"/>
            </w:tcMar>
          </w:tcPr>
          <w:p>
            <w:pPr>
              <w:spacing w:after="40" w:before="40" w:line="247" w:lineRule="auto"/>
            </w:pPr>
            <w:r>
              <w:rPr>
                <w:b w:val="0"/>
                <w:sz w:val="20"/>
              </w:rPr>
              <w:t>159.36 seconds</w:t>
            </w:r>
          </w:p>
        </w:tc>
      </w:tr>
      <w:tr>
        <w:trPr>
          <w:cantSplit/>
        </w:trPr>
        <w:tc>
          <w:tcPr>
            <w:tcW w:type="dxa" w:w="4608"/>
            <w:vAlign w:val="center"/>
            <w:tcMar>
              <w:top w:w="100" w:type="dxa"/>
              <w:left w:w="100" w:type="dxa"/>
              <w:bottom w:w="100" w:type="dxa"/>
              <w:right w:w="100" w:type="dxa"/>
            </w:tcMar>
          </w:tcPr>
          <w:p>
            <w:pPr>
              <w:spacing w:after="40" w:before="40" w:line="247" w:lineRule="auto"/>
            </w:pPr>
            <w:r>
              <w:rPr>
                <w:b w:val="0"/>
                <w:sz w:val="20"/>
              </w:rPr>
              <w:t>NetSuite query call</w:t>
            </w:r>
          </w:p>
        </w:tc>
        <w:tc>
          <w:tcPr>
            <w:tcW w:type="dxa" w:w="5328"/>
            <w:vAlign w:val="center"/>
            <w:tcMar>
              <w:top w:w="100" w:type="dxa"/>
              <w:left w:w="100" w:type="dxa"/>
              <w:bottom w:w="100" w:type="dxa"/>
              <w:right w:w="100" w:type="dxa"/>
            </w:tcMar>
          </w:tcPr>
          <w:p>
            <w:pPr>
              <w:spacing w:after="40" w:before="40" w:line="247" w:lineRule="auto"/>
            </w:pPr>
            <w:r>
              <w:rPr>
                <w:b w:val="0"/>
                <w:sz w:val="20"/>
              </w:rPr>
              <w:t>1.70 seconds</w:t>
            </w:r>
          </w:p>
        </w:tc>
      </w:tr>
      <w:tr>
        <w:trPr>
          <w:cantSplit/>
        </w:trPr>
        <w:tc>
          <w:tcPr>
            <w:tcW w:type="dxa" w:w="4608"/>
            <w:vAlign w:val="center"/>
            <w:tcMar>
              <w:top w:w="100" w:type="dxa"/>
              <w:left w:w="100" w:type="dxa"/>
              <w:bottom w:w="100" w:type="dxa"/>
              <w:right w:w="100" w:type="dxa"/>
            </w:tcMar>
          </w:tcPr>
          <w:p>
            <w:pPr>
              <w:spacing w:after="40" w:before="40" w:line="247" w:lineRule="auto"/>
            </w:pPr>
            <w:r>
              <w:rPr>
                <w:b w:val="0"/>
                <w:sz w:val="20"/>
              </w:rPr>
              <w:t>Total recorded by the answer engine</w:t>
            </w:r>
          </w:p>
        </w:tc>
        <w:tc>
          <w:tcPr>
            <w:tcW w:type="dxa" w:w="5328"/>
            <w:vAlign w:val="center"/>
            <w:tcMar>
              <w:top w:w="100" w:type="dxa"/>
              <w:left w:w="100" w:type="dxa"/>
              <w:bottom w:w="100" w:type="dxa"/>
              <w:right w:w="100" w:type="dxa"/>
            </w:tcMar>
          </w:tcPr>
          <w:p>
            <w:pPr>
              <w:spacing w:after="40" w:before="40" w:line="247" w:lineRule="auto"/>
            </w:pPr>
            <w:r>
              <w:rPr>
                <w:b w:val="0"/>
                <w:sz w:val="20"/>
              </w:rPr>
              <w:t>161.09 seconds</w:t>
            </w:r>
          </w:p>
        </w:tc>
      </w:tr>
    </w:tbl>
    <w:p>
      <w:pPr>
        <w:spacing w:after="20"/>
      </w:pPr>
    </w:p>
    <w:p>
      <w:r>
        <w:t>This request succeeded on its first attempt. Almost all of the measured time was spent on model planning, so reducing retries or changing the Suitelet could not solve that particular delay. The engine timer also does not include all queue waiting and browser polling time.</w:t>
      </w:r>
    </w:p>
    <w:p>
      <w:pPr>
        <w:pStyle w:val="Imagenote"/>
      </w:pPr>
      <w:r>
        <w:t>IMAGE 6 — Insert a horizontal stacked bar chart here using the measurements above: 159.36 seconds for model planning, 1.70 seconds for the NetSuite call, and 0.03 seconds for other measured engine work. Label it “One CPU-only customer-count request.” Suggested caption: “Local inference dominated the measured response time.” Do not label this as a general benchmark of NetSuite or Qwen.</w:t>
      </w:r>
    </w:p>
    <w:p>
      <w:pPr>
        <w:pStyle w:val="Heading2"/>
      </w:pPr>
      <w:r>
        <w:t>Improvements we made without changing the model</w:t>
      </w:r>
    </w:p>
    <w:p>
      <w:r>
        <w:t>We reduced the prompt by selecting relevant schema and business-document sections rather than passing the entire inventory. We kept generation structured and concise, disabled thinking output in the request, retained the loaded model for a short period, and added detailed model timings.</w:t>
      </w:r>
    </w:p>
    <w:p>
      <w:r>
        <w:t>We also added conservative query-plan caching. For eligible repeated standalone questions, the backend can reuse a validated plan for up to five minutes while still executing the SQL again in NetSuite. It caches how to ask the database, not yesterday’s customer count.</w:t>
      </w:r>
    </w:p>
    <w:p>
      <w:r>
        <w:t>The cache key includes the question, document version, schema information, model, and integration context. Follow-ups, time-dependent questions, and several SQL patterns bypass it. Consequently, this version should not be described as caching every repeated question. Restarting the worker clears the in-memory plan cache.</w:t>
      </w:r>
    </w:p>
    <w:p>
      <w:r>
        <w:t>After the changes, observed UI response time improved from roughly three minutes to roughly two minutes for uncached work, and eligible plan reuse worked. Those observations were not a controlled performance study, and we did not establish a universal ten-second response time.</w:t>
      </w:r>
    </w:p>
    <w:p>
      <w:pPr>
        <w:pStyle w:val="Heading2"/>
      </w:pPr>
      <w:r>
        <w:t>What would be needed for a ten second target</w:t>
      </w:r>
    </w:p>
    <w:p>
      <w:r>
        <w:t>For frequent, well-defined requests, a next step is a reviewed query-template path: identify the intent, validate its parameters, and execute known SQL without generating a new query each time. Broader questions could continue through the model path.</w:t>
      </w:r>
    </w:p>
    <w:p>
      <w:r>
        <w:t>GPU acceleration and further context reduction are other candidates to benchmark. Moving the same workload to another CPU-only server does not automatically make it fast. The current five-second worker poll and three-second browser poll can also add noticeable delay; shortening them trades responsiveness against additional requests.</w:t>
      </w:r>
    </w:p>
    <w:p>
      <w:r>
        <w:t>Measure the full journey using representative questions, including cold starts and retries. Report median and slow-case latency alongside answer accuracy. Streaming progress can improve the waiting experience, but it does not reduce the time needed to produce the SQL.</w:t>
      </w:r>
    </w:p>
    <w:p>
      <w:pPr>
        <w:pStyle w:val="Heading1"/>
      </w:pPr>
      <w:r>
        <w:t>Where this approach fits alongside other NetSuite AI options</w:t>
      </w:r>
    </w:p>
    <w:p>
      <w:r>
        <w:t xml:space="preserve">Natural-language access to NetSuite data is no longer a unique differentiator. Oracle documents Ask Oracle as a conversational assistant in NetSuite Next, with business-data questions among its supported scenarios. Availability is phased, so the account’s eligibility matters. We have not benchmarked our assistant against it. </w:t>
      </w:r>
      <w:hyperlink r:id="rId16">
        <w:r>
          <w:rPr>
            <w:color w:val="175A78"/>
            <w:u w:val="single"/>
          </w:rPr>
          <w:t>Oracle Ask Oracle documentation</w:t>
        </w:r>
      </w:hyperlink>
      <w:r>
        <w:t>.</w:t>
      </w:r>
    </w:p>
    <w:p>
      <w:r>
        <w:t>The useful comparison is the workflow and the control a team actually needs: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3816"/>
        <w:gridCol w:w="4075"/>
      </w:tblGrid>
      <w:tr>
        <w:trPr>
          <w:cantSplit/>
          <w:tblHeader/>
        </w:trPr>
        <w:tc>
          <w:tcPr>
            <w:tcW w:type="dxa" w:w="2045"/>
            <w:vAlign w:val="center"/>
            <w:tcMar>
              <w:top w:w="100" w:type="dxa"/>
              <w:left w:w="100" w:type="dxa"/>
              <w:bottom w:w="100" w:type="dxa"/>
              <w:right w:w="100" w:type="dxa"/>
            </w:tcMar>
            <w:shd w:fill="E9EFF2"/>
          </w:tcPr>
          <w:p>
            <w:pPr>
              <w:spacing w:after="40" w:before="40" w:line="247" w:lineRule="auto"/>
            </w:pPr>
            <w:r>
              <w:rPr>
                <w:b/>
                <w:sz w:val="20"/>
              </w:rPr>
              <w:t>Approach</w:t>
            </w:r>
          </w:p>
        </w:tc>
        <w:tc>
          <w:tcPr>
            <w:tcW w:type="dxa" w:w="3816"/>
            <w:vAlign w:val="center"/>
            <w:tcMar>
              <w:top w:w="100" w:type="dxa"/>
              <w:left w:w="100" w:type="dxa"/>
              <w:bottom w:w="100" w:type="dxa"/>
              <w:right w:w="100" w:type="dxa"/>
            </w:tcMar>
            <w:shd w:fill="E9EFF2"/>
          </w:tcPr>
          <w:p>
            <w:pPr>
              <w:spacing w:after="40" w:before="40" w:line="247" w:lineRule="auto"/>
            </w:pPr>
            <w:r>
              <w:rPr>
                <w:b/>
                <w:sz w:val="20"/>
              </w:rPr>
              <w:t>Primary workflow</w:t>
            </w:r>
          </w:p>
        </w:tc>
        <w:tc>
          <w:tcPr>
            <w:tcW w:type="dxa" w:w="4075"/>
            <w:vAlign w:val="center"/>
            <w:tcMar>
              <w:top w:w="100" w:type="dxa"/>
              <w:left w:w="100" w:type="dxa"/>
              <w:bottom w:w="100" w:type="dxa"/>
              <w:right w:w="100" w:type="dxa"/>
            </w:tcMar>
            <w:shd w:fill="E9EFF2"/>
          </w:tcPr>
          <w:p>
            <w:pPr>
              <w:spacing w:after="40" w:before="40" w:line="247" w:lineRule="auto"/>
            </w:pPr>
            <w:r>
              <w:rPr>
                <w:b/>
                <w:sz w:val="20"/>
              </w:rPr>
              <w:t>Decision to consider</w:t>
            </w:r>
          </w:p>
        </w:tc>
      </w:tr>
      <w:tr>
        <w:trPr>
          <w:cantSplit/>
        </w:trPr>
        <w:tc>
          <w:tcPr>
            <w:tcW w:type="dxa" w:w="2045"/>
            <w:vAlign w:val="center"/>
            <w:tcMar>
              <w:top w:w="100" w:type="dxa"/>
              <w:left w:w="100" w:type="dxa"/>
              <w:bottom w:w="100" w:type="dxa"/>
              <w:right w:w="100" w:type="dxa"/>
            </w:tcMar>
          </w:tcPr>
          <w:p>
            <w:pPr>
              <w:spacing w:after="40" w:before="40" w:line="247" w:lineRule="auto"/>
            </w:pPr>
            <w:r>
              <w:rPr>
                <w:b w:val="0"/>
                <w:sz w:val="20"/>
              </w:rPr>
              <w:t>This Suitelet and Ollama implementation</w:t>
            </w:r>
          </w:p>
        </w:tc>
        <w:tc>
          <w:tcPr>
            <w:tcW w:type="dxa" w:w="3816"/>
            <w:vAlign w:val="center"/>
            <w:tcMar>
              <w:top w:w="100" w:type="dxa"/>
              <w:left w:w="100" w:type="dxa"/>
              <w:bottom w:w="100" w:type="dxa"/>
              <w:right w:w="100" w:type="dxa"/>
            </w:tcMar>
          </w:tcPr>
          <w:p>
            <w:pPr>
              <w:spacing w:after="40" w:before="40" w:line="247" w:lineRule="auto"/>
            </w:pPr>
            <w:r>
              <w:rPr>
                <w:b w:val="0"/>
                <w:sz w:val="20"/>
              </w:rPr>
              <w:t>Question to validated SuiteQL to live rows, with local inference</w:t>
            </w:r>
          </w:p>
        </w:tc>
        <w:tc>
          <w:tcPr>
            <w:tcW w:type="dxa" w:w="4075"/>
            <w:vAlign w:val="center"/>
            <w:tcMar>
              <w:top w:w="100" w:type="dxa"/>
              <w:left w:w="100" w:type="dxa"/>
              <w:bottom w:w="100" w:type="dxa"/>
              <w:right w:w="100" w:type="dxa"/>
            </w:tcMar>
          </w:tcPr>
          <w:p>
            <w:pPr>
              <w:spacing w:after="40" w:before="40" w:line="247" w:lineRule="auto"/>
            </w:pPr>
            <w:r>
              <w:rPr>
                <w:b w:val="0"/>
                <w:sz w:val="20"/>
              </w:rPr>
              <w:t>Do you need to own the model runtime and query pipeline enough to maintain them?</w:t>
            </w:r>
          </w:p>
        </w:tc>
      </w:tr>
      <w:tr>
        <w:trPr>
          <w:cantSplit/>
        </w:trPr>
        <w:tc>
          <w:tcPr>
            <w:tcW w:type="dxa" w:w="2045"/>
            <w:vAlign w:val="center"/>
            <w:tcMar>
              <w:top w:w="100" w:type="dxa"/>
              <w:left w:w="100" w:type="dxa"/>
              <w:bottom w:w="100" w:type="dxa"/>
              <w:right w:w="100" w:type="dxa"/>
            </w:tcMar>
          </w:tcPr>
          <w:p>
            <w:pPr>
              <w:spacing w:after="40" w:before="40" w:line="247" w:lineRule="auto"/>
            </w:pPr>
            <w:r>
              <w:rPr>
                <w:b w:val="0"/>
                <w:sz w:val="20"/>
              </w:rPr>
              <w:t>Prompt Studio example</w:t>
            </w:r>
          </w:p>
        </w:tc>
        <w:tc>
          <w:tcPr>
            <w:tcW w:type="dxa" w:w="3816"/>
            <w:vAlign w:val="center"/>
            <w:tcMar>
              <w:top w:w="100" w:type="dxa"/>
              <w:left w:w="100" w:type="dxa"/>
              <w:bottom w:w="100" w:type="dxa"/>
              <w:right w:w="100" w:type="dxa"/>
            </w:tcMar>
          </w:tcPr>
          <w:p>
            <w:pPr>
              <w:spacing w:after="40" w:before="40" w:line="247" w:lineRule="auto"/>
            </w:pPr>
            <w:r>
              <w:rPr>
                <w:b w:val="0"/>
                <w:sz w:val="20"/>
              </w:rPr>
              <w:t>Application fetches rows, then a managed prompt produces a summary</w:t>
            </w:r>
          </w:p>
        </w:tc>
        <w:tc>
          <w:tcPr>
            <w:tcW w:type="dxa" w:w="4075"/>
            <w:vAlign w:val="center"/>
            <w:tcMar>
              <w:top w:w="100" w:type="dxa"/>
              <w:left w:w="100" w:type="dxa"/>
              <w:bottom w:w="100" w:type="dxa"/>
              <w:right w:w="100" w:type="dxa"/>
            </w:tcMar>
          </w:tcPr>
          <w:p>
            <w:pPr>
              <w:spacing w:after="40" w:before="40" w:line="247" w:lineRule="auto"/>
            </w:pPr>
            <w:r>
              <w:rPr>
                <w:b w:val="0"/>
                <w:sz w:val="20"/>
              </w:rPr>
              <w:t>Is the query already known and the missing piece a readable explanation?</w:t>
            </w:r>
          </w:p>
        </w:tc>
      </w:tr>
      <w:tr>
        <w:trPr>
          <w:cantSplit/>
        </w:trPr>
        <w:tc>
          <w:tcPr>
            <w:tcW w:type="dxa" w:w="2045"/>
            <w:vAlign w:val="center"/>
            <w:tcMar>
              <w:top w:w="100" w:type="dxa"/>
              <w:left w:w="100" w:type="dxa"/>
              <w:bottom w:w="100" w:type="dxa"/>
              <w:right w:w="100" w:type="dxa"/>
            </w:tcMar>
          </w:tcPr>
          <w:p>
            <w:pPr>
              <w:spacing w:after="40" w:before="40" w:line="247" w:lineRule="auto"/>
            </w:pPr>
            <w:r>
              <w:rPr>
                <w:b w:val="0"/>
                <w:sz w:val="20"/>
              </w:rPr>
              <w:t>WhatsApp and n8n example</w:t>
            </w:r>
          </w:p>
        </w:tc>
        <w:tc>
          <w:tcPr>
            <w:tcW w:type="dxa" w:w="3816"/>
            <w:vAlign w:val="center"/>
            <w:tcMar>
              <w:top w:w="100" w:type="dxa"/>
              <w:left w:w="100" w:type="dxa"/>
              <w:bottom w:w="100" w:type="dxa"/>
              <w:right w:w="100" w:type="dxa"/>
            </w:tcMar>
          </w:tcPr>
          <w:p>
            <w:pPr>
              <w:spacing w:after="40" w:before="40" w:line="247" w:lineRule="auto"/>
            </w:pPr>
            <w:r>
              <w:rPr>
                <w:b w:val="0"/>
                <w:sz w:val="20"/>
              </w:rPr>
              <w:t>Messaging triggers an orchestrated workflow using a model and NetSuite MCP tools</w:t>
            </w:r>
          </w:p>
        </w:tc>
        <w:tc>
          <w:tcPr>
            <w:tcW w:type="dxa" w:w="4075"/>
            <w:vAlign w:val="center"/>
            <w:tcMar>
              <w:top w:w="100" w:type="dxa"/>
              <w:left w:w="100" w:type="dxa"/>
              <w:bottom w:w="100" w:type="dxa"/>
              <w:right w:w="100" w:type="dxa"/>
            </w:tcMar>
          </w:tcPr>
          <w:p>
            <w:pPr>
              <w:spacing w:after="40" w:before="40" w:line="247" w:lineRule="auto"/>
            </w:pPr>
            <w:r>
              <w:rPr>
                <w:b w:val="0"/>
                <w:sz w:val="20"/>
              </w:rPr>
              <w:t>Do users need a messaging channel and connections to several services?</w:t>
            </w:r>
          </w:p>
        </w:tc>
      </w:tr>
      <w:tr>
        <w:trPr>
          <w:cantSplit/>
        </w:trPr>
        <w:tc>
          <w:tcPr>
            <w:tcW w:type="dxa" w:w="2045"/>
            <w:vAlign w:val="center"/>
            <w:tcMar>
              <w:top w:w="100" w:type="dxa"/>
              <w:left w:w="100" w:type="dxa"/>
              <w:bottom w:w="100" w:type="dxa"/>
              <w:right w:w="100" w:type="dxa"/>
            </w:tcMar>
          </w:tcPr>
          <w:p>
            <w:pPr>
              <w:spacing w:after="40" w:before="40" w:line="247" w:lineRule="auto"/>
            </w:pPr>
            <w:r>
              <w:rPr>
                <w:b w:val="0"/>
                <w:sz w:val="20"/>
              </w:rPr>
              <w:t>Ask Oracle</w:t>
            </w:r>
          </w:p>
        </w:tc>
        <w:tc>
          <w:tcPr>
            <w:tcW w:type="dxa" w:w="3816"/>
            <w:vAlign w:val="center"/>
            <w:tcMar>
              <w:top w:w="100" w:type="dxa"/>
              <w:left w:w="100" w:type="dxa"/>
              <w:bottom w:w="100" w:type="dxa"/>
              <w:right w:w="100" w:type="dxa"/>
            </w:tcMar>
          </w:tcPr>
          <w:p>
            <w:pPr>
              <w:spacing w:after="40" w:before="40" w:line="247" w:lineRule="auto"/>
            </w:pPr>
            <w:r>
              <w:rPr>
                <w:b w:val="0"/>
                <w:sz w:val="20"/>
              </w:rPr>
              <w:t>Native conversational interaction within NetSuite Next</w:t>
            </w:r>
          </w:p>
        </w:tc>
        <w:tc>
          <w:tcPr>
            <w:tcW w:type="dxa" w:w="4075"/>
            <w:vAlign w:val="center"/>
            <w:tcMar>
              <w:top w:w="100" w:type="dxa"/>
              <w:left w:w="100" w:type="dxa"/>
              <w:bottom w:w="100" w:type="dxa"/>
              <w:right w:w="100" w:type="dxa"/>
            </w:tcMar>
          </w:tcPr>
          <w:p>
            <w:pPr>
              <w:spacing w:after="40" w:before="40" w:line="247" w:lineRule="auto"/>
            </w:pPr>
            <w:r>
              <w:rPr>
                <w:b w:val="0"/>
                <w:sz w:val="20"/>
              </w:rPr>
              <w:t>Does the available native capability satisfy the requirement in this account?</w:t>
            </w:r>
          </w:p>
        </w:tc>
      </w:tr>
    </w:tbl>
    <w:p>
      <w:pPr>
        <w:spacing w:after="20"/>
      </w:pPr>
    </w:p>
    <w:p>
      <w:r>
        <w:t xml:space="preserve">Folio3’s </w:t>
      </w:r>
      <w:hyperlink r:id="rId17">
        <w:r>
          <w:rPr>
            <w:color w:val="175A78"/>
            <w:u w:val="single"/>
          </w:rPr>
          <w:t>Prompt Studio article</w:t>
        </w:r>
      </w:hyperlink>
      <w:r>
        <w:t xml:space="preserve"> demonstrates the rows-to-summary path. Its </w:t>
      </w:r>
      <w:hyperlink r:id="rId18">
        <w:r>
          <w:rPr>
            <w:color w:val="175A78"/>
            <w:u w:val="single"/>
          </w:rPr>
          <w:t>WhatsApp and n8n article</w:t>
        </w:r>
      </w:hyperlink>
      <w:r>
        <w:t xml:space="preserve"> demonstrates a messaging workflow. The latter uses external model and transcription services in the described configuration; self-hosting an orchestration tool does not make all connected services local.</w:t>
      </w:r>
    </w:p>
    <w:p>
      <w:r>
        <w:t>Our privacy claim is narrower: inference runs on infrastructure we control, without an external AI fallback. NetSuite data still travels to the local backend, and questions and results are temporarily stored in job records and SQLite. Securing that computer, its backups, and its credentials remains our responsibility.</w:t>
      </w:r>
    </w:p>
    <w:p>
      <w:pPr>
        <w:pStyle w:val="Heading1"/>
      </w:pPr>
      <w:r>
        <w:t>Customization should solve a specific business problem</w:t>
      </w:r>
    </w:p>
    <w:p>
      <w:r>
        <w:t>Owning the pipeline becomes useful when there is a concrete rule to implement. For example, a distributor might define “open demand” as approved order lines with remaining quantity, excluding internal transfers. A manufacturer might need its custom inspection records connected to receipt and item records through a verified relationship.</w:t>
      </w:r>
    </w:p>
    <w:p>
      <w:r>
        <w:t>The business document can describe these meanings. If a rule must always be enforced, implement and test it in the query policy or reviewed template as well. A prompt instruction alone is not an access-control mechanism.</w:t>
      </w:r>
    </w:p>
    <w:p>
      <w:r>
        <w:t>Further extensions could combine a NetSuite order with shipment events from a warehouse system, or pair credit-memo lines with return reasons held in a support platform. These are future possibilities, not features delivered by this POC. Each requires authenticated connectors, reliable identifiers, and authorization rules across both systems.</w:t>
      </w:r>
    </w:p>
    <w:p>
      <w:r>
        <w:t>Even a single-system extension can be worthwhile: a reviewed “late orders” template, consistent exclusions for test customers, or an explicit choice between transaction currency and consolidated reporting currency. These are useful requirements to validate with the business before adding more agent capabilities.</w:t>
      </w:r>
    </w:p>
    <w:p>
      <w:pPr>
        <w:pStyle w:val="Heading1"/>
      </w:pPr>
      <w:r>
        <w:t>Moving from a working POC to a dependable service</w:t>
      </w:r>
    </w:p>
    <w:p>
      <w:r>
        <w:t>The POC has demonstrated the full path from a NetSuite question to locally generated SQL and returned data. The next milestone is repeatable correctness across the intended workload.</w:t>
      </w:r>
    </w:p>
    <w:p>
      <w:r>
        <w:t>Build an acceptance set containing customer counts, date-filtered order lists, credit-memo item lines, empty results, and at least one business custom record. Compare results against independently checked NetSuite queries or reports using the same role and subsidiary scope. Include multi-currency data, date boundaries, and cases where a join could duplicate totals.</w:t>
      </w:r>
    </w:p>
    <w:p>
      <w:r>
        <w:t>Test failure handling deliberately: revoke a permission, stop the worker, restart it during a request, and ask for a missing field. The user should see an incomplete or failed operation, not an authoritative-looking zero. The existing job leases and completion journal help recovery, but interrupted reads may be executed again.</w:t>
      </w:r>
    </w:p>
    <w:p>
      <w:r>
        <w:t>For server deployment, keep the model and backend on controlled infrastructure, supervise the service, monitor queue age and schema failures, and plan certificate renewal. Protect the local database and backups; application-level encryption is not provided in this version. Verify retention on both sides rather than assuming a NetSuite cleanup job also clears local files.</w:t>
      </w:r>
    </w:p>
    <w:p>
      <w:r>
        <w:t>Finally, make result limits visible. This build returns pages of 100 rows, and later pages run live queries again. Data can change between pages. “Return all sales-order data” therefore needs an agreed set of columns and a clear distinction between a paginated header list, item details, and a complete export.</w:t>
      </w:r>
    </w:p>
    <w:p>
      <w:pPr>
        <w:pStyle w:val="Heading1"/>
        <w:pageBreakBefore/>
      </w:pPr>
      <w:r>
        <w:t>What this build demonstrates</w:t>
      </w:r>
    </w:p>
    <w:p>
      <w:r>
        <w:t>A Suitelet can provide a familiar NetSuite interface while an outbound worker coordinates a locally hosted model. No inbound tunnel is required, and the model does not need credentials or permission to modify business records.</w:t>
      </w:r>
    </w:p>
    <w:p>
      <w:r>
        <w:t>The harder work is making a natural-language question mean the same thing to the user, the business document, and the generated SQL. Our most useful improvements came from inspecting direct query results, correcting missing schema, and measuring where time was spent.</w:t>
      </w:r>
    </w:p>
    <w:p>
      <w:r>
        <w:t>For a team considering this approach, start with a small set of valuable questions and independently verify every answer. Expand the supported scope when the definitions, access, and performance are ready. That produces a more useful assistant than a broad promise to answer anything in the account.</w:t>
      </w:r>
    </w:p>
    <w:p>
      <w:pPr>
        <w:pStyle w:val="Heading1"/>
      </w:pPr>
      <w:r>
        <w:t>Related reading</w:t>
      </w:r>
    </w:p>
    <w:p>
      <w:r/>
      <w:hyperlink r:id="rId17">
        <w:r>
          <w:rPr>
            <w:color w:val="175A78"/>
            <w:u w:val="single"/>
          </w:rPr>
          <w:t>Prompt Studio from SuiteQL rows to a business summary</w:t>
        </w:r>
      </w:hyperlink>
      <w:r>
        <w:t xml:space="preserve"> explains how managed prompts turn data already fetched by code into readable output.</w:t>
      </w:r>
    </w:p>
    <w:p>
      <w:r/>
      <w:hyperlink r:id="rId13">
        <w:r>
          <w:rPr>
            <w:color w:val="175A78"/>
            <w:u w:val="single"/>
          </w:rPr>
          <w:t>OAuth 2.0 in NetSuite</w:t>
        </w:r>
      </w:hyperlink>
      <w:r>
        <w:t xml:space="preserve"> walks through certificate-based client credentials authentication.</w:t>
      </w:r>
    </w:p>
    <w:p>
      <w:r/>
      <w:hyperlink r:id="rId18">
        <w:r>
          <w:rPr>
            <w:color w:val="175A78"/>
            <w:u w:val="single"/>
          </w:rPr>
          <w:t>WhatsApp triggered AI agent for NetSuite</w:t>
        </w:r>
      </w:hyperlink>
      <w:r>
        <w:t xml:space="preserve"> explores a different interface and orchestration pattern using n8n and MCP tools.</w:t>
      </w:r>
    </w:p>
    <w:p>
      <w:r/>
      <w:hyperlink r:id="rId19">
        <w:r>
          <w:rPr>
            <w:color w:val="175A78"/>
            <w:u w:val="single"/>
          </w:rPr>
          <w:t>NetSuite Scriptable Cart problems developers need to solve</w:t>
        </w:r>
      </w:hyperlink>
      <w:r>
        <w:t xml:space="preserve"> is a useful companion on choosing the correct execution layer and debugging real permissions and deployment behavior.</w:t>
      </w:r>
    </w:p>
    <w:sectPr w:rsidR="00FC693F" w:rsidRPr="0006063C" w:rsidSect="00034616">
      <w:headerReference w:type="default" r:id="rId9"/>
      <w:footerReference w:type="default" r:id="rId10"/>
      <w:pgSz w:w="12240" w:h="15840"/>
      <w:pgMar w:top="1080" w:right="1152" w:bottom="1080"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6"/>
      </w:rPr>
      <w:t>NETSUITE DEVELOPMENT  /  SUITELETS AND LOCAL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140" w:line="240" w:lineRule="auto"/>
      <w:ind w:left="173"/>
    </w:pPr>
    <w:rPr>
      <w:rFonts w:ascii="DejaVu Sans Mono" w:hAnsi="DejaVu Sans Mono"/>
      <w:sz w:val="18"/>
    </w:rPr>
  </w:style>
  <w:style w:type="paragraph" w:customStyle="1" w:styleId="Imagenote">
    <w:name w:val="Image note"/>
    <w:basedOn w:val="Normal"/>
    <w:pPr>
      <w:keepLines/>
      <w:spacing w:after="200" w:before="100"/>
    </w:pPr>
    <w:rPr>
      <w:i/>
      <w:color w:val="555555"/>
      <w:sz w:val="20"/>
    </w:rPr>
  </w:style>
  <w:style w:type="paragraph" w:customStyle="1" w:styleId="Sourcenote">
    <w:name w:val="Source note"/>
    <w:basedOn w:val="Normal"/>
    <w:pPr>
      <w:spacing w:after="14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llama.com/faq" TargetMode="External"/><Relationship Id="rId12" Type="http://schemas.openxmlformats.org/officeDocument/2006/relationships/hyperlink" Target="https://docs.oracle.com/en/cloud/saas/netsuite/ns-online-help/section_162686838198.html" TargetMode="External"/><Relationship Id="rId13" Type="http://schemas.openxmlformats.org/officeDocument/2006/relationships/hyperlink" Target="https://netsuite.folio3.com/blog/oauth-2-0-in-netsuite-complete-setup-guide-client-credentials-flow/" TargetMode="External"/><Relationship Id="rId14" Type="http://schemas.openxmlformats.org/officeDocument/2006/relationships/hyperlink" Target="https://docs.ollama.com/capabilities/structured-outputs" TargetMode="External"/><Relationship Id="rId15" Type="http://schemas.openxmlformats.org/officeDocument/2006/relationships/hyperlink" Target="https://docs.oracle.com/en/cloud/saas/netsuite/ns-online-help/section_157960586441.html" TargetMode="External"/><Relationship Id="rId16" Type="http://schemas.openxmlformats.org/officeDocument/2006/relationships/hyperlink" Target="https://docs.oracle.com/en/cloud/saas/netsuite/ns-online-help/article_5100902387.html" TargetMode="External"/><Relationship Id="rId17" Type="http://schemas.openxmlformats.org/officeDocument/2006/relationships/hyperlink" Target="https://netsuite.folio3.com/blog/prompt-studio-from-suiteql-rows-to-a-business-summary/" TargetMode="External"/><Relationship Id="rId18" Type="http://schemas.openxmlformats.org/officeDocument/2006/relationships/hyperlink" Target="https://netsuite.folio3.com/blog/whatsapp-triggered-ai-agent-for-netsuite-using-n8n-and-mcp-tools/" TargetMode="External"/><Relationship Id="rId19" Type="http://schemas.openxmlformats.org/officeDocument/2006/relationships/hyperlink" Target="https://netsuite.folio3.com/blog/netsuite-scriptable-cart-in-suitecommerce-advanced-6-problems-developers-actually-need-to-sol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NetSuite Chatbot with Suitelets and Ollama</dc:title>
  <dc:subject>A practical implementation guide with sandbox lessons and image placement notes</dc:subject>
  <dc:creator>Shaheer Badar</dc:creator>
  <cp:keywords>NetSuite, Suitelet, Ollama, SuiteQL, local AI, OAuth 2.0</cp:keywords>
  <dc:description>generated by python-docx</dc:description>
  <cp:lastModifiedBy/>
  <cp:revision>1</cp:revision>
  <dcterms:created xsi:type="dcterms:W3CDTF">2013-12-23T23:15:00Z</dcterms:created>
  <dcterms:modified xsi:type="dcterms:W3CDTF">2013-12-23T23:15:00Z</dcterms:modified>
  <cp:category/>
</cp:coreProperties>
</file>