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MASTER SERVICE AGREEMENT AND DOMAIN REGISTRATION POLICY MANUAL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Version 4.2 | Last Updated: January 2025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SECTION 1: DEFINITIONS AND INTERPRETATIONS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1.1 "Registrar" refers to the service provider. "Registrant" refers to the individual or entity attempting to register a domain.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1.2 "ICANN" refers to the Internet Corporation for Assigned Names and Numbers.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1.3 "RGP" refers to the Redemption Grace Period, a 30-day period following the deletion of a domain during which the domain may be restored for a fee.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SECTION 2: DOMAIN REGISTRATION AND LIFECYCLE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2.1 Registration Eligibility: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Registrar reserves the right to deny registration to any party found to be on international sanction lists or previously banned for abuse.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2.2 Auto-Renewal and Expiration: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All domains are set to auto-renew by default. Failure to settle payment by the expiration date will result in the domain entering the "Auto-Renew Grace Period" (0-45 days). During this time, the domain may be parked or redirect to a suspension page.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Day 0: Expiration date.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Day 1-30: Standard Renewal Fee applies. Domain resolves to parking page.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Day 31-45: Late Renewal Fee ($15 surcharge) applies.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Day 46: Domain enters "Redemption Grace Period" (RGP).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Day 76: Domain enters "PendingDelete" status (5 days). It cannot be recovered.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2.3 Redemption Grace Period (RGP):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Once a domain enters RGP, standard renewal is impossible. To recover the domain, the Registrant must pay a "Redemption Fee" of $150.00 USD plus the standard renewal cost. This process requires manual intervention by the Registry Liaison Team.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SECTION 3: DISPUTE RESOLUTION AND RIGHTS PROTECTION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3.1 UDRP (Uniform Domain-Name Dispute-Resolution Policy):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a third party claims a registered domain violates their trademark, they may file a UDRP complaint. The Registrar will lock the domain from transfer upon receipt of a valid UDRP notice from an approved provider (e.g., WIPO).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During UDRP: The domain cannot be transferred or updated.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Outcome: If the complainant wins, the domain may be cancelled or transferred to them.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3.2 DMCA and Copyright: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Upon receipt of a valid DMCA takedown notice regarding content hosted on our services: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First Offense: Warning and removal of specific content.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Second Offense: 24-hour suspension pending review.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Repeat Offender: Permanent termination of hosting services.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Note: If the domain uses third-party hosting, the Registrar acts only on the domain level if ordered by a court (Court Order required for DNS takedown).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SECTION 4: ACCEPTABLE USE AND ABUSE POLICY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4.1 Prohibited Activities (Zero Tolerance):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following result in immediate "ServerHold" status and escalation to the Abuse Team: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Phishing or Pharming sites.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Command and Control (C&amp;C) botnets.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Distribution of Malware.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Child Sexual Abuse Material (CSAM).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4.2 Spam and Unsolicited Email: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Domains cited in Spamhaus RBL (Real-time Blackhole List) or similar major blocklists will be reviewed.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Handling: The Registrant has 24 hours to cure the issue upon notification. Failure to respond results in suspension.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4.3 Fake Pharmacy and Illegal Sales: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Sale of prescription drugs without valid pharmacy licensure in the target jurisdiction violates this policy. These cases are handled by the Compliance Department.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SECTION 5: WHOIS ACCURACY AND PRIVACY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5.1 WDRP (Whois Data Reminder Policy):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Registrants must review WHOIS data annually.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5.2 15-Day Verification Trigger: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Any change to the Registrant's First Name, Last Name, or Email Address triggers a 15-day verification window.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Action: An email is sent to the new address.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Consequence: Failure to click the link within 15 days results in the domain status changing to "ClientHold" (DNS deactivated).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Resolution: The domain will come back online immediately after verification is completed.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SECTION 6: SPECIFIC CASE HANDLING PROCEDURES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6.1 Case A: Death of a Registrant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the account holder is deceased, the executor of the estate must provide: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Copy of the Death Certificate.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Legal documentation proving executorship or beneficiary status.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A signed Indemnification Agreement.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These documents must be submitted to the Legal Department (legal@example.com). Support staff cannot unlock these accounts.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6.2 Case B: Transfer Disputes (FOA)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a Registrant claims a transfer was unauthorized, the Registrar must produce the "Form of Authorization" (FOA). If the Registrar cannot produce the FOA within 5 days of a dispute, the transfer must be reversed (NACK).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6.3 Case C: Chargebacks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a credit card transaction is disputed (chargeback):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The domain is immediately locked.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Services are suspended.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A $25.00 Administrative Fee is added.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The account is flagged as "High Risk."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reactivate, the user must pay the original amount + fee via Wire Transfer only. Credit cards will no longer be accepted for this account.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