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200" w:type="dxa"/>
              <w:right w:w="200" w:type="dxa"/>
            </w:tcMar>
            <w:tcBorders>
              <w:top w:val="none"/>
              <w:left w:val="single" w:sz="24" w:space="0" w:color="1B365D"/>
              <w:bottom w:val="none"/>
              <w:right w:val="none"/>
            </w:tcBorders>
          </w:tcPr>
          <w:p>
            <w:pPr>
              <w:spacing w:after="0"/>
            </w:pPr>
            <w:r>
              <w:rPr>
                <w:b/>
                <w:color w:val="1B365D"/>
                <w:sz w:val="19"/>
              </w:rPr>
              <w:t>MANDATORY DISCLAIMER:</w:t>
              <w:br/>
            </w:r>
            <w:r>
              <w:rPr>
                <w:i/>
                <w:color w:val="5C6B73"/>
                <w:sz w:val="19"/>
              </w:rPr>
              <w:t>Illustrative supply chain map, calibrated to Indus Motor Company's disclosed sector and scale — not actual company supplier, distribution, or process information.</w:t>
            </w:r>
          </w:p>
        </w:tc>
      </w:tr>
    </w:tbl>
    <w:p>
      <w:pPr>
        <w:spacing w:after="120"/>
      </w:pPr>
    </w:p>
    <w:p>
      <w:pPr>
        <w:spacing w:after="40"/>
        <w:jc w:val="center"/>
      </w:pPr>
      <w:r>
        <w:rPr>
          <w:rFonts w:ascii="Arial" w:hAnsi="Arial"/>
          <w:b/>
          <w:color w:val="1B365D"/>
          <w:sz w:val="44"/>
        </w:rPr>
        <w:t>Supply Chain Map &amp; Analysis</w:t>
      </w:r>
    </w:p>
    <w:p>
      <w:pPr>
        <w:spacing w:after="360"/>
        <w:jc w:val="center"/>
      </w:pPr>
      <w:r>
        <w:rPr>
          <w:rFonts w:ascii="Arial" w:hAnsi="Arial"/>
          <w:i/>
          <w:color w:val="5C6B73"/>
          <w:sz w:val="26"/>
        </w:rPr>
        <w:t>Toyota Corolla Grande (Black Interior) | Indus Motor Company Project</w:t>
      </w:r>
    </w:p>
    <w:p>
      <w:pPr>
        <w:keepNext/>
        <w:spacing w:before="280" w:after="120"/>
        <w:pBdr>
          <w:bottom w:val="single" w:sz="12" w:space="4" w:color="1B365D"/>
        </w:pBdr>
      </w:pPr>
      <w:r>
        <w:rPr>
          <w:rFonts w:ascii="Arial" w:hAnsi="Arial"/>
          <w:b/>
          <w:color w:val="1B365D"/>
          <w:sz w:val="28"/>
        </w:rPr>
        <w:t>1. Upstream (Tier 2 and Tier 1 Suppliers)</w:t>
      </w:r>
    </w:p>
    <w:p>
      <w:pPr>
        <w:spacing w:after="80"/>
      </w:pPr>
      <w:r>
        <w:rPr>
          <w:b/>
          <w:color w:val="1B365D"/>
        </w:rPr>
        <w:t>•  Steel &amp; Sheet Metal (Body &amp; Chassis Frame)</w:t>
        <w:br/>
      </w:r>
    </w:p>
    <w:p>
      <w:pPr>
        <w:spacing w:after="40"/>
        <w:ind w:left="360"/>
      </w:pPr>
      <w:r>
        <w:rPr>
          <w:b/>
        </w:rPr>
        <w:t xml:space="preserve">Tier 1 Supplier Type: </w:t>
      </w:r>
      <w:r>
        <w:t>Stamping and body structure component manufacturers.</w:t>
      </w:r>
    </w:p>
    <w:p>
      <w:pPr>
        <w:spacing w:after="120"/>
        <w:ind w:left="360"/>
      </w:pPr>
      <w:r>
        <w:rPr>
          <w:b/>
        </w:rPr>
        <w:t xml:space="preserve">Tier 2 Source: </w:t>
      </w:r>
      <w:r>
        <w:t>Imported high-grade automotive steel coils (primarily from Japan or South Korea) and domestic steel mills for structural rebar or basic components.</w:t>
      </w:r>
    </w:p>
    <w:p>
      <w:pPr>
        <w:spacing w:after="80"/>
      </w:pPr>
      <w:r>
        <w:rPr>
          <w:b/>
          <w:color w:val="1B365D"/>
        </w:rPr>
        <w:t>•  Engine &amp; Transmission Components</w:t>
        <w:br/>
      </w:r>
    </w:p>
    <w:p>
      <w:pPr>
        <w:spacing w:after="40"/>
        <w:ind w:left="360"/>
      </w:pPr>
      <w:r>
        <w:rPr>
          <w:b/>
        </w:rPr>
        <w:t xml:space="preserve">Tier 1 Supplier Type: </w:t>
      </w:r>
      <w:r>
        <w:t>Powertrain sub-assembly integrators and local machining partners.</w:t>
      </w:r>
    </w:p>
    <w:p>
      <w:pPr>
        <w:spacing w:after="120"/>
        <w:ind w:left="360"/>
      </w:pPr>
      <w:r>
        <w:rPr>
          <w:b/>
        </w:rPr>
        <w:t xml:space="preserve">Tier 2 Source: </w:t>
      </w:r>
      <w:r>
        <w:t>Specialized alloy foundries and precision machining units in Japan and East Asia, supplying CKD (Completely Knocked Down) engine kits.</w:t>
      </w:r>
    </w:p>
    <w:p>
      <w:pPr>
        <w:spacing w:after="80"/>
      </w:pPr>
      <w:r>
        <w:rPr>
          <w:b/>
          <w:color w:val="1B365D"/>
        </w:rPr>
        <w:t>•  Black Leather &amp; Polymer Interior Trims</w:t>
        <w:br/>
      </w:r>
    </w:p>
    <w:p>
      <w:pPr>
        <w:spacing w:after="40"/>
        <w:ind w:left="360"/>
      </w:pPr>
      <w:r>
        <w:rPr>
          <w:b/>
        </w:rPr>
        <w:t xml:space="preserve">Tier 1 Supplier Type: </w:t>
      </w:r>
      <w:r>
        <w:t>Automotive interior trim manufacturers and seat assembly vendors.</w:t>
      </w:r>
    </w:p>
    <w:p>
      <w:pPr>
        <w:spacing w:after="120"/>
        <w:ind w:left="360"/>
      </w:pPr>
      <w:r>
        <w:rPr>
          <w:b/>
        </w:rPr>
        <w:t xml:space="preserve">Tier 2 Source: </w:t>
      </w:r>
      <w:r>
        <w:t>Synthetic black polymer resins and specialized leather tanneries (domestic tannery networks for leather; imported plastic granules from Middle East/China).</w:t>
      </w:r>
    </w:p>
    <w:p>
      <w:pPr>
        <w:spacing w:after="80"/>
      </w:pPr>
      <w:r>
        <w:rPr>
          <w:b/>
          <w:color w:val="1B365D"/>
        </w:rPr>
        <w:t>•  Automotive Electronics &amp; Infotainment</w:t>
        <w:br/>
      </w:r>
    </w:p>
    <w:p>
      <w:pPr>
        <w:spacing w:after="40"/>
        <w:ind w:left="360"/>
      </w:pPr>
      <w:r>
        <w:rPr>
          <w:b/>
        </w:rPr>
        <w:t xml:space="preserve">Tier 1 Supplier Type: </w:t>
      </w:r>
      <w:r>
        <w:t>Electronic wiring harness assemblers and infotainment display module integrators.</w:t>
      </w:r>
    </w:p>
    <w:p>
      <w:pPr>
        <w:spacing w:after="120"/>
        <w:ind w:left="360"/>
      </w:pPr>
      <w:r>
        <w:rPr>
          <w:b/>
        </w:rPr>
        <w:t xml:space="preserve">Tier 2 Source: </w:t>
      </w:r>
      <w:r>
        <w:t>Semiconductor foundries and microchip fabricators based in Taiwan, South Korea, and China.</w:t>
      </w:r>
    </w:p>
    <w:p>
      <w:pPr>
        <w:keepNext/>
        <w:spacing w:before="280" w:after="120"/>
        <w:pBdr>
          <w:bottom w:val="single" w:sz="12" w:space="4" w:color="1B365D"/>
        </w:pBdr>
      </w:pPr>
      <w:r>
        <w:rPr>
          <w:rFonts w:ascii="Arial" w:hAnsi="Arial"/>
          <w:b/>
          <w:color w:val="1B365D"/>
          <w:sz w:val="28"/>
        </w:rPr>
        <w:t>2. Manufacturing (Internal Operations)</w:t>
      </w:r>
    </w:p>
    <w:p>
      <w:pPr>
        <w:spacing w:after="60"/>
        <w:ind w:left="288"/>
      </w:pPr>
      <w:r>
        <w:rPr>
          <w:b/>
        </w:rPr>
        <w:t xml:space="preserve">Stage 1: Press &amp; Stamping — </w:t>
      </w:r>
      <w:r>
        <w:t>Sheet steel is stamped into outer body panels and structural frames.</w:t>
      </w:r>
    </w:p>
    <w:p>
      <w:pPr>
        <w:spacing w:after="60"/>
        <w:ind w:left="288"/>
      </w:pPr>
      <w:r>
        <w:rPr>
          <w:b/>
        </w:rPr>
        <w:t xml:space="preserve">Stage 2: Welding &amp; Body Shop — </w:t>
      </w:r>
      <w:r>
        <w:t>Stamped panels are robotic/mechanically welded together to form the 'Body-in-White' (BIW).</w:t>
      </w:r>
    </w:p>
    <w:p>
      <w:pPr>
        <w:spacing w:after="60"/>
        <w:ind w:left="288"/>
      </w:pPr>
      <w:r>
        <w:rPr>
          <w:b/>
        </w:rPr>
        <w:t xml:space="preserve">Stage 3: Paint Shop — </w:t>
      </w:r>
      <w:r>
        <w:t>The BIW undergoes cathodic electro-deposition coating, primer, and final exterior painting.</w:t>
      </w:r>
    </w:p>
    <w:p>
      <w:pPr>
        <w:spacing w:after="60"/>
        <w:ind w:left="288"/>
      </w:pPr>
      <w:r>
        <w:rPr>
          <w:b/>
        </w:rPr>
        <w:t xml:space="preserve">Stage 4: Assembly Line — </w:t>
      </w:r>
      <w:r>
        <w:t>Installation of 1.8L powertrain, black interior trim (dashboard, black leather seats), wiring harnesses, glass, and wheels.</w:t>
      </w:r>
    </w:p>
    <w:p>
      <w:pPr>
        <w:spacing w:after="60"/>
        <w:ind w:left="288"/>
      </w:pPr>
      <w:r>
        <w:rPr>
          <w:b/>
        </w:rPr>
        <w:t xml:space="preserve">Stage 5: Quality Inspection (OK Line) — </w:t>
      </w:r>
      <w:r>
        <w:t>Final wheel alignment, brake testing, shower leak tests, and road track evaluation.</w:t>
      </w:r>
    </w:p>
    <w:p>
      <w:pPr>
        <w:spacing w:before="120" w:after="160"/>
      </w:pPr>
      <w:r>
        <w:rPr>
          <w:b/>
          <w:color w:val="1B365D"/>
        </w:rPr>
        <w:t xml:space="preserve">Critical Bottleneck Identification: </w:t>
      </w:r>
      <w:r>
        <w:t xml:space="preserve">The </w:t>
      </w:r>
      <w:r>
        <w:rPr>
          <w:b/>
        </w:rPr>
        <w:t>Paint Shop</w:t>
      </w:r>
      <w:r>
        <w:t xml:space="preserve"> serves as the primary operational bottleneck. It operates under strict chemical batching, continuous thermal curing cycles, and environmental controls; ramping its throughput up or down takes significantly more time compared to assembly or stamping lines.</w:t>
      </w:r>
    </w:p>
    <w:p>
      <w:pPr>
        <w:keepNext/>
        <w:spacing w:before="280" w:after="120"/>
        <w:pBdr>
          <w:bottom w:val="single" w:sz="12" w:space="4" w:color="1B365D"/>
        </w:pBdr>
      </w:pPr>
      <w:r>
        <w:rPr>
          <w:rFonts w:ascii="Arial" w:hAnsi="Arial"/>
          <w:b/>
          <w:color w:val="1B365D"/>
          <w:sz w:val="28"/>
        </w:rPr>
        <w:t>3. Downstream (Distribution to Customer)</w:t>
      </w:r>
    </w:p>
    <w:p>
      <w:r>
        <w:rPr>
          <w:b/>
        </w:rPr>
        <w:t xml:space="preserve">•  Distribution Route: </w:t>
      </w:r>
      <w:r>
        <w:t>Finished vehicles are moved directly from the Port Qasim manufacturing plant via specialized car carrier trailers (logistics service providers) to authorized 3S (Sales, Service, Spare Parts) dealership networks across major regional hubs nationwide.</w:t>
      </w:r>
    </w:p>
    <w:p>
      <w:r>
        <w:rPr>
          <w:b/>
        </w:rPr>
        <w:t xml:space="preserve">•  Tiers Passed: </w:t>
      </w:r>
      <w:r>
        <w:t>2 Tiers (Factory → Authorized Dealership → End Customer). Automobiles bypass traditional FMCG wholesale/DC levels due to physical footprint, high inventory-holding cost, and direct-to-dealership allocation models.</w:t>
      </w:r>
    </w:p>
    <w:p>
      <w:pPr>
        <w:keepNext/>
        <w:spacing w:before="280" w:after="120"/>
        <w:pBdr>
          <w:bottom w:val="single" w:sz="12" w:space="4" w:color="1B365D"/>
        </w:pBdr>
      </w:pPr>
      <w:r>
        <w:rPr>
          <w:rFonts w:ascii="Arial" w:hAnsi="Arial"/>
          <w:b/>
          <w:color w:val="1B365D"/>
          <w:sz w:val="28"/>
        </w:rPr>
        <w:t>4. Information &amp; Financial Flow</w:t>
      </w:r>
    </w:p>
    <w:p>
      <w:r>
        <w:rPr>
          <w:b/>
        </w:rPr>
        <w:t xml:space="preserve">•  Information Flow: </w:t>
      </w:r>
      <w:r>
        <w:t>Customer bookings at 3S dealerships generate order signals that aggregate into a monthly production schedule at the factory, triggering localized Kanban replenishment and CKD import orders to overseas partners.</w:t>
      </w:r>
    </w:p>
    <w:p>
      <w:r>
        <w:rPr>
          <w:b/>
        </w:rPr>
        <w:t xml:space="preserve">•  Financial Flow: </w:t>
      </w:r>
      <w:r>
        <w:t>The customer pays an advance booking amount or full payment to the dealership/factory, while Indus Motor settles Tier 1 vendor invoices on standard 30-to-60-day commercial credit terms following physical receipt and quality verification.</w:t>
      </w:r>
    </w:p>
    <w:p>
      <w:pPr>
        <w:keepNext/>
        <w:spacing w:before="280" w:after="120"/>
        <w:pBdr>
          <w:bottom w:val="single" w:sz="12" w:space="4" w:color="1B365D"/>
        </w:pBdr>
      </w:pPr>
      <w:r>
        <w:rPr>
          <w:rFonts w:ascii="Arial" w:hAnsi="Arial"/>
          <w:b/>
          <w:color w:val="1B365D"/>
          <w:sz w:val="28"/>
        </w:rPr>
        <w:t>5. End-to-End Supply Chain Diagram</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6" w:space="0" w:color="CCCCCC"/>
              <w:left w:val="single" w:sz="6" w:space="0" w:color="CCCCCC"/>
              <w:bottom w:val="single" w:sz="6" w:space="0" w:color="CCCCCC"/>
              <w:right w:val="single" w:sz="6" w:space="0" w:color="CCCCCC"/>
            </w:tcBorders>
          </w:tcPr>
          <w:p>
            <w:pPr>
              <w:spacing w:after="0"/>
              <w:jc w:val="center"/>
            </w:pPr>
            <w:r>
              <w:rPr>
                <w:rFonts w:ascii="Consolas" w:hAnsi="Consolas"/>
                <w:b/>
                <w:color w:val="1B365D"/>
                <w:sz w:val="20"/>
              </w:rPr>
              <w:t>Raw Material Sources (Steel Coils, Polymers, Chips)</w:t>
              <w:br/>
              <w:t>↓</w:t>
              <w:br/>
              <w:t>Tier 1 Component Suppliers</w:t>
              <w:br/>
              <w:t>↓</w:t>
              <w:br/>
              <w:t>[Indus Motor] Manufacturing Plant (Port Qasim, Karachi)</w:t>
              <w:br/>
              <w:t>↓</w:t>
              <w:br/>
              <w:t>Logistics Car Carriers</w:t>
              <w:br/>
              <w:t>↓</w:t>
              <w:br/>
              <w:t>Authorized 3S Dealerships</w:t>
              <w:br/>
              <w:t>↓</w:t>
              <w:br/>
              <w:t>End Customer</w:t>
            </w:r>
          </w:p>
        </w:tc>
      </w:tr>
    </w:tbl>
    <w:p>
      <w:pPr>
        <w:keepNext/>
        <w:spacing w:before="280" w:after="120"/>
        <w:pBdr>
          <w:bottom w:val="single" w:sz="12" w:space="4" w:color="1B365D"/>
        </w:pBdr>
      </w:pPr>
      <w:r>
        <w:rPr>
          <w:rFonts w:ascii="Arial" w:hAnsi="Arial"/>
          <w:b/>
          <w:color w:val="1B365D"/>
          <w:sz w:val="28"/>
        </w:rPr>
        <w:t>6. Lead Time Estimates</w:t>
      </w:r>
    </w:p>
    <w:tbl>
      <w:tblPr>
        <w:tblW w:type="auto" w:w="0"/>
        <w:jc w:val="center"/>
        <w:tblLook w:firstColumn="1" w:firstRow="1" w:lastColumn="0" w:lastRow="0" w:noHBand="0" w:noVBand="1" w:val="04A0"/>
      </w:tblPr>
      <w:tblGrid>
        <w:gridCol w:w="3120"/>
        <w:gridCol w:w="3120"/>
        <w:gridCol w:w="3120"/>
      </w:tblGrid>
      <w:tr>
        <w:tc>
          <w:tcPr>
            <w:tcW w:type="dxa" w:w="3120"/>
            <w:shd w:fill="1B365D"/>
            <w:tcMar>
              <w:top w:w="100" w:type="dxa"/>
              <w:bottom w:w="100" w:type="dxa"/>
              <w:left w:w="100" w:type="dxa"/>
              <w:right w:w="100" w:type="dxa"/>
            </w:tcMar>
            <w:tcBorders>
              <w:top w:val="single" w:sz="4" w:space="0" w:color="D3D3D3"/>
              <w:left w:val="none"/>
              <w:bottom w:val="single" w:sz="4" w:space="0" w:color="D3D3D3"/>
              <w:right w:val="none"/>
            </w:tcBorders>
          </w:tcPr>
          <w:p>
            <w:pPr>
              <w:jc w:val="left"/>
            </w:pPr>
            <w:r>
              <w:rPr>
                <w:b/>
                <w:color w:val="FFFFFF"/>
                <w:sz w:val="20"/>
              </w:rPr>
              <w:t>Link in Chain</w:t>
            </w:r>
          </w:p>
        </w:tc>
        <w:tc>
          <w:tcPr>
            <w:tcW w:type="dxa" w:w="3120"/>
            <w:shd w:fill="1B365D"/>
            <w:tcMar>
              <w:top w:w="100" w:type="dxa"/>
              <w:bottom w:w="100" w:type="dxa"/>
              <w:left w:w="100" w:type="dxa"/>
              <w:right w:w="100" w:type="dxa"/>
            </w:tcMar>
            <w:tcBorders>
              <w:top w:val="single" w:sz="4" w:space="0" w:color="D3D3D3"/>
              <w:left w:val="none"/>
              <w:bottom w:val="single" w:sz="4" w:space="0" w:color="D3D3D3"/>
              <w:right w:val="none"/>
            </w:tcBorders>
          </w:tcPr>
          <w:p>
            <w:pPr>
              <w:jc w:val="left"/>
            </w:pPr>
            <w:r>
              <w:rPr>
                <w:b/>
                <w:color w:val="FFFFFF"/>
                <w:sz w:val="20"/>
              </w:rPr>
              <w:t>Plausible Lead Time</w:t>
            </w:r>
          </w:p>
        </w:tc>
        <w:tc>
          <w:tcPr>
            <w:tcW w:type="dxa" w:w="3120"/>
            <w:shd w:fill="1B365D"/>
            <w:tcMar>
              <w:top w:w="100" w:type="dxa"/>
              <w:bottom w:w="100" w:type="dxa"/>
              <w:left w:w="100" w:type="dxa"/>
              <w:right w:w="100" w:type="dxa"/>
            </w:tcMar>
            <w:tcBorders>
              <w:top w:val="single" w:sz="4" w:space="0" w:color="D3D3D3"/>
              <w:left w:val="none"/>
              <w:bottom w:val="single" w:sz="4" w:space="0" w:color="D3D3D3"/>
              <w:right w:val="none"/>
            </w:tcBorders>
          </w:tcPr>
          <w:p>
            <w:pPr>
              <w:jc w:val="left"/>
            </w:pPr>
            <w:r>
              <w:rPr>
                <w:b/>
                <w:color w:val="FFFFFF"/>
                <w:sz w:val="20"/>
              </w:rPr>
              <w:t>Reasoning &amp; Operational Context</w:t>
            </w:r>
          </w:p>
        </w:tc>
      </w:tr>
      <w:tr>
        <w:tc>
          <w:tcPr>
            <w:tcW w:type="dxa" w:w="3120"/>
            <w:shd w:fill="F4F6F9"/>
            <w:tcMar>
              <w:top w:w="80" w:type="dxa"/>
              <w:bottom w:w="80" w:type="dxa"/>
              <w:left w:w="100" w:type="dxa"/>
              <w:right w:w="100" w:type="dxa"/>
            </w:tcMar>
            <w:tcBorders>
              <w:top w:val="single" w:sz="4" w:space="0" w:color="D3D3D3"/>
              <w:left w:val="none"/>
              <w:bottom w:val="single" w:sz="4" w:space="0" w:color="D3D3D3"/>
              <w:right w:val="none"/>
            </w:tcBorders>
          </w:tcPr>
          <w:p>
            <w:r>
              <w:rPr>
                <w:b/>
                <w:sz w:val="19"/>
              </w:rPr>
              <w:t>Tier 2 to Tier 1 Supplier</w:t>
            </w:r>
          </w:p>
        </w:tc>
        <w:tc>
          <w:tcPr>
            <w:tcW w:type="dxa" w:w="3120"/>
            <w:shd w:fill="F4F6F9"/>
            <w:tcMar>
              <w:top w:w="80" w:type="dxa"/>
              <w:bottom w:w="80" w:type="dxa"/>
              <w:left w:w="100" w:type="dxa"/>
              <w:right w:w="100" w:type="dxa"/>
            </w:tcMar>
            <w:tcBorders>
              <w:top w:val="single" w:sz="4" w:space="0" w:color="D3D3D3"/>
              <w:left w:val="none"/>
              <w:bottom w:val="single" w:sz="4" w:space="0" w:color="D3D3D3"/>
              <w:right w:val="none"/>
            </w:tcBorders>
          </w:tcPr>
          <w:p>
            <w:r>
              <w:rPr>
                <w:b/>
                <w:color w:val="1B365D"/>
                <w:sz w:val="19"/>
              </w:rPr>
              <w:t>30–60 Days</w:t>
            </w:r>
          </w:p>
        </w:tc>
        <w:tc>
          <w:tcPr>
            <w:tcW w:type="dxa" w:w="3120"/>
            <w:shd w:fill="F4F6F9"/>
            <w:tcMar>
              <w:top w:w="80" w:type="dxa"/>
              <w:bottom w:w="80" w:type="dxa"/>
              <w:left w:w="100" w:type="dxa"/>
              <w:right w:w="100" w:type="dxa"/>
            </w:tcMar>
            <w:tcBorders>
              <w:top w:val="single" w:sz="4" w:space="0" w:color="D3D3D3"/>
              <w:left w:val="none"/>
              <w:bottom w:val="single" w:sz="4" w:space="0" w:color="D3D3D3"/>
              <w:right w:val="none"/>
            </w:tcBorders>
          </w:tcPr>
          <w:p>
            <w:r>
              <w:rPr>
                <w:sz w:val="19"/>
              </w:rPr>
              <w:t>Raw material procurement, overseas shipping of specialized alloys/resins, and primary processing.</w:t>
            </w:r>
          </w:p>
        </w:tc>
      </w:tr>
      <w:tr>
        <w:tc>
          <w:tcPr>
            <w:tcW w:type="dxa" w:w="3120"/>
            <w:shd w:fill="FFFFFF"/>
            <w:tcMar>
              <w:top w:w="80" w:type="dxa"/>
              <w:bottom w:w="80" w:type="dxa"/>
              <w:left w:w="100" w:type="dxa"/>
              <w:right w:w="100" w:type="dxa"/>
            </w:tcMar>
            <w:tcBorders>
              <w:top w:val="single" w:sz="4" w:space="0" w:color="D3D3D3"/>
              <w:left w:val="none"/>
              <w:bottom w:val="single" w:sz="4" w:space="0" w:color="D3D3D3"/>
              <w:right w:val="none"/>
            </w:tcBorders>
          </w:tcPr>
          <w:p>
            <w:r>
              <w:rPr>
                <w:b/>
                <w:sz w:val="19"/>
              </w:rPr>
              <w:t>Tier 1 Supplier to Plant</w:t>
            </w:r>
          </w:p>
        </w:tc>
        <w:tc>
          <w:tcPr>
            <w:tcW w:type="dxa" w:w="3120"/>
            <w:shd w:fill="FFFFFF"/>
            <w:tcMar>
              <w:top w:w="80" w:type="dxa"/>
              <w:bottom w:w="80" w:type="dxa"/>
              <w:left w:w="100" w:type="dxa"/>
              <w:right w:w="100" w:type="dxa"/>
            </w:tcMar>
            <w:tcBorders>
              <w:top w:val="single" w:sz="4" w:space="0" w:color="D3D3D3"/>
              <w:left w:val="none"/>
              <w:bottom w:val="single" w:sz="4" w:space="0" w:color="D3D3D3"/>
              <w:right w:val="none"/>
            </w:tcBorders>
          </w:tcPr>
          <w:p>
            <w:r>
              <w:rPr>
                <w:b/>
                <w:color w:val="1B365D"/>
                <w:sz w:val="19"/>
              </w:rPr>
              <w:t>15–45 Days</w:t>
            </w:r>
          </w:p>
        </w:tc>
        <w:tc>
          <w:tcPr>
            <w:tcW w:type="dxa" w:w="3120"/>
            <w:shd w:fill="FFFFFF"/>
            <w:tcMar>
              <w:top w:w="80" w:type="dxa"/>
              <w:bottom w:w="80" w:type="dxa"/>
              <w:left w:w="100" w:type="dxa"/>
              <w:right w:w="100" w:type="dxa"/>
            </w:tcMar>
            <w:tcBorders>
              <w:top w:val="single" w:sz="4" w:space="0" w:color="D3D3D3"/>
              <w:left w:val="none"/>
              <w:bottom w:val="single" w:sz="4" w:space="0" w:color="D3D3D3"/>
              <w:right w:val="none"/>
            </w:tcBorders>
          </w:tcPr>
          <w:p>
            <w:r>
              <w:rPr>
                <w:sz w:val="19"/>
              </w:rPr>
              <w:t>Involves port clearance, customs processing for imported CKD kits, and localized just-in-time truck delivery.</w:t>
            </w:r>
          </w:p>
        </w:tc>
      </w:tr>
      <w:tr>
        <w:tc>
          <w:tcPr>
            <w:tcW w:type="dxa" w:w="3120"/>
            <w:shd w:fill="F4F6F9"/>
            <w:tcMar>
              <w:top w:w="80" w:type="dxa"/>
              <w:bottom w:w="80" w:type="dxa"/>
              <w:left w:w="100" w:type="dxa"/>
              <w:right w:w="100" w:type="dxa"/>
            </w:tcMar>
            <w:tcBorders>
              <w:top w:val="single" w:sz="4" w:space="0" w:color="D3D3D3"/>
              <w:left w:val="none"/>
              <w:bottom w:val="single" w:sz="4" w:space="0" w:color="D3D3D3"/>
              <w:right w:val="none"/>
            </w:tcBorders>
          </w:tcPr>
          <w:p>
            <w:r>
              <w:rPr>
                <w:b/>
                <w:sz w:val="19"/>
              </w:rPr>
              <w:t>Plant Manufacturing Cycle</w:t>
            </w:r>
          </w:p>
        </w:tc>
        <w:tc>
          <w:tcPr>
            <w:tcW w:type="dxa" w:w="3120"/>
            <w:shd w:fill="F4F6F9"/>
            <w:tcMar>
              <w:top w:w="80" w:type="dxa"/>
              <w:bottom w:w="80" w:type="dxa"/>
              <w:left w:w="100" w:type="dxa"/>
              <w:right w:w="100" w:type="dxa"/>
            </w:tcMar>
            <w:tcBorders>
              <w:top w:val="single" w:sz="4" w:space="0" w:color="D3D3D3"/>
              <w:left w:val="none"/>
              <w:bottom w:val="single" w:sz="4" w:space="0" w:color="D3D3D3"/>
              <w:right w:val="none"/>
            </w:tcBorders>
          </w:tcPr>
          <w:p>
            <w:r>
              <w:rPr>
                <w:b/>
                <w:color w:val="1B365D"/>
                <w:sz w:val="19"/>
              </w:rPr>
              <w:t>1–3 Days</w:t>
            </w:r>
          </w:p>
        </w:tc>
        <w:tc>
          <w:tcPr>
            <w:tcW w:type="dxa" w:w="3120"/>
            <w:shd w:fill="F4F6F9"/>
            <w:tcMar>
              <w:top w:w="80" w:type="dxa"/>
              <w:bottom w:w="80" w:type="dxa"/>
              <w:left w:w="100" w:type="dxa"/>
              <w:right w:w="100" w:type="dxa"/>
            </w:tcMar>
            <w:tcBorders>
              <w:top w:val="single" w:sz="4" w:space="0" w:color="D3D3D3"/>
              <w:left w:val="none"/>
              <w:bottom w:val="single" w:sz="4" w:space="0" w:color="D3D3D3"/>
              <w:right w:val="none"/>
            </w:tcBorders>
          </w:tcPr>
          <w:p>
            <w:r>
              <w:rPr>
                <w:sz w:val="19"/>
              </w:rPr>
              <w:t>The physical elapsed time for a vehicle to move from press shop to final roll-off on a continuous line.</w:t>
            </w:r>
          </w:p>
        </w:tc>
      </w:tr>
      <w:tr>
        <w:tc>
          <w:tcPr>
            <w:tcW w:type="dxa" w:w="3120"/>
            <w:shd w:fill="FFFFFF"/>
            <w:tcMar>
              <w:top w:w="80" w:type="dxa"/>
              <w:bottom w:w="80" w:type="dxa"/>
              <w:left w:w="100" w:type="dxa"/>
              <w:right w:w="100" w:type="dxa"/>
            </w:tcMar>
            <w:tcBorders>
              <w:top w:val="single" w:sz="4" w:space="0" w:color="D3D3D3"/>
              <w:left w:val="none"/>
              <w:bottom w:val="single" w:sz="4" w:space="0" w:color="D3D3D3"/>
              <w:right w:val="none"/>
            </w:tcBorders>
          </w:tcPr>
          <w:p>
            <w:r>
              <w:rPr>
                <w:b/>
                <w:sz w:val="19"/>
              </w:rPr>
              <w:t>Plant to Dealership</w:t>
            </w:r>
          </w:p>
        </w:tc>
        <w:tc>
          <w:tcPr>
            <w:tcW w:type="dxa" w:w="3120"/>
            <w:shd w:fill="FFFFFF"/>
            <w:tcMar>
              <w:top w:w="80" w:type="dxa"/>
              <w:bottom w:w="80" w:type="dxa"/>
              <w:left w:w="100" w:type="dxa"/>
              <w:right w:w="100" w:type="dxa"/>
            </w:tcMar>
            <w:tcBorders>
              <w:top w:val="single" w:sz="4" w:space="0" w:color="D3D3D3"/>
              <w:left w:val="none"/>
              <w:bottom w:val="single" w:sz="4" w:space="0" w:color="D3D3D3"/>
              <w:right w:val="none"/>
            </w:tcBorders>
          </w:tcPr>
          <w:p>
            <w:r>
              <w:rPr>
                <w:b/>
                <w:color w:val="1B365D"/>
                <w:sz w:val="19"/>
              </w:rPr>
              <w:t>3–10 Days</w:t>
            </w:r>
          </w:p>
        </w:tc>
        <w:tc>
          <w:tcPr>
            <w:tcW w:type="dxa" w:w="3120"/>
            <w:shd w:fill="FFFFFF"/>
            <w:tcMar>
              <w:top w:w="80" w:type="dxa"/>
              <w:bottom w:w="80" w:type="dxa"/>
              <w:left w:w="100" w:type="dxa"/>
              <w:right w:w="100" w:type="dxa"/>
            </w:tcMar>
            <w:tcBorders>
              <w:top w:val="single" w:sz="4" w:space="0" w:color="D3D3D3"/>
              <w:left w:val="none"/>
              <w:bottom w:val="single" w:sz="4" w:space="0" w:color="D3D3D3"/>
              <w:right w:val="none"/>
            </w:tcBorders>
          </w:tcPr>
          <w:p>
            <w:r>
              <w:rPr>
                <w:sz w:val="19"/>
              </w:rPr>
              <w:t>Transit via car carrier haulers from Karachi to local or northern regional dealerships nationwide.</w:t>
            </w:r>
          </w:p>
        </w:tc>
      </w:tr>
      <w:tr>
        <w:tc>
          <w:tcPr>
            <w:tcW w:type="dxa" w:w="3120"/>
            <w:shd w:fill="F4F6F9"/>
            <w:tcMar>
              <w:top w:w="80" w:type="dxa"/>
              <w:bottom w:w="80" w:type="dxa"/>
              <w:left w:w="100" w:type="dxa"/>
              <w:right w:w="100" w:type="dxa"/>
            </w:tcMar>
            <w:tcBorders>
              <w:top w:val="single" w:sz="4" w:space="0" w:color="D3D3D3"/>
              <w:left w:val="none"/>
              <w:bottom w:val="single" w:sz="4" w:space="0" w:color="D3D3D3"/>
              <w:right w:val="none"/>
            </w:tcBorders>
          </w:tcPr>
          <w:p>
            <w:r>
              <w:rPr>
                <w:b/>
                <w:sz w:val="19"/>
              </w:rPr>
              <w:t>Dealership to Customer</w:t>
            </w:r>
          </w:p>
        </w:tc>
        <w:tc>
          <w:tcPr>
            <w:tcW w:type="dxa" w:w="3120"/>
            <w:shd w:fill="F4F6F9"/>
            <w:tcMar>
              <w:top w:w="80" w:type="dxa"/>
              <w:bottom w:w="80" w:type="dxa"/>
              <w:left w:w="100" w:type="dxa"/>
              <w:right w:w="100" w:type="dxa"/>
            </w:tcMar>
            <w:tcBorders>
              <w:top w:val="single" w:sz="4" w:space="0" w:color="D3D3D3"/>
              <w:left w:val="none"/>
              <w:bottom w:val="single" w:sz="4" w:space="0" w:color="D3D3D3"/>
              <w:right w:val="none"/>
            </w:tcBorders>
          </w:tcPr>
          <w:p>
            <w:r>
              <w:rPr>
                <w:b/>
                <w:color w:val="1B365D"/>
                <w:sz w:val="19"/>
              </w:rPr>
              <w:t>1–30 Days</w:t>
            </w:r>
          </w:p>
        </w:tc>
        <w:tc>
          <w:tcPr>
            <w:tcW w:type="dxa" w:w="3120"/>
            <w:shd w:fill="F4F6F9"/>
            <w:tcMar>
              <w:top w:w="80" w:type="dxa"/>
              <w:bottom w:w="80" w:type="dxa"/>
              <w:left w:w="100" w:type="dxa"/>
              <w:right w:w="100" w:type="dxa"/>
            </w:tcMar>
            <w:tcBorders>
              <w:top w:val="single" w:sz="4" w:space="0" w:color="D3D3D3"/>
              <w:left w:val="none"/>
              <w:bottom w:val="single" w:sz="4" w:space="0" w:color="D3D3D3"/>
              <w:right w:val="none"/>
            </w:tcBorders>
          </w:tcPr>
          <w:p>
            <w:r>
              <w:rPr>
                <w:sz w:val="19"/>
              </w:rPr>
              <w:t>Vehicle registration, final pre-delivery inspection (PDI), or waiting period clearance depending on allocation.</w:t>
            </w:r>
          </w:p>
        </w:tc>
      </w:tr>
    </w:tbl>
    <w:p>
      <w:pPr>
        <w:keepNext/>
        <w:spacing w:before="280" w:after="120"/>
        <w:pBdr>
          <w:bottom w:val="single" w:sz="12" w:space="4" w:color="1B365D"/>
        </w:pBdr>
      </w:pPr>
      <w:r>
        <w:rPr>
          <w:rFonts w:ascii="Arial" w:hAnsi="Arial"/>
          <w:b/>
          <w:color w:val="1B365D"/>
          <w:sz w:val="28"/>
        </w:rPr>
        <w:t>Assumptions &amp; Operational Limitations</w:t>
      </w:r>
    </w:p>
    <w:p>
      <w:r>
        <w:t>This supply chain map assumes a localized 'Assemble-to-Order' operational model where core high-tech components (powertrain, chips) are imported via CKD kits while bulky structural and interior parts are sourced from local Tier 1 vendors under deletion program guidelines. It reflects standard auto industry downstream practices that bypass regional distribution centers in favor of direct factory-to-dealership freight hauling. The primary area of uncertainty lies in exact Tier 2 origin sourcing and real-time port/customs delays, which heavily fluctuate due to foreign exchange allocations and trade policies. A live internal map would reveal hundreds of sub-tier suppliers, part-level safety stock buffer formulas, specific milk-run delivery routes, and dynamic lead-time variations caused by import clearing bottlenecks that this high-level map cannot fully capture.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