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Illustrative supply chain map, calibrated to [indus motor]'s disclosed sector and scale — not actual company supplier, distribution, or process information.</w:t>
      </w:r>
    </w:p>
    <w:p>
      <w:pPr>
        <w:pStyle w:val="Title"/>
      </w:pPr>
      <w:r>
        <w:t>Toyota Corolla Altis Grande — Black Interior</w:t>
      </w:r>
    </w:p>
    <w:p>
      <w:pPr>
        <w:jc w:val="center"/>
      </w:pPr>
      <w:r>
        <w:rPr>
          <w:i/>
          <w:sz w:val="20"/>
        </w:rPr>
        <w:t>Semester Project | Supply Chain Analytics | Indus Motor Company Limited (IMC)</w:t>
      </w:r>
    </w:p>
    <w:p>
      <w:pPr>
        <w:pStyle w:val="Heading1"/>
      </w:pPr>
      <w:r>
        <w:t>Company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Item</w:t>
            </w:r>
          </w:p>
        </w:tc>
        <w:tc>
          <w:tcPr>
            <w:tcW w:type="dxa" w:w="5112"/>
            <w:vAlign w:val="center"/>
            <w:shd w:fill="D9EAF7"/>
          </w:tcPr>
          <w:p>
            <w:r/>
            <w:r>
              <w:rPr>
                <w:rFonts w:ascii="Arial" w:hAnsi="Arial"/>
                <w:b/>
                <w:sz w:val="18"/>
              </w:rPr>
              <w:t>Context</w:t>
            </w:r>
          </w:p>
        </w:tc>
      </w:tr>
      <w:tr>
        <w:tc>
          <w:tcPr>
            <w:tcW w:type="dxa" w:w="5112"/>
            <w:vAlign w:val="center"/>
          </w:tcPr>
          <w:p>
            <w:r/>
            <w:r>
              <w:rPr>
                <w:rFonts w:ascii="Arial" w:hAnsi="Arial"/>
                <w:b/>
                <w:sz w:val="18"/>
              </w:rPr>
              <w:t>Sector</w:t>
            </w:r>
          </w:p>
        </w:tc>
        <w:tc>
          <w:tcPr>
            <w:tcW w:type="dxa" w:w="5112"/>
            <w:vAlign w:val="center"/>
          </w:tcPr>
          <w:p>
            <w:r/>
            <w:r>
              <w:rPr>
                <w:rFonts w:ascii="Arial" w:hAnsi="Arial"/>
                <w:b w:val="0"/>
                <w:sz w:val="18"/>
              </w:rPr>
              <w:t>Automobile manufacturing and assembly.</w:t>
            </w:r>
          </w:p>
        </w:tc>
      </w:tr>
      <w:tr>
        <w:tc>
          <w:tcPr>
            <w:tcW w:type="dxa" w:w="5112"/>
            <w:vAlign w:val="center"/>
          </w:tcPr>
          <w:p>
            <w:r/>
            <w:r>
              <w:rPr>
                <w:rFonts w:ascii="Arial" w:hAnsi="Arial"/>
                <w:b/>
                <w:sz w:val="18"/>
              </w:rPr>
              <w:t>Manufacturing location</w:t>
            </w:r>
          </w:p>
        </w:tc>
        <w:tc>
          <w:tcPr>
            <w:tcW w:type="dxa" w:w="5112"/>
            <w:vAlign w:val="center"/>
          </w:tcPr>
          <w:p>
            <w:r/>
            <w:r>
              <w:rPr>
                <w:rFonts w:ascii="Arial" w:hAnsi="Arial"/>
                <w:b w:val="0"/>
                <w:sz w:val="18"/>
              </w:rPr>
              <w:t>Publicly disclosed: IMC manufactures Toyota vehicles at its Port Qasim facility in Karachi.</w:t>
            </w:r>
          </w:p>
        </w:tc>
      </w:tr>
      <w:tr>
        <w:tc>
          <w:tcPr>
            <w:tcW w:type="dxa" w:w="5112"/>
            <w:vAlign w:val="center"/>
          </w:tcPr>
          <w:p>
            <w:r/>
            <w:r>
              <w:rPr>
                <w:rFonts w:ascii="Arial" w:hAnsi="Arial"/>
                <w:b/>
                <w:sz w:val="18"/>
              </w:rPr>
              <w:t>Distribution footprint</w:t>
            </w:r>
          </w:p>
        </w:tc>
        <w:tc>
          <w:tcPr>
            <w:tcW w:type="dxa" w:w="5112"/>
            <w:vAlign w:val="center"/>
          </w:tcPr>
          <w:p>
            <w:r/>
            <w:r>
              <w:rPr>
                <w:rFonts w:ascii="Arial" w:hAnsi="Arial"/>
                <w:b w:val="0"/>
                <w:sz w:val="18"/>
              </w:rPr>
              <w:t>Publicly disclosed: vehicles are distributed nationwide through an authorized Toyota 3S dealership network.</w:t>
            </w:r>
          </w:p>
        </w:tc>
      </w:tr>
      <w:tr>
        <w:tc>
          <w:tcPr>
            <w:tcW w:type="dxa" w:w="5112"/>
            <w:vAlign w:val="center"/>
          </w:tcPr>
          <w:p>
            <w:r/>
            <w:r>
              <w:rPr>
                <w:rFonts w:ascii="Arial" w:hAnsi="Arial"/>
                <w:b/>
                <w:sz w:val="18"/>
              </w:rPr>
              <w:t>Scale</w:t>
            </w:r>
          </w:p>
        </w:tc>
        <w:tc>
          <w:tcPr>
            <w:tcW w:type="dxa" w:w="5112"/>
            <w:vAlign w:val="center"/>
          </w:tcPr>
          <w:p>
            <w:r/>
            <w:r>
              <w:rPr>
                <w:rFonts w:ascii="Arial" w:hAnsi="Arial"/>
                <w:b w:val="0"/>
                <w:sz w:val="18"/>
              </w:rPr>
              <w:t>Large national automotive manufacturer; FY2025 disclosures reported 33,251 vehicles produced, 33,757 sold, and net revenue of approximately Rs 215.1 billion.</w:t>
            </w:r>
          </w:p>
        </w:tc>
      </w:tr>
    </w:tbl>
    <w:p>
      <w:r>
        <w:t>Note: Supplier categories, detailed process sequencing, logistics arrangements and lead times below are industry-based assumptions for academic illustration unless explicitly identified as publicly disclosed.</w:t>
      </w:r>
    </w:p>
    <w:p>
      <w:pPr>
        <w:pStyle w:val="Heading1"/>
      </w:pPr>
      <w:r>
        <w:t>1. Upstream Supply Chain — Tier 2 and Tier 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Tier 2 source</w:t>
            </w:r>
          </w:p>
        </w:tc>
        <w:tc>
          <w:tcPr>
            <w:tcW w:type="dxa" w:w="2556"/>
            <w:vAlign w:val="center"/>
            <w:shd w:fill="D9EAF7"/>
          </w:tcPr>
          <w:p>
            <w:r/>
            <w:r>
              <w:rPr>
                <w:rFonts w:ascii="Arial" w:hAnsi="Arial"/>
                <w:b/>
                <w:sz w:val="18"/>
              </w:rPr>
              <w:t>Tier 1 supplier type</w:t>
            </w:r>
          </w:p>
        </w:tc>
        <w:tc>
          <w:tcPr>
            <w:tcW w:type="dxa" w:w="2556"/>
            <w:vAlign w:val="center"/>
            <w:shd w:fill="D9EAF7"/>
          </w:tcPr>
          <w:p>
            <w:r/>
            <w:r>
              <w:rPr>
                <w:rFonts w:ascii="Arial" w:hAnsi="Arial"/>
                <w:b/>
                <w:sz w:val="18"/>
              </w:rPr>
              <w:t>Input to IMC</w:t>
            </w:r>
          </w:p>
        </w:tc>
        <w:tc>
          <w:tcPr>
            <w:tcW w:type="dxa" w:w="2556"/>
            <w:vAlign w:val="center"/>
            <w:shd w:fill="D9EAF7"/>
          </w:tcPr>
          <w:p>
            <w:r/>
            <w:r>
              <w:rPr>
                <w:rFonts w:ascii="Arial" w:hAnsi="Arial"/>
                <w:b/>
                <w:sz w:val="18"/>
              </w:rPr>
              <w:t>Status</w:t>
            </w:r>
          </w:p>
        </w:tc>
      </w:tr>
      <w:tr>
        <w:tc>
          <w:tcPr>
            <w:tcW w:type="dxa" w:w="2556"/>
            <w:vAlign w:val="center"/>
          </w:tcPr>
          <w:p>
            <w:r/>
            <w:r>
              <w:rPr>
                <w:rFonts w:ascii="Arial" w:hAnsi="Arial"/>
                <w:b w:val="0"/>
                <w:sz w:val="18"/>
              </w:rPr>
              <w:t>Iron ore / steel coils; domestic processing and/or imports from Asian steel-producing markets</w:t>
            </w:r>
          </w:p>
        </w:tc>
        <w:tc>
          <w:tcPr>
            <w:tcW w:type="dxa" w:w="2556"/>
            <w:vAlign w:val="center"/>
          </w:tcPr>
          <w:p>
            <w:r/>
            <w:r>
              <w:rPr>
                <w:rFonts w:ascii="Arial" w:hAnsi="Arial"/>
                <w:b w:val="0"/>
                <w:sz w:val="18"/>
              </w:rPr>
              <w:t>Automotive stamping/body-component manufacturer</w:t>
            </w:r>
          </w:p>
        </w:tc>
        <w:tc>
          <w:tcPr>
            <w:tcW w:type="dxa" w:w="2556"/>
            <w:vAlign w:val="center"/>
          </w:tcPr>
          <w:p>
            <w:r/>
            <w:r>
              <w:rPr>
                <w:rFonts w:ascii="Arial" w:hAnsi="Arial"/>
                <w:b w:val="0"/>
                <w:sz w:val="18"/>
              </w:rPr>
              <w:t>Pressed body panels, brackets and structural components</w:t>
            </w:r>
          </w:p>
        </w:tc>
        <w:tc>
          <w:tcPr>
            <w:tcW w:type="dxa" w:w="2556"/>
            <w:vAlign w:val="center"/>
          </w:tcPr>
          <w:p>
            <w:r/>
            <w:r>
              <w:rPr>
                <w:rFonts w:ascii="Arial" w:hAnsi="Arial"/>
                <w:b w:val="0"/>
                <w:sz w:val="18"/>
              </w:rPr>
              <w:t>Industry-based assumption</w:t>
            </w:r>
          </w:p>
        </w:tc>
      </w:tr>
      <w:tr>
        <w:tc>
          <w:tcPr>
            <w:tcW w:type="dxa" w:w="2556"/>
            <w:vAlign w:val="center"/>
          </w:tcPr>
          <w:p>
            <w:r/>
            <w:r>
              <w:rPr>
                <w:rFonts w:ascii="Arial" w:hAnsi="Arial"/>
                <w:b w:val="0"/>
                <w:sz w:val="18"/>
              </w:rPr>
              <w:t>Petrochemical resins and synthetic rubber; domestic and imported</w:t>
            </w:r>
          </w:p>
        </w:tc>
        <w:tc>
          <w:tcPr>
            <w:tcW w:type="dxa" w:w="2556"/>
            <w:vAlign w:val="center"/>
          </w:tcPr>
          <w:p>
            <w:r/>
            <w:r>
              <w:rPr>
                <w:rFonts w:ascii="Arial" w:hAnsi="Arial"/>
                <w:b w:val="0"/>
                <w:sz w:val="18"/>
              </w:rPr>
              <w:t>Automotive plastics/rubber component manufacturer</w:t>
            </w:r>
          </w:p>
        </w:tc>
        <w:tc>
          <w:tcPr>
            <w:tcW w:type="dxa" w:w="2556"/>
            <w:vAlign w:val="center"/>
          </w:tcPr>
          <w:p>
            <w:r/>
            <w:r>
              <w:rPr>
                <w:rFonts w:ascii="Arial" w:hAnsi="Arial"/>
                <w:b w:val="0"/>
                <w:sz w:val="18"/>
              </w:rPr>
              <w:t>Bumpers, dashboard parts, trims, seals and hoses</w:t>
            </w:r>
          </w:p>
        </w:tc>
        <w:tc>
          <w:tcPr>
            <w:tcW w:type="dxa" w:w="2556"/>
            <w:vAlign w:val="center"/>
          </w:tcPr>
          <w:p>
            <w:r/>
            <w:r>
              <w:rPr>
                <w:rFonts w:ascii="Arial" w:hAnsi="Arial"/>
                <w:b w:val="0"/>
                <w:sz w:val="18"/>
              </w:rPr>
              <w:t>Industry-based assumption</w:t>
            </w:r>
          </w:p>
        </w:tc>
      </w:tr>
      <w:tr>
        <w:tc>
          <w:tcPr>
            <w:tcW w:type="dxa" w:w="2556"/>
            <w:vAlign w:val="center"/>
          </w:tcPr>
          <w:p>
            <w:r/>
            <w:r>
              <w:rPr>
                <w:rFonts w:ascii="Arial" w:hAnsi="Arial"/>
                <w:b w:val="0"/>
                <w:sz w:val="18"/>
              </w:rPr>
              <w:t>Textile/leatherette, foam and polymers; domestic and/or imported</w:t>
            </w:r>
          </w:p>
        </w:tc>
        <w:tc>
          <w:tcPr>
            <w:tcW w:type="dxa" w:w="2556"/>
            <w:vAlign w:val="center"/>
          </w:tcPr>
          <w:p>
            <w:r/>
            <w:r>
              <w:rPr>
                <w:rFonts w:ascii="Arial" w:hAnsi="Arial"/>
                <w:b w:val="0"/>
                <w:sz w:val="18"/>
              </w:rPr>
              <w:t>Automotive seating/interior supplier</w:t>
            </w:r>
          </w:p>
        </w:tc>
        <w:tc>
          <w:tcPr>
            <w:tcW w:type="dxa" w:w="2556"/>
            <w:vAlign w:val="center"/>
          </w:tcPr>
          <w:p>
            <w:r/>
            <w:r>
              <w:rPr>
                <w:rFonts w:ascii="Arial" w:hAnsi="Arial"/>
                <w:b w:val="0"/>
                <w:sz w:val="18"/>
              </w:rPr>
              <w:t>Black seats, foam, headliner, carpeting and door trims</w:t>
            </w:r>
          </w:p>
        </w:tc>
        <w:tc>
          <w:tcPr>
            <w:tcW w:type="dxa" w:w="2556"/>
            <w:vAlign w:val="center"/>
          </w:tcPr>
          <w:p>
            <w:r/>
            <w:r>
              <w:rPr>
                <w:rFonts w:ascii="Arial" w:hAnsi="Arial"/>
                <w:b w:val="0"/>
                <w:sz w:val="18"/>
              </w:rPr>
              <w:t>Industry-based assumption</w:t>
            </w:r>
          </w:p>
        </w:tc>
      </w:tr>
      <w:tr>
        <w:tc>
          <w:tcPr>
            <w:tcW w:type="dxa" w:w="2556"/>
            <w:vAlign w:val="center"/>
          </w:tcPr>
          <w:p>
            <w:r/>
            <w:r>
              <w:rPr>
                <w:rFonts w:ascii="Arial" w:hAnsi="Arial"/>
                <w:b w:val="0"/>
                <w:sz w:val="18"/>
              </w:rPr>
              <w:t>Steel, aluminium, copper and electronic materials; domestic/imported mix</w:t>
            </w:r>
          </w:p>
        </w:tc>
        <w:tc>
          <w:tcPr>
            <w:tcW w:type="dxa" w:w="2556"/>
            <w:vAlign w:val="center"/>
          </w:tcPr>
          <w:p>
            <w:r/>
            <w:r>
              <w:rPr>
                <w:rFonts w:ascii="Arial" w:hAnsi="Arial"/>
                <w:b w:val="0"/>
                <w:sz w:val="18"/>
              </w:rPr>
              <w:t>Automotive mechanical/electrical systems supplier</w:t>
            </w:r>
          </w:p>
        </w:tc>
        <w:tc>
          <w:tcPr>
            <w:tcW w:type="dxa" w:w="2556"/>
            <w:vAlign w:val="center"/>
          </w:tcPr>
          <w:p>
            <w:r/>
            <w:r>
              <w:rPr>
                <w:rFonts w:ascii="Arial" w:hAnsi="Arial"/>
                <w:b w:val="0"/>
                <w:sz w:val="18"/>
              </w:rPr>
              <w:t>Wiring, sensors, ECUs and mechanical/electrical modules</w:t>
            </w:r>
          </w:p>
        </w:tc>
        <w:tc>
          <w:tcPr>
            <w:tcW w:type="dxa" w:w="2556"/>
            <w:vAlign w:val="center"/>
          </w:tcPr>
          <w:p>
            <w:r/>
            <w:r>
              <w:rPr>
                <w:rFonts w:ascii="Arial" w:hAnsi="Arial"/>
                <w:b w:val="0"/>
                <w:sz w:val="18"/>
              </w:rPr>
              <w:t>Industry-based assumption</w:t>
            </w:r>
          </w:p>
        </w:tc>
      </w:tr>
    </w:tbl>
    <w:p>
      <w:r>
        <w:t>Illustrative examples:</w:t>
      </w:r>
    </w:p>
    <w:p>
      <w:pPr>
        <w:pStyle w:val="ListBullet"/>
        <w:spacing w:after="40"/>
      </w:pPr>
      <w:r>
        <w:rPr>
          <w:rFonts w:ascii="Arial" w:hAnsi="Arial"/>
          <w:sz w:val="20"/>
        </w:rPr>
        <w:t>Steel producer/importer → Automotive stamping supplier → IMC.</w:t>
      </w:r>
    </w:p>
    <w:p>
      <w:pPr>
        <w:pStyle w:val="ListBullet"/>
        <w:spacing w:after="40"/>
      </w:pPr>
      <w:r>
        <w:rPr>
          <w:rFonts w:ascii="Arial" w:hAnsi="Arial"/>
          <w:sz w:val="20"/>
        </w:rPr>
        <w:t>Polymer/Textile/Foam producer → Seat &amp; interior component manufacturer → IMC.</w:t>
      </w:r>
    </w:p>
    <w:p>
      <w:pPr>
        <w:pStyle w:val="ListBullet"/>
        <w:spacing w:after="40"/>
      </w:pPr>
      <w:r>
        <w:rPr>
          <w:rFonts w:ascii="Arial" w:hAnsi="Arial"/>
          <w:sz w:val="20"/>
        </w:rPr>
        <w:t>Technically sophisticated components may plausibly arrive as imported CKD-related parts or subassemblies; exact Corolla Grande sourcing is not publicly disclosed.</w:t>
      </w:r>
    </w:p>
    <w:p>
      <w:pPr>
        <w:pStyle w:val="Heading1"/>
      </w:pPr>
      <w:r>
        <w:t>2. Manufacturing — Internal Operations</w:t>
      </w:r>
    </w:p>
    <w:p>
      <w:pPr>
        <w:pStyle w:val="Heading2"/>
      </w:pPr>
      <w:r>
        <w:t>Stage 1 — Parts Receiving &amp; Inbound Inventory</w:t>
      </w:r>
    </w:p>
    <w:p>
      <w:r>
        <w:t>Receiving → documentation → quality inspection → storage/sequencing → line feeding.</w:t>
      </w:r>
    </w:p>
    <w:p>
      <w:pPr>
        <w:pStyle w:val="Heading2"/>
      </w:pPr>
      <w:r>
        <w:t>Stage 2 — Body / Welding Shop</w:t>
      </w:r>
    </w:p>
    <w:p>
      <w:r>
        <w:t>Stamped panels are joined into the Body-in-White (BIW), followed by body inspection.</w:t>
      </w:r>
    </w:p>
    <w:p>
      <w:pPr>
        <w:pStyle w:val="Heading2"/>
      </w:pPr>
      <w:r>
        <w:t>Stage 3 — Paint Shop</w:t>
      </w:r>
    </w:p>
    <w:p>
      <w:r>
        <w:t>Pretreatment → corrosion protection/primer → sealing → base coat → clear coat → oven curing → inspection.</w:t>
      </w:r>
    </w:p>
    <w:p>
      <w:pPr>
        <w:pStyle w:val="Heading2"/>
      </w:pPr>
      <w:r>
        <w:t>Stage 4 — Trim &amp; Final Assembly</w:t>
      </w:r>
    </w:p>
    <w:p>
      <w:r>
        <w:t>Wiring, dashboard, black interior, seats, glass, powertrain-related components, suspension, wheels, fluids and exterior trim are installed according to build specification.</w:t>
      </w:r>
    </w:p>
    <w:p>
      <w:pPr>
        <w:pStyle w:val="Heading2"/>
      </w:pPr>
      <w:r>
        <w:t>Stage 5 — Final Inspection &amp; Vehicle Release</w:t>
      </w:r>
    </w:p>
    <w:p>
      <w:r>
        <w:t>Electrical/diagnostic, alignment, leak, visual and functional checks are plausibly completed before release.</w:t>
      </w:r>
    </w:p>
    <w:p>
      <w:pPr>
        <w:pStyle w:val="Heading2"/>
      </w:pPr>
      <w:r>
        <w:t>Likely Bottleneck: Paint Shop</w:t>
      </w:r>
    </w:p>
    <w:p>
      <w:r>
        <w:t>The paint shop is a strong industry-based candidate for the most capacity-constrained stage because it requires sequential chemical treatment, coating, drying and oven-curing operations using expensive fixed equipment and controlled cycle times. IMC has not publicly disclosed that the Corolla paint shop is its actual current bottleneck.</w:t>
      </w:r>
    </w:p>
    <w:p>
      <w:pPr>
        <w:pStyle w:val="Heading1"/>
      </w:pPr>
      <w:r>
        <w:t>3. Downstream Supply Chain</w:t>
      </w:r>
    </w:p>
    <w:p>
      <w:r>
        <w:t>A plausible downstream flow is:</w:t>
      </w:r>
    </w:p>
    <w:p>
      <w:pPr>
        <w:jc w:val="center"/>
      </w:pPr>
      <w:r>
        <w:rPr>
          <w:b/>
        </w:rPr>
        <w:t>IMC Port Qasim Factory → Finished Vehicle Yard / Dispatch → Vehicle Transporter → Authorized Toyota 3S Dealer → Customer</w:t>
      </w:r>
    </w:p>
    <w:p>
      <w:r>
        <w:t>Unlike FMCG, an automobile generally does not pass through wholesalers and multiple distributors. The authorized dealership is the principal customer-facing sales and delivery point. Approximately two commercial/logistical tiers lie between IMC and the end customer if the vehicle transporter is counted as a logistics tier.</w:t>
      </w:r>
    </w:p>
    <w:p>
      <w:pPr>
        <w:pStyle w:val="Heading1"/>
      </w:pPr>
      <w:r>
        <w:t>4. Information &amp; Financial Flow</w:t>
      </w:r>
    </w:p>
    <w:p>
      <w:pPr>
        <w:pStyle w:val="Heading2"/>
      </w:pPr>
      <w:r>
        <w:t>Demand Information Flow</w:t>
      </w:r>
    </w:p>
    <w:p>
      <w:r>
        <w:t>Customer bookings and market demand → Authorized Toyota dealerships → IMC sales/planning → production planning/MRP → Tier 1 supplier schedules → Tier 2 material requirements.</w:t>
      </w:r>
    </w:p>
    <w:p>
      <w:pPr>
        <w:pStyle w:val="Heading2"/>
      </w:pPr>
      <w:r>
        <w:t>Financial Flow</w:t>
      </w:r>
    </w:p>
    <w:p>
      <w:r>
        <w:t>Customer payment or vehicle financing → authorized dealership/order settlement → IMC → payments to Tier 1 suppliers under contracted terms → Tier 1 suppliers pay their own Tier 2/material suppliers. Exact commercial terms are not publicly disclosed.</w:t>
      </w:r>
    </w:p>
    <w:p>
      <w:pPr>
        <w:pStyle w:val="Heading1"/>
      </w:pPr>
      <w:r>
        <w:t>5. Simple Text Diagram</w:t>
      </w:r>
    </w:p>
    <w:p>
      <w:pPr>
        <w:jc w:val="center"/>
      </w:pPr>
      <w:r>
        <w:rPr>
          <w:b/>
        </w:rPr>
        <w:t>Tier 2 Raw Materials → Tier 1 Component Suppliers → Inbound Logistics → IMC Port Qasim Factory → Body/Welding → Paint → Final Assembly → Quality Inspection → Finished Vehicle Yard → Vehicle Transporter → Authorized Toyota 3S Dealer → Corolla Grande Customer</w:t>
      </w:r>
    </w:p>
    <w:p>
      <w:pPr>
        <w:pStyle w:val="Heading2"/>
      </w:pPr>
      <w:r>
        <w:t>Illustrative Multi-Stream Map</w:t>
      </w:r>
    </w:p>
    <w:p>
      <w:r>
        <w:rPr>
          <w:rFonts w:ascii="Courier New" w:hAnsi="Courier New"/>
          <w:sz w:val="16"/>
        </w:rPr>
        <w:t>Steel / Metal → Stamped Components ───────────────┐</w:t>
        <w:br/>
        <w:t>Polymer / Rubber → Plastic &amp; Rubber Parts ───────┤</w:t>
        <w:br/>
        <w:t>Textile / Foam → Black Interior Parts ───────────┼→ IMC PORT QASIM FACTORY</w:t>
        <w:br/>
        <w:t>Electronic / Mechanical Materials → Modules ─────┘             ↓</w:t>
        <w:br/>
        <w:t xml:space="preserve">                                                     BODY / WELDING</w:t>
        <w:br/>
        <w:t xml:space="preserve">                                                            ↓</w:t>
        <w:br/>
        <w:t xml:space="preserve">                                                          PAINT</w:t>
        <w:br/>
        <w:t xml:space="preserve">                                                            ↓</w:t>
        <w:br/>
        <w:t xml:space="preserve">                                                     FINAL ASSEMBLY</w:t>
        <w:br/>
        <w:t xml:space="preserve">                                                            ↓</w:t>
        <w:br/>
        <w:t xml:space="preserve">                                                    QUALITY INSPECTION</w:t>
        <w:br/>
        <w:t xml:space="preserve">                                                            ↓</w:t>
        <w:br/>
        <w:t xml:space="preserve">                                                   VEHICLE TRANSPORT</w:t>
        <w:br/>
        <w:t xml:space="preserve">                                                            ↓</w:t>
        <w:br/>
        <w:t xml:space="preserve">                                              AUTHORIZED TOYOTA 3S DEALER</w:t>
        <w:br/>
        <w:t xml:space="preserve">                                                            ↓</w:t>
        <w:br/>
        <w:t xml:space="preserve">                                               COROLLA GRANDE CUSTOMER</w:t>
      </w:r>
    </w:p>
    <w:p>
      <w:pPr>
        <w:pStyle w:val="Heading1"/>
      </w:pPr>
      <w:r>
        <w:t>6. Lead-Time Estimates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Major Link</w:t>
            </w:r>
          </w:p>
        </w:tc>
        <w:tc>
          <w:tcPr>
            <w:tcW w:type="dxa" w:w="3408"/>
            <w:vAlign w:val="center"/>
            <w:shd w:fill="D9EAF7"/>
          </w:tcPr>
          <w:p>
            <w:r/>
            <w:r>
              <w:rPr>
                <w:rFonts w:ascii="Arial" w:hAnsi="Arial"/>
                <w:b/>
                <w:sz w:val="18"/>
              </w:rPr>
              <w:t>Plausible Lead Time</w:t>
            </w:r>
          </w:p>
        </w:tc>
        <w:tc>
          <w:tcPr>
            <w:tcW w:type="dxa" w:w="3408"/>
            <w:vAlign w:val="center"/>
            <w:shd w:fill="D9EAF7"/>
          </w:tcPr>
          <w:p>
            <w:r/>
            <w:r>
              <w:rPr>
                <w:rFonts w:ascii="Arial" w:hAnsi="Arial"/>
                <w:b/>
                <w:sz w:val="18"/>
              </w:rPr>
              <w:t>Reasoning</w:t>
            </w:r>
          </w:p>
        </w:tc>
      </w:tr>
      <w:tr>
        <w:tc>
          <w:tcPr>
            <w:tcW w:type="dxa" w:w="3408"/>
            <w:vAlign w:val="center"/>
          </w:tcPr>
          <w:p>
            <w:r/>
            <w:r>
              <w:rPr>
                <w:rFonts w:ascii="Arial" w:hAnsi="Arial"/>
                <w:b w:val="0"/>
                <w:sz w:val="18"/>
              </w:rPr>
              <w:t>Domestic Tier 2 → Tier 1</w:t>
            </w:r>
          </w:p>
        </w:tc>
        <w:tc>
          <w:tcPr>
            <w:tcW w:type="dxa" w:w="3408"/>
            <w:vAlign w:val="center"/>
          </w:tcPr>
          <w:p>
            <w:r/>
            <w:r>
              <w:rPr>
                <w:rFonts w:ascii="Arial" w:hAnsi="Arial"/>
                <w:b w:val="0"/>
                <w:sz w:val="18"/>
              </w:rPr>
              <w:t>3–14 days</w:t>
            </w:r>
          </w:p>
        </w:tc>
        <w:tc>
          <w:tcPr>
            <w:tcW w:type="dxa" w:w="3408"/>
            <w:vAlign w:val="center"/>
          </w:tcPr>
          <w:p>
            <w:r/>
            <w:r>
              <w:rPr>
                <w:rFonts w:ascii="Arial" w:hAnsi="Arial"/>
                <w:b w:val="0"/>
                <w:sz w:val="18"/>
              </w:rPr>
              <w:t>Local raw-material availability, processing and replenishment.</w:t>
            </w:r>
          </w:p>
        </w:tc>
      </w:tr>
      <w:tr>
        <w:tc>
          <w:tcPr>
            <w:tcW w:type="dxa" w:w="3408"/>
            <w:vAlign w:val="center"/>
          </w:tcPr>
          <w:p>
            <w:r/>
            <w:r>
              <w:rPr>
                <w:rFonts w:ascii="Arial" w:hAnsi="Arial"/>
                <w:b w:val="0"/>
                <w:sz w:val="18"/>
              </w:rPr>
              <w:t>Imported materials/components → Pakistan</w:t>
            </w:r>
          </w:p>
        </w:tc>
        <w:tc>
          <w:tcPr>
            <w:tcW w:type="dxa" w:w="3408"/>
            <w:vAlign w:val="center"/>
          </w:tcPr>
          <w:p>
            <w:r/>
            <w:r>
              <w:rPr>
                <w:rFonts w:ascii="Arial" w:hAnsi="Arial"/>
                <w:b w:val="0"/>
                <w:sz w:val="18"/>
              </w:rPr>
              <w:t>30–75 days</w:t>
            </w:r>
          </w:p>
        </w:tc>
        <w:tc>
          <w:tcPr>
            <w:tcW w:type="dxa" w:w="3408"/>
            <w:vAlign w:val="center"/>
          </w:tcPr>
          <w:p>
            <w:r/>
            <w:r>
              <w:rPr>
                <w:rFonts w:ascii="Arial" w:hAnsi="Arial"/>
                <w:b w:val="0"/>
                <w:sz w:val="18"/>
              </w:rPr>
              <w:t>Supplier preparation, ocean freight and customs/port variability.</w:t>
            </w:r>
          </w:p>
        </w:tc>
      </w:tr>
      <w:tr>
        <w:tc>
          <w:tcPr>
            <w:tcW w:type="dxa" w:w="3408"/>
            <w:vAlign w:val="center"/>
          </w:tcPr>
          <w:p>
            <w:r/>
            <w:r>
              <w:rPr>
                <w:rFonts w:ascii="Arial" w:hAnsi="Arial"/>
                <w:b w:val="0"/>
                <w:sz w:val="18"/>
              </w:rPr>
              <w:t>Local Tier 1 → IMC Port Qasim</w:t>
            </w:r>
          </w:p>
        </w:tc>
        <w:tc>
          <w:tcPr>
            <w:tcW w:type="dxa" w:w="3408"/>
            <w:vAlign w:val="center"/>
          </w:tcPr>
          <w:p>
            <w:r/>
            <w:r>
              <w:rPr>
                <w:rFonts w:ascii="Arial" w:hAnsi="Arial"/>
                <w:b w:val="0"/>
                <w:sz w:val="18"/>
              </w:rPr>
              <w:t>1–5 days</w:t>
            </w:r>
          </w:p>
        </w:tc>
        <w:tc>
          <w:tcPr>
            <w:tcW w:type="dxa" w:w="3408"/>
            <w:vAlign w:val="center"/>
          </w:tcPr>
          <w:p>
            <w:r/>
            <w:r>
              <w:rPr>
                <w:rFonts w:ascii="Arial" w:hAnsi="Arial"/>
                <w:b w:val="0"/>
                <w:sz w:val="18"/>
              </w:rPr>
              <w:t>Relatively frequent replenishment is common in automotive assembly.</w:t>
            </w:r>
          </w:p>
        </w:tc>
      </w:tr>
      <w:tr>
        <w:tc>
          <w:tcPr>
            <w:tcW w:type="dxa" w:w="3408"/>
            <w:vAlign w:val="center"/>
          </w:tcPr>
          <w:p>
            <w:r/>
            <w:r>
              <w:rPr>
                <w:rFonts w:ascii="Arial" w:hAnsi="Arial"/>
                <w:b w:val="0"/>
                <w:sz w:val="18"/>
              </w:rPr>
              <w:t>IMC physical production</w:t>
            </w:r>
          </w:p>
        </w:tc>
        <w:tc>
          <w:tcPr>
            <w:tcW w:type="dxa" w:w="3408"/>
            <w:vAlign w:val="center"/>
          </w:tcPr>
          <w:p>
            <w:r/>
            <w:r>
              <w:rPr>
                <w:rFonts w:ascii="Arial" w:hAnsi="Arial"/>
                <w:b w:val="0"/>
                <w:sz w:val="18"/>
              </w:rPr>
              <w:t>1–3 days</w:t>
            </w:r>
          </w:p>
        </w:tc>
        <w:tc>
          <w:tcPr>
            <w:tcW w:type="dxa" w:w="3408"/>
            <w:vAlign w:val="center"/>
          </w:tcPr>
          <w:p>
            <w:r/>
            <w:r>
              <w:rPr>
                <w:rFonts w:ascii="Arial" w:hAnsi="Arial"/>
                <w:b w:val="0"/>
                <w:sz w:val="18"/>
              </w:rPr>
              <w:t>Once parts and capacity are available, physical assembly can move relatively quickly.</w:t>
            </w:r>
          </w:p>
        </w:tc>
      </w:tr>
      <w:tr>
        <w:tc>
          <w:tcPr>
            <w:tcW w:type="dxa" w:w="3408"/>
            <w:vAlign w:val="center"/>
          </w:tcPr>
          <w:p>
            <w:r/>
            <w:r>
              <w:rPr>
                <w:rFonts w:ascii="Arial" w:hAnsi="Arial"/>
                <w:b w:val="0"/>
                <w:sz w:val="18"/>
              </w:rPr>
              <w:t>Factory → Karachi/Sindh dealer</w:t>
            </w:r>
          </w:p>
        </w:tc>
        <w:tc>
          <w:tcPr>
            <w:tcW w:type="dxa" w:w="3408"/>
            <w:vAlign w:val="center"/>
          </w:tcPr>
          <w:p>
            <w:r/>
            <w:r>
              <w:rPr>
                <w:rFonts w:ascii="Arial" w:hAnsi="Arial"/>
                <w:b w:val="0"/>
                <w:sz w:val="18"/>
              </w:rPr>
              <w:t>1–3 days</w:t>
            </w:r>
          </w:p>
        </w:tc>
        <w:tc>
          <w:tcPr>
            <w:tcW w:type="dxa" w:w="3408"/>
            <w:vAlign w:val="center"/>
          </w:tcPr>
          <w:p>
            <w:r/>
            <w:r>
              <w:rPr>
                <w:rFonts w:ascii="Arial" w:hAnsi="Arial"/>
                <w:b w:val="0"/>
                <w:sz w:val="18"/>
              </w:rPr>
              <w:t>Shorter vehicle-transporter distance from Port Qasim.</w:t>
            </w:r>
          </w:p>
        </w:tc>
      </w:tr>
      <w:tr>
        <w:tc>
          <w:tcPr>
            <w:tcW w:type="dxa" w:w="3408"/>
            <w:vAlign w:val="center"/>
          </w:tcPr>
          <w:p>
            <w:r/>
            <w:r>
              <w:rPr>
                <w:rFonts w:ascii="Arial" w:hAnsi="Arial"/>
                <w:b w:val="0"/>
                <w:sz w:val="18"/>
              </w:rPr>
              <w:t>Factory → Punjab dealer</w:t>
            </w:r>
          </w:p>
        </w:tc>
        <w:tc>
          <w:tcPr>
            <w:tcW w:type="dxa" w:w="3408"/>
            <w:vAlign w:val="center"/>
          </w:tcPr>
          <w:p>
            <w:r/>
            <w:r>
              <w:rPr>
                <w:rFonts w:ascii="Arial" w:hAnsi="Arial"/>
                <w:b w:val="0"/>
                <w:sz w:val="18"/>
              </w:rPr>
              <w:t>2–5 days</w:t>
            </w:r>
          </w:p>
        </w:tc>
        <w:tc>
          <w:tcPr>
            <w:tcW w:type="dxa" w:w="3408"/>
            <w:vAlign w:val="center"/>
          </w:tcPr>
          <w:p>
            <w:r/>
            <w:r>
              <w:rPr>
                <w:rFonts w:ascii="Arial" w:hAnsi="Arial"/>
                <w:b w:val="0"/>
                <w:sz w:val="18"/>
              </w:rPr>
              <w:t>Long-distance road transport, scheduling and unloading.</w:t>
            </w:r>
          </w:p>
        </w:tc>
      </w:tr>
      <w:tr>
        <w:tc>
          <w:tcPr>
            <w:tcW w:type="dxa" w:w="3408"/>
            <w:vAlign w:val="center"/>
          </w:tcPr>
          <w:p>
            <w:r/>
            <w:r>
              <w:rPr>
                <w:rFonts w:ascii="Arial" w:hAnsi="Arial"/>
                <w:b w:val="0"/>
                <w:sz w:val="18"/>
              </w:rPr>
              <w:t>Factory → northern/KP/Balochistan dealer</w:t>
            </w:r>
          </w:p>
        </w:tc>
        <w:tc>
          <w:tcPr>
            <w:tcW w:type="dxa" w:w="3408"/>
            <w:vAlign w:val="center"/>
          </w:tcPr>
          <w:p>
            <w:r/>
            <w:r>
              <w:rPr>
                <w:rFonts w:ascii="Arial" w:hAnsi="Arial"/>
                <w:b w:val="0"/>
                <w:sz w:val="18"/>
              </w:rPr>
              <w:t>3–7 days</w:t>
            </w:r>
          </w:p>
        </w:tc>
        <w:tc>
          <w:tcPr>
            <w:tcW w:type="dxa" w:w="3408"/>
            <w:vAlign w:val="center"/>
          </w:tcPr>
          <w:p>
            <w:r/>
            <w:r>
              <w:rPr>
                <w:rFonts w:ascii="Arial" w:hAnsi="Arial"/>
                <w:b w:val="0"/>
                <w:sz w:val="18"/>
              </w:rPr>
              <w:t>Longer distance and vehicle-carrier scheduling.</w:t>
            </w:r>
          </w:p>
        </w:tc>
      </w:tr>
      <w:tr>
        <w:tc>
          <w:tcPr>
            <w:tcW w:type="dxa" w:w="3408"/>
            <w:vAlign w:val="center"/>
          </w:tcPr>
          <w:p>
            <w:r/>
            <w:r>
              <w:rPr>
                <w:rFonts w:ascii="Arial" w:hAnsi="Arial"/>
                <w:b w:val="0"/>
                <w:sz w:val="18"/>
              </w:rPr>
              <w:t>Dealer receipt → customer delivery</w:t>
            </w:r>
          </w:p>
        </w:tc>
        <w:tc>
          <w:tcPr>
            <w:tcW w:type="dxa" w:w="3408"/>
            <w:vAlign w:val="center"/>
          </w:tcPr>
          <w:p>
            <w:r/>
            <w:r>
              <w:rPr>
                <w:rFonts w:ascii="Arial" w:hAnsi="Arial"/>
                <w:b w:val="0"/>
                <w:sz w:val="18"/>
              </w:rPr>
              <w:t>1–5 days</w:t>
            </w:r>
          </w:p>
        </w:tc>
        <w:tc>
          <w:tcPr>
            <w:tcW w:type="dxa" w:w="3408"/>
            <w:vAlign w:val="center"/>
          </w:tcPr>
          <w:p>
            <w:r/>
            <w:r>
              <w:rPr>
                <w:rFonts w:ascii="Arial" w:hAnsi="Arial"/>
                <w:b w:val="0"/>
                <w:sz w:val="18"/>
              </w:rPr>
              <w:t>Inspection, documentation, registration/payment formalities and customer scheduling.</w:t>
            </w:r>
          </w:p>
        </w:tc>
      </w:tr>
    </w:tbl>
    <w:p>
      <w:r>
        <w:t>Important: Production lead time and customer waiting time are different. Customer order-to-delivery time may include booking, production allocation, component availability, scheduling, manufacturing, dispatch and dealership delivery. Imported-component availability may therefore create substantially more lead-time risk than the physical assembly process itself.</w:t>
      </w:r>
    </w:p>
    <w:p>
      <w:pPr>
        <w:pStyle w:val="Heading1"/>
      </w:pPr>
      <w:r>
        <w:t>Assumptions</w:t>
      </w:r>
    </w:p>
    <w:p>
      <w:r>
        <w:t>This map combines publicly disclosed high-level information about Indus Motor Company with standard automotive-industry supply-chain logic. The Port Qasim manufacturing location, Toyota vehicle manufacturing role and nationwide authorized-dealership distribution are public context, while the particular Tier 1/Tier 2 supplier categories, detailed process sequence, inventory arrangements and lead times are illustrative. The greatest uncertainty concerns the exact split between locally manufactured and imported components for the Corolla Grande, supplier origins, inventory policies, production scheduling rules and transport lead times. A real internal IMC map would likely include named vendors, part numbers, BOM levels, localization percentages, supplier capacities, safety stocks, shipment frequencies, warehouse locations, production takt times, MRP parameters and actual order-to-delivery KPIs. Those confidential operating details have not been invented in this academic illustration.</w:t>
      </w:r>
    </w:p>
    <w:p>
      <w:pPr>
        <w:pStyle w:val="Heading1"/>
      </w:pPr>
      <w:r>
        <w:t>Public Context Sources</w:t>
      </w:r>
    </w:p>
    <w:p>
      <w:r>
        <w:t>Indus Motor Company Limited (Toyota Pakistan): Company Information, Corporate Information, Annual Report FY2025, and official dealer network pages. These sources support only the disclosed company context; detailed supplier/process/lead-time elements remain illustrative assumptions.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Supply Chain Analytics | Indus Motor Company — Corolla Grande Black Interior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