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Illustrative Supply Chain Map</w:t>
      </w:r>
    </w:p>
    <w:p>
      <w:pPr>
        <w:spacing w:after="200"/>
      </w:pPr>
      <w:r>
        <w:rPr>
          <w:b/>
          <w:bCs/>
          <w:sz w:val="24"/>
          <w:szCs w:val="24"/>
        </w:rPr>
        <w:t xml:space="preserve">Indus Motor Company Limited (PSX: INDU) — Product: Toyota Corolla Grande, Black Interior</w:t>
      </w:r>
    </w:p>
    <w:p>
      <w:pPr>
        <w:pBdr>
          <w:top w:val="single" w:color="C00000" w:sz="6"/>
          <w:bottom w:val="single" w:color="C00000" w:sz="6"/>
          <w:left w:val="single" w:color="C00000" w:sz="6"/>
          <w:right w:val="single" w:color="C00000" w:sz="6"/>
        </w:pBdr>
        <w:shd w:fill="FCE8E6" w:val="clear"/>
        <w:spacing w:after="300"/>
      </w:pPr>
      <w:r>
        <w:rPr>
          <w:b/>
          <w:bCs/>
          <w:i/>
          <w:iCs/>
          <w:color w:val="C00000"/>
          <w:sz w:val="22"/>
          <w:szCs w:val="22"/>
        </w:rPr>
        <w:t xml:space="preserve">Illustrative supply chain map, calibrated to Indus Motor Company's disclosed sector and scale — not actual company supplier, distribution, or process information.</w:t>
      </w:r>
    </w:p>
    <w:p>
      <w:pPr>
        <w:pStyle w:val="Heading1"/>
        <w:spacing w:after="150" w:before="300"/>
      </w:pPr>
      <w:r>
        <w:t xml:space="preserve">Real Context Used to Calibrate This Map</w:t>
      </w:r>
    </w:p>
    <w:p>
      <w:pPr>
        <w:spacing w:after="150"/>
      </w:pPr>
      <w:r>
        <w:rPr>
          <w:b w:val="false"/>
          <w:bCs w:val="false"/>
          <w:i w:val="false"/>
          <w:iCs w:val="false"/>
          <w:sz w:val="22"/>
          <w:szCs w:val="22"/>
        </w:rPr>
        <w:t xml:space="preserve">Indus Motor Company (IMC) is Toyota's sole assembler and distributor in Pakistan, listed on the Pakistan Stock Exchange (ticker: INDU). Its single manufacturing facility sits on a roughly 109.5-acre site at Port Qasim Industrial Zone, Karachi. Finished vehicles reach end customers nationwide through a network of 57 independent authorized 3S (Sales-Service-Spares) dealerships. Revenue was approximately Rs. 215 billion (about US$770 million) in 2025, with roughly 2,089 employees — a large national player, not an SME. IMC follows a "progressive manufacturing" (CKD-plus-localization) model typical of Pakistani auto assemblers, combining imported components with locally sourced vendor parts. Everything beyond this paragraph — specific supplier types, process bottlenecks, lead times — is illustrative reasoning built on top of this real context, not disclosed company data.</w:t>
      </w:r>
    </w:p>
    <w:p>
      <w:pPr>
        <w:pStyle w:val="Heading1"/>
        <w:spacing w:after="150" w:before="300"/>
      </w:pPr>
      <w:r>
        <w:t xml:space="preserve">1. Upstream (Tier 2 and Tier 1 Suppliers)</w:t>
      </w:r>
    </w:p>
    <w:p>
      <w:pPr>
        <w:spacing w:after="150"/>
      </w:pPr>
      <w:r>
        <w:rPr>
          <w:b w:val="false"/>
          <w:bCs w:val="false"/>
          <w:i w:val="false"/>
          <w:iCs w:val="false"/>
          <w:sz w:val="22"/>
          <w:szCs w:val="22"/>
        </w:rPr>
        <w:t xml:space="preserve">Four plausible raw material categories for a Corolla Grande with black interior trim: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90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Raw Material Category</w:t>
            </w:r>
          </w:p>
        </w:tc>
        <w:tc>
          <w:tcPr>
            <w:tcW w:type="dxa" w:w="3500"/>
            <w:shd w:fill="1F3864" w:val="clear"/>
            <w:tcMar>
              <w:top w:type="dxa" w:w="100"/>
              <w:left w:type="dxa" w:w="120"/>
              <w:bottom w:type="dxa" w:w="100"/>
              <w:right w:type="dxa" w:w="120"/>
            </w:tcMar>
            <w:vAlign w:val="center"/>
          </w:tcPr>
          <w:p>
            <w:r>
              <w:rPr>
                <w:b/>
                <w:bCs/>
                <w:color w:val="FFFFFF"/>
                <w:sz w:val="20"/>
                <w:szCs w:val="20"/>
              </w:rPr>
              <w:t xml:space="preserve">Tier 1 Supplier (converts material into usable input)</w:t>
            </w:r>
          </w:p>
        </w:tc>
        <w:tc>
          <w:tcPr>
            <w:tcW w:type="dxa" w:w="3900"/>
            <w:shd w:fill="1F3864" w:val="clear"/>
            <w:tcMar>
              <w:top w:type="dxa" w:w="100"/>
              <w:left w:type="dxa" w:w="120"/>
              <w:bottom w:type="dxa" w:w="100"/>
              <w:right w:type="dxa" w:w="120"/>
            </w:tcMar>
            <w:vAlign w:val="center"/>
          </w:tcPr>
          <w:p>
            <w:r>
              <w:rPr>
                <w:b/>
                <w:bCs/>
                <w:color w:val="FFFFFF"/>
                <w:sz w:val="20"/>
                <w:szCs w:val="20"/>
              </w:rPr>
              <w:t xml:space="preserve">Tier 2 Source (origin of raw material)</w:t>
            </w:r>
          </w:p>
        </w:tc>
      </w:tr>
      <w:tr>
        <w:tc>
          <w:tcPr>
            <w:tcW w:type="dxa" w:w="2200"/>
            <w:tcMar>
              <w:top w:type="dxa" w:w="100"/>
              <w:left w:type="dxa" w:w="120"/>
              <w:bottom w:type="dxa" w:w="100"/>
              <w:right w:type="dxa" w:w="120"/>
            </w:tcMar>
            <w:vAlign w:val="center"/>
          </w:tcPr>
          <w:p>
            <w:r>
              <w:rPr>
                <w:b w:val="false"/>
                <w:bCs w:val="false"/>
                <w:sz w:val="20"/>
                <w:szCs w:val="20"/>
              </w:rPr>
              <w:t xml:space="preserve">Cold-rolled steel sheet (body panels)</w:t>
            </w:r>
          </w:p>
        </w:tc>
        <w:tc>
          <w:tcPr>
            <w:tcW w:type="dxa" w:w="3500"/>
            <w:tcMar>
              <w:top w:type="dxa" w:w="100"/>
              <w:left w:type="dxa" w:w="120"/>
              <w:bottom w:type="dxa" w:w="100"/>
              <w:right w:type="dxa" w:w="120"/>
            </w:tcMar>
            <w:vAlign w:val="center"/>
          </w:tcPr>
          <w:p>
            <w:r>
              <w:rPr>
                <w:b w:val="false"/>
                <w:bCs w:val="false"/>
                <w:sz w:val="20"/>
                <w:szCs w:val="20"/>
              </w:rPr>
              <w:t xml:space="preserve">Domestic auto-parts stamping vendor in the Karachi / Port Qasim industrial belt that presses/stamps body panels</w:t>
            </w:r>
          </w:p>
        </w:tc>
        <w:tc>
          <w:tcPr>
            <w:tcW w:type="dxa" w:w="3900"/>
            <w:tcMar>
              <w:top w:type="dxa" w:w="100"/>
              <w:left w:type="dxa" w:w="120"/>
              <w:bottom w:type="dxa" w:w="100"/>
              <w:right w:type="dxa" w:w="120"/>
            </w:tcMar>
            <w:vAlign w:val="center"/>
          </w:tcPr>
          <w:p>
            <w:r>
              <w:rPr>
                <w:b w:val="false"/>
                <w:bCs w:val="false"/>
                <w:sz w:val="20"/>
                <w:szCs w:val="20"/>
              </w:rPr>
              <w:t xml:space="preserve">Imported steel coil — likely partly from Pakistan Steel Mills where available, supplemented by imports from China/South Korea, since domestic supply cannot fully meet automotive-grade sheet demand</w:t>
            </w:r>
          </w:p>
        </w:tc>
      </w:tr>
      <w:tr>
        <w:tc>
          <w:tcPr>
            <w:tcW w:type="dxa" w:w="2200"/>
            <w:tcMar>
              <w:top w:type="dxa" w:w="100"/>
              <w:left w:type="dxa" w:w="120"/>
              <w:bottom w:type="dxa" w:w="100"/>
              <w:right w:type="dxa" w:w="120"/>
            </w:tcMar>
            <w:vAlign w:val="center"/>
          </w:tcPr>
          <w:p>
            <w:r>
              <w:rPr>
                <w:b w:val="false"/>
                <w:bCs w:val="false"/>
                <w:sz w:val="20"/>
                <w:szCs w:val="20"/>
              </w:rPr>
              <w:t xml:space="preserve">Black leatherette / fabric upholstery material</w:t>
            </w:r>
          </w:p>
        </w:tc>
        <w:tc>
          <w:tcPr>
            <w:tcW w:type="dxa" w:w="3500"/>
            <w:tcMar>
              <w:top w:type="dxa" w:w="100"/>
              <w:left w:type="dxa" w:w="120"/>
              <w:bottom w:type="dxa" w:w="100"/>
              <w:right w:type="dxa" w:w="120"/>
            </w:tcMar>
            <w:vAlign w:val="center"/>
          </w:tcPr>
          <w:p>
            <w:r>
              <w:rPr>
                <w:b w:val="false"/>
                <w:bCs w:val="false"/>
                <w:sz w:val="20"/>
                <w:szCs w:val="20"/>
              </w:rPr>
              <w:t xml:space="preserve">Local seat-cover and trim manufacturer (upholstery stitching unit) supplying cut-and-sewn seat covers, door panels, dashboard trim</w:t>
            </w:r>
          </w:p>
        </w:tc>
        <w:tc>
          <w:tcPr>
            <w:tcW w:type="dxa" w:w="3900"/>
            <w:tcMar>
              <w:top w:type="dxa" w:w="100"/>
              <w:left w:type="dxa" w:w="120"/>
              <w:bottom w:type="dxa" w:w="100"/>
              <w:right w:type="dxa" w:w="120"/>
            </w:tcMar>
            <w:vAlign w:val="center"/>
          </w:tcPr>
          <w:p>
            <w:r>
              <w:rPr>
                <w:b w:val="false"/>
                <w:bCs w:val="false"/>
                <w:sz w:val="20"/>
                <w:szCs w:val="20"/>
              </w:rPr>
              <w:t xml:space="preserve">Synthetic leather (PVC/PU) or woven fabric rolls, largely imported from East Asia (China/Taiwan); high-grade automotive-spec vinyl is not widely produced domestically</w:t>
            </w:r>
          </w:p>
        </w:tc>
      </w:tr>
      <w:tr>
        <w:tc>
          <w:tcPr>
            <w:tcW w:type="dxa" w:w="2200"/>
            <w:tcMar>
              <w:top w:type="dxa" w:w="100"/>
              <w:left w:type="dxa" w:w="120"/>
              <w:bottom w:type="dxa" w:w="100"/>
              <w:right w:type="dxa" w:w="120"/>
            </w:tcMar>
            <w:vAlign w:val="center"/>
          </w:tcPr>
          <w:p>
            <w:r>
              <w:rPr>
                <w:b w:val="false"/>
                <w:bCs w:val="false"/>
                <w:sz w:val="20"/>
                <w:szCs w:val="20"/>
              </w:rPr>
              <w:t xml:space="preserve">Engine / drivetrain components (CKD kit parts)</w:t>
            </w:r>
          </w:p>
        </w:tc>
        <w:tc>
          <w:tcPr>
            <w:tcW w:type="dxa" w:w="3500"/>
            <w:tcMar>
              <w:top w:type="dxa" w:w="100"/>
              <w:left w:type="dxa" w:w="120"/>
              <w:bottom w:type="dxa" w:w="100"/>
              <w:right w:type="dxa" w:w="120"/>
            </w:tcMar>
            <w:vAlign w:val="center"/>
          </w:tcPr>
          <w:p>
            <w:r>
              <w:rPr>
                <w:b w:val="false"/>
                <w:bCs w:val="false"/>
                <w:sz w:val="20"/>
                <w:szCs w:val="20"/>
              </w:rPr>
              <w:t xml:space="preserve">Toyota-approved CKD parts consolidator/logistics vendor that receives and stages imported engine and transmission components</w:t>
            </w:r>
          </w:p>
        </w:tc>
        <w:tc>
          <w:tcPr>
            <w:tcW w:type="dxa" w:w="3900"/>
            <w:tcMar>
              <w:top w:type="dxa" w:w="100"/>
              <w:left w:type="dxa" w:w="120"/>
              <w:bottom w:type="dxa" w:w="100"/>
              <w:right w:type="dxa" w:w="120"/>
            </w:tcMar>
            <w:vAlign w:val="center"/>
          </w:tcPr>
          <w:p>
            <w:r>
              <w:rPr>
                <w:b w:val="false"/>
                <w:bCs w:val="false"/>
                <w:sz w:val="20"/>
                <w:szCs w:val="20"/>
              </w:rPr>
              <w:t xml:space="preserve">Imported directly from Toyota's regional supply network — likely Thailand, Indonesia, or Japan plants — as semi-knocked-down or CKD kits</w:t>
            </w:r>
          </w:p>
        </w:tc>
      </w:tr>
      <w:tr>
        <w:tc>
          <w:tcPr>
            <w:tcW w:type="dxa" w:w="2200"/>
            <w:tcMar>
              <w:top w:type="dxa" w:w="100"/>
              <w:left w:type="dxa" w:w="120"/>
              <w:bottom w:type="dxa" w:w="100"/>
              <w:right w:type="dxa" w:w="120"/>
            </w:tcMar>
            <w:vAlign w:val="center"/>
          </w:tcPr>
          <w:p>
            <w:r>
              <w:rPr>
                <w:b w:val="false"/>
                <w:bCs w:val="false"/>
                <w:sz w:val="20"/>
                <w:szCs w:val="20"/>
              </w:rPr>
              <w:t xml:space="preserve">Plastic interior trim &amp; injection-molded parts (dashboard, door panels, black interior accents)</w:t>
            </w:r>
          </w:p>
        </w:tc>
        <w:tc>
          <w:tcPr>
            <w:tcW w:type="dxa" w:w="3500"/>
            <w:tcMar>
              <w:top w:type="dxa" w:w="100"/>
              <w:left w:type="dxa" w:w="120"/>
              <w:bottom w:type="dxa" w:w="100"/>
              <w:right w:type="dxa" w:w="120"/>
            </w:tcMar>
            <w:vAlign w:val="center"/>
          </w:tcPr>
          <w:p>
            <w:r>
              <w:rPr>
                <w:b w:val="false"/>
                <w:bCs w:val="false"/>
                <w:sz w:val="20"/>
                <w:szCs w:val="20"/>
              </w:rPr>
              <w:t xml:space="preserve">Local injection-molding vendor (auto-parts moulder) producing dashboard sub-assemblies and interior trim pieces</w:t>
            </w:r>
          </w:p>
        </w:tc>
        <w:tc>
          <w:tcPr>
            <w:tcW w:type="dxa" w:w="3900"/>
            <w:tcMar>
              <w:top w:type="dxa" w:w="100"/>
              <w:left w:type="dxa" w:w="120"/>
              <w:bottom w:type="dxa" w:w="100"/>
              <w:right w:type="dxa" w:w="120"/>
            </w:tcMar>
            <w:vAlign w:val="center"/>
          </w:tcPr>
          <w:p>
            <w:r>
              <w:rPr>
                <w:b w:val="false"/>
                <w:bCs w:val="false"/>
                <w:sz w:val="20"/>
                <w:szCs w:val="20"/>
              </w:rPr>
              <w:t xml:space="preserve">Polymer resin (ABS/PP pellets) — largely imported petrochemical feedstock; domestic producers (e.g., at Port Qasim) supply some base resin, but automotive-grade compounds are often imported</w:t>
            </w:r>
          </w:p>
        </w:tc>
      </w:tr>
    </w:tbl>
    <w:p>
      <w:pPr>
        <w:pStyle w:val="Heading1"/>
        <w:spacing w:after="150" w:before="300"/>
      </w:pPr>
      <w:r>
        <w:t xml:space="preserve">2. Manufacturing (Internal Operations)</w:t>
      </w:r>
    </w:p>
    <w:p>
      <w:pPr>
        <w:spacing w:after="150"/>
      </w:pPr>
      <w:r>
        <w:rPr>
          <w:b w:val="false"/>
          <w:bCs w:val="false"/>
          <w:i w:val="false"/>
          <w:iCs w:val="false"/>
          <w:sz w:val="22"/>
          <w:szCs w:val="22"/>
        </w:rPr>
        <w:t xml:space="preserve">Typical stages for an assembler like IMC, in order:</w:t>
      </w:r>
    </w:p>
    <w:p>
      <w:pPr>
        <w:pStyle w:val="ListParagraph"/>
        <w:numPr>
          <w:ilvl w:val="0"/>
          <w:numId w:val="1"/>
        </w:numPr>
        <w:spacing w:after="80"/>
      </w:pPr>
      <w:r>
        <w:rPr>
          <w:sz w:val="22"/>
          <w:szCs w:val="22"/>
        </w:rPr>
        <w:t xml:space="preserve">Stamping — steel coil pressed into body panels</w:t>
      </w:r>
    </w:p>
    <w:p>
      <w:pPr>
        <w:pStyle w:val="ListParagraph"/>
        <w:numPr>
          <w:ilvl w:val="0"/>
          <w:numId w:val="1"/>
        </w:numPr>
        <w:spacing w:after="80"/>
      </w:pPr>
      <w:r>
        <w:rPr>
          <w:sz w:val="22"/>
          <w:szCs w:val="22"/>
        </w:rPr>
        <w:t xml:space="preserve">Welding / body shop — panels welded into the body-in-white</w:t>
      </w:r>
    </w:p>
    <w:p>
      <w:pPr>
        <w:pStyle w:val="ListParagraph"/>
        <w:numPr>
          <w:ilvl w:val="0"/>
          <w:numId w:val="1"/>
        </w:numPr>
        <w:spacing w:after="80"/>
      </w:pPr>
      <w:r>
        <w:rPr>
          <w:sz w:val="22"/>
          <w:szCs w:val="22"/>
        </w:rPr>
        <w:t xml:space="preserve">Painting — body painted, including quality checks for finish</w:t>
      </w:r>
    </w:p>
    <w:p>
      <w:pPr>
        <w:pStyle w:val="ListParagraph"/>
        <w:numPr>
          <w:ilvl w:val="0"/>
          <w:numId w:val="1"/>
        </w:numPr>
        <w:spacing w:after="80"/>
      </w:pPr>
      <w:r>
        <w:rPr>
          <w:sz w:val="22"/>
          <w:szCs w:val="22"/>
        </w:rPr>
        <w:t xml:space="preserve">Trim &amp; assembly — interior fitted (seats, dashboard, black interior trim, wiring, glass), engine/transmission mated to body</w:t>
      </w:r>
    </w:p>
    <w:p>
      <w:pPr>
        <w:pStyle w:val="ListParagraph"/>
        <w:numPr>
          <w:ilvl w:val="0"/>
          <w:numId w:val="1"/>
        </w:numPr>
        <w:spacing w:after="80"/>
      </w:pPr>
      <w:r>
        <w:rPr>
          <w:sz w:val="22"/>
          <w:szCs w:val="22"/>
        </w:rPr>
        <w:t xml:space="preserve">Final inspection &amp; quality testing — road test, leak test, fit-and-finish check before release to dealers</w:t>
      </w:r>
    </w:p>
    <w:p>
      <w:pPr>
        <w:pStyle w:val="Heading2"/>
        <w:spacing w:after="100" w:before="200"/>
      </w:pPr>
      <w:r>
        <w:t xml:space="preserve">Likely bottleneck: Painting</w:t>
      </w:r>
    </w:p>
    <w:p>
      <w:pPr>
        <w:spacing w:after="150"/>
      </w:pPr>
      <w:r>
        <w:rPr>
          <w:b w:val="false"/>
          <w:bCs w:val="false"/>
          <w:i w:val="false"/>
          <w:iCs w:val="false"/>
          <w:sz w:val="22"/>
          <w:szCs w:val="22"/>
        </w:rPr>
        <w:t xml:space="preserve">Paint shops are typically the slowest and most capital-intensive stage in vehicle assembly. Multiple coat layers (e-coat, primer, base coat, clear coat) each need curing/drying time in ovens, and rework for defects (dust, orange peel) is common. Unlike trim assembly, which can be parallelized across stations, painting is a more sequential, single-line process with tighter environmental controls, making it a natural throughput constraint.</w:t>
      </w:r>
    </w:p>
    <w:p>
      <w:pPr>
        <w:pStyle w:val="Heading1"/>
        <w:spacing w:after="150" w:before="300"/>
      </w:pPr>
      <w:r>
        <w:t xml:space="preserve">3. Downstream (Distribution to Customer)</w:t>
      </w:r>
    </w:p>
    <w:p>
      <w:pPr>
        <w:spacing w:after="150"/>
      </w:pPr>
      <w:r>
        <w:rPr>
          <w:b w:val="false"/>
          <w:bCs w:val="false"/>
          <w:i w:val="false"/>
          <w:iCs w:val="false"/>
          <w:sz w:val="22"/>
          <w:szCs w:val="22"/>
        </w:rPr>
        <w:t xml:space="preserve">Vehicles move from the Port Qasim factory to a nationwide dealer network — 57 independent authorized 3S dealerships spread across the country — rather than through the traditional wholesaler/retailer layering seen in FMCG. Each dealership typically handles Sales, Service, and Spare parts (hence "3S"), so IMC likely ships finished units fairly directly from factory to dealer stockyards (possibly via regional staging yards for cities such as Lahore, Islamabad, or Peshawar), and the dealer then sells and delivers to the end customer.</w:t>
      </w:r>
    </w:p>
    <w:p>
      <w:pPr>
        <w:spacing w:after="150"/>
      </w:pPr>
      <w:r>
        <w:rPr>
          <w:b w:val="false"/>
          <w:bCs w:val="false"/>
          <w:i w:val="false"/>
          <w:iCs w:val="false"/>
          <w:sz w:val="22"/>
          <w:szCs w:val="22"/>
        </w:rPr>
        <w:t xml:space="preserve">Approximate tiers: 2 tiers — Factory → Dealer (3S) → Customer. This is shorter than most consumer goods chains, since auto assemblers in Pakistan typically distribute directly to franchised dealers rather than through independent wholesalers.</w:t>
      </w:r>
    </w:p>
    <w:p>
      <w:pPr>
        <w:pStyle w:val="Heading1"/>
        <w:spacing w:after="150" w:before="300"/>
      </w:pPr>
      <w:r>
        <w:t xml:space="preserve">4. Information &amp; Financial Flow</w:t>
      </w:r>
    </w:p>
    <w:p>
      <w:pPr>
        <w:pStyle w:val="ListParagraph"/>
        <w:numPr>
          <w:ilvl w:val="0"/>
          <w:numId w:val="1"/>
        </w:numPr>
        <w:spacing w:after="80"/>
      </w:pPr>
      <w:r>
        <w:rPr>
          <w:sz w:val="22"/>
          <w:szCs w:val="22"/>
        </w:rPr>
        <w:t xml:space="preserve">Information flow: Customer orders/bookings placed at dealerships are aggregated and relayed back to IMC's production planning team, which uses dealer order volumes and booking backlogs to set monthly/weekly production schedules for each variant (including trim/color combinations like Grande black interior).</w:t>
      </w:r>
    </w:p>
    <w:p>
      <w:pPr>
        <w:pStyle w:val="ListParagraph"/>
        <w:numPr>
          <w:ilvl w:val="0"/>
          <w:numId w:val="1"/>
        </w:numPr>
        <w:spacing w:after="80"/>
      </w:pPr>
      <w:r>
        <w:rPr>
          <w:sz w:val="22"/>
          <w:szCs w:val="22"/>
        </w:rPr>
        <w:t xml:space="preserve">Financial flow: Dealers likely pay IMC largely on an advance-payment or short-credit basis (common in Pakistan's auto sector given high demand and historically long booking-to-delivery waits), while the end customer pays the dealer upfront or through auto-financing/leasing arrangements before taking delivery.</w:t>
      </w:r>
    </w:p>
    <w:p>
      <w:pPr>
        <w:pStyle w:val="Heading1"/>
        <w:spacing w:after="150" w:before="300"/>
      </w:pPr>
      <w:r>
        <w:t xml:space="preserve">5. Simple Text Diagram</w:t>
      </w:r>
    </w:p>
    <w:p>
      <w:pPr>
        <w:pBdr>
          <w:top w:val="single" w:color="999999" w:sz="4"/>
          <w:bottom w:val="single" w:color="999999" w:sz="4"/>
          <w:left w:val="single" w:color="999999" w:sz="4"/>
          <w:right w:val="single" w:color="999999" w:sz="4"/>
        </w:pBdr>
        <w:shd w:fill="F2F2F2" w:val="clear"/>
        <w:spacing w:after="200"/>
      </w:pPr>
      <w:r>
        <w:rPr>
          <w:i/>
          <w:iCs/>
          <w:sz w:val="20"/>
          <w:szCs w:val="20"/>
        </w:rPr>
        <w:t xml:space="preserve">Imported Steel Coil / Polymer Resin / CKD Engine Kits (China, Japan, Thailand, etc.) → Tier 1 Vendors (Stamping, Upholstery, Injection-Molding, CKD Parts Consolidator — Karachi industrial belt) → IMC Factory (Port Qasim, Karachi) → Regional Staging/Dealer Stockyard → Authorized 3S Dealership → Customer</w:t>
      </w:r>
    </w:p>
    <w:p>
      <w:pPr>
        <w:pStyle w:val="Heading1"/>
        <w:spacing w:after="150" w:before="300"/>
      </w:pPr>
      <w:r>
        <w:t xml:space="preserve">6. Lead Time Estimates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700"/>
      </w:tblGrid>
      <w:tr>
        <w:trPr>
          <w:tblHeader/>
        </w:trPr>
        <w:tc>
          <w:tcPr>
            <w:tcW w:type="dxa" w:w="2700"/>
            <w:shd w:fill="1F3864" w:val="clear"/>
            <w:tcMar>
              <w:top w:type="dxa" w:w="100"/>
              <w:left w:type="dxa" w:w="120"/>
              <w:bottom w:type="dxa" w:w="100"/>
              <w:right w:type="dxa" w:w="120"/>
            </w:tcMar>
            <w:vAlign w:val="center"/>
          </w:tcPr>
          <w:p>
            <w:r>
              <w:rPr>
                <w:b/>
                <w:bCs/>
                <w:color w:val="FFFFFF"/>
                <w:sz w:val="20"/>
                <w:szCs w:val="20"/>
              </w:rPr>
              <w:t xml:space="preserve">Link</w:t>
            </w:r>
          </w:p>
        </w:tc>
        <w:tc>
          <w:tcPr>
            <w:tcW w:type="dxa" w:w="1800"/>
            <w:shd w:fill="1F3864" w:val="clear"/>
            <w:tcMar>
              <w:top w:type="dxa" w:w="100"/>
              <w:left w:type="dxa" w:w="120"/>
              <w:bottom w:type="dxa" w:w="100"/>
              <w:right w:type="dxa" w:w="120"/>
            </w:tcMar>
            <w:vAlign w:val="center"/>
          </w:tcPr>
          <w:p>
            <w:r>
              <w:rPr>
                <w:b/>
                <w:bCs/>
                <w:color w:val="FFFFFF"/>
                <w:sz w:val="20"/>
                <w:szCs w:val="20"/>
              </w:rPr>
              <w:t xml:space="preserve">Plausible Lead Time</w:t>
            </w:r>
          </w:p>
        </w:tc>
        <w:tc>
          <w:tcPr>
            <w:tcW w:type="dxa" w:w="4700"/>
            <w:shd w:fill="1F3864" w:val="clear"/>
            <w:tcMar>
              <w:top w:type="dxa" w:w="100"/>
              <w:left w:type="dxa" w:w="120"/>
              <w:bottom w:type="dxa" w:w="100"/>
              <w:right w:type="dxa" w:w="120"/>
            </w:tcMar>
            <w:vAlign w:val="center"/>
          </w:tcPr>
          <w:p>
            <w:r>
              <w:rPr>
                <w:b/>
                <w:bCs/>
                <w:color w:val="FFFFFF"/>
                <w:sz w:val="20"/>
                <w:szCs w:val="20"/>
              </w:rPr>
              <w:t xml:space="preserve">Reasoning</w:t>
            </w:r>
          </w:p>
        </w:tc>
      </w:tr>
      <w:tr>
        <w:tc>
          <w:tcPr>
            <w:tcW w:type="dxa" w:w="2700"/>
            <w:tcMar>
              <w:top w:type="dxa" w:w="100"/>
              <w:left w:type="dxa" w:w="120"/>
              <w:bottom w:type="dxa" w:w="100"/>
              <w:right w:type="dxa" w:w="120"/>
            </w:tcMar>
            <w:vAlign w:val="center"/>
          </w:tcPr>
          <w:p>
            <w:r>
              <w:rPr>
                <w:b w:val="false"/>
                <w:bCs w:val="false"/>
                <w:sz w:val="20"/>
                <w:szCs w:val="20"/>
              </w:rPr>
              <w:t xml:space="preserve">Tier 2 raw material → Tier 1 supplier</w:t>
            </w:r>
          </w:p>
        </w:tc>
        <w:tc>
          <w:tcPr>
            <w:tcW w:type="dxa" w:w="1800"/>
            <w:tcMar>
              <w:top w:type="dxa" w:w="100"/>
              <w:left w:type="dxa" w:w="120"/>
              <w:bottom w:type="dxa" w:w="100"/>
              <w:right w:type="dxa" w:w="120"/>
            </w:tcMar>
            <w:vAlign w:val="center"/>
          </w:tcPr>
          <w:p>
            <w:r>
              <w:rPr>
                <w:b w:val="false"/>
                <w:bCs w:val="false"/>
                <w:sz w:val="20"/>
                <w:szCs w:val="20"/>
              </w:rPr>
              <w:t xml:space="preserve">20–45 days</w:t>
            </w:r>
          </w:p>
        </w:tc>
        <w:tc>
          <w:tcPr>
            <w:tcW w:type="dxa" w:w="4700"/>
            <w:tcMar>
              <w:top w:type="dxa" w:w="100"/>
              <w:left w:type="dxa" w:w="120"/>
              <w:bottom w:type="dxa" w:w="100"/>
              <w:right w:type="dxa" w:w="120"/>
            </w:tcMar>
            <w:vAlign w:val="center"/>
          </w:tcPr>
          <w:p>
            <w:r>
              <w:rPr>
                <w:b w:val="false"/>
                <w:bCs w:val="false"/>
                <w:sz w:val="20"/>
                <w:szCs w:val="20"/>
              </w:rPr>
              <w:t xml:space="preserve">Imported steel/resin/CKD kits require ocean freight from East Asia plus customs clearance at Karachi port</w:t>
            </w:r>
          </w:p>
        </w:tc>
      </w:tr>
      <w:tr>
        <w:tc>
          <w:tcPr>
            <w:tcW w:type="dxa" w:w="2700"/>
            <w:tcMar>
              <w:top w:type="dxa" w:w="100"/>
              <w:left w:type="dxa" w:w="120"/>
              <w:bottom w:type="dxa" w:w="100"/>
              <w:right w:type="dxa" w:w="120"/>
            </w:tcMar>
            <w:vAlign w:val="center"/>
          </w:tcPr>
          <w:p>
            <w:r>
              <w:rPr>
                <w:b w:val="false"/>
                <w:bCs w:val="false"/>
                <w:sz w:val="20"/>
                <w:szCs w:val="20"/>
              </w:rPr>
              <w:t xml:space="preserve">Tier 1 supplier → IMC Factory</w:t>
            </w:r>
          </w:p>
        </w:tc>
        <w:tc>
          <w:tcPr>
            <w:tcW w:type="dxa" w:w="1800"/>
            <w:tcMar>
              <w:top w:type="dxa" w:w="100"/>
              <w:left w:type="dxa" w:w="120"/>
              <w:bottom w:type="dxa" w:w="100"/>
              <w:right w:type="dxa" w:w="120"/>
            </w:tcMar>
            <w:vAlign w:val="center"/>
          </w:tcPr>
          <w:p>
            <w:r>
              <w:rPr>
                <w:b w:val="false"/>
                <w:bCs w:val="false"/>
                <w:sz w:val="20"/>
                <w:szCs w:val="20"/>
              </w:rPr>
              <w:t xml:space="preserve">1–5 days</w:t>
            </w:r>
          </w:p>
        </w:tc>
        <w:tc>
          <w:tcPr>
            <w:tcW w:type="dxa" w:w="4700"/>
            <w:tcMar>
              <w:top w:type="dxa" w:w="100"/>
              <w:left w:type="dxa" w:w="120"/>
              <w:bottom w:type="dxa" w:w="100"/>
              <w:right w:type="dxa" w:w="120"/>
            </w:tcMar>
            <w:vAlign w:val="center"/>
          </w:tcPr>
          <w:p>
            <w:r>
              <w:rPr>
                <w:b w:val="false"/>
                <w:bCs w:val="false"/>
                <w:sz w:val="20"/>
                <w:szCs w:val="20"/>
              </w:rPr>
              <w:t xml:space="preserve">Most Tier 1 vendors are clustered near Port Qasim/Karachi industrial zones, so inbound logistics to the plant is short and often just-in-time</w:t>
            </w:r>
          </w:p>
        </w:tc>
      </w:tr>
      <w:tr>
        <w:tc>
          <w:tcPr>
            <w:tcW w:type="dxa" w:w="2700"/>
            <w:tcMar>
              <w:top w:type="dxa" w:w="100"/>
              <w:left w:type="dxa" w:w="120"/>
              <w:bottom w:type="dxa" w:w="100"/>
              <w:right w:type="dxa" w:w="120"/>
            </w:tcMar>
            <w:vAlign w:val="center"/>
          </w:tcPr>
          <w:p>
            <w:r>
              <w:rPr>
                <w:b w:val="false"/>
                <w:bCs w:val="false"/>
                <w:sz w:val="20"/>
                <w:szCs w:val="20"/>
              </w:rPr>
              <w:t xml:space="preserve">Factory (full assembly cycle)</w:t>
            </w:r>
          </w:p>
        </w:tc>
        <w:tc>
          <w:tcPr>
            <w:tcW w:type="dxa" w:w="1800"/>
            <w:tcMar>
              <w:top w:type="dxa" w:w="100"/>
              <w:left w:type="dxa" w:w="120"/>
              <w:bottom w:type="dxa" w:w="100"/>
              <w:right w:type="dxa" w:w="120"/>
            </w:tcMar>
            <w:vAlign w:val="center"/>
          </w:tcPr>
          <w:p>
            <w:r>
              <w:rPr>
                <w:b w:val="false"/>
                <w:bCs w:val="false"/>
                <w:sz w:val="20"/>
                <w:szCs w:val="20"/>
              </w:rPr>
              <w:t xml:space="preserve">1–3 days per vehicle</w:t>
            </w:r>
          </w:p>
        </w:tc>
        <w:tc>
          <w:tcPr>
            <w:tcW w:type="dxa" w:w="4700"/>
            <w:tcMar>
              <w:top w:type="dxa" w:w="100"/>
              <w:left w:type="dxa" w:w="120"/>
              <w:bottom w:type="dxa" w:w="100"/>
              <w:right w:type="dxa" w:w="120"/>
            </w:tcMar>
            <w:vAlign w:val="center"/>
          </w:tcPr>
          <w:p>
            <w:r>
              <w:rPr>
                <w:b w:val="false"/>
                <w:bCs w:val="false"/>
                <w:sz w:val="20"/>
                <w:szCs w:val="20"/>
              </w:rPr>
              <w:t xml:space="preserve">Modern assembly lines move a unit through stamping-to-final-inspection in a few days, though painting and curing add hours of dwell time within that</w:t>
            </w:r>
          </w:p>
        </w:tc>
      </w:tr>
      <w:tr>
        <w:tc>
          <w:tcPr>
            <w:tcW w:type="dxa" w:w="2700"/>
            <w:tcMar>
              <w:top w:type="dxa" w:w="100"/>
              <w:left w:type="dxa" w:w="120"/>
              <w:bottom w:type="dxa" w:w="100"/>
              <w:right w:type="dxa" w:w="120"/>
            </w:tcMar>
            <w:vAlign w:val="center"/>
          </w:tcPr>
          <w:p>
            <w:r>
              <w:rPr>
                <w:b w:val="false"/>
                <w:bCs w:val="false"/>
                <w:sz w:val="20"/>
                <w:szCs w:val="20"/>
              </w:rPr>
              <w:t xml:space="preserve">Factory → Regional DC/Dealer stockyard</w:t>
            </w:r>
          </w:p>
        </w:tc>
        <w:tc>
          <w:tcPr>
            <w:tcW w:type="dxa" w:w="1800"/>
            <w:tcMar>
              <w:top w:type="dxa" w:w="100"/>
              <w:left w:type="dxa" w:w="120"/>
              <w:bottom w:type="dxa" w:w="100"/>
              <w:right w:type="dxa" w:w="120"/>
            </w:tcMar>
            <w:vAlign w:val="center"/>
          </w:tcPr>
          <w:p>
            <w:r>
              <w:rPr>
                <w:b w:val="false"/>
                <w:bCs w:val="false"/>
                <w:sz w:val="20"/>
                <w:szCs w:val="20"/>
              </w:rPr>
              <w:t xml:space="preserve">2–7 days</w:t>
            </w:r>
          </w:p>
        </w:tc>
        <w:tc>
          <w:tcPr>
            <w:tcW w:type="dxa" w:w="4700"/>
            <w:tcMar>
              <w:top w:type="dxa" w:w="100"/>
              <w:left w:type="dxa" w:w="120"/>
              <w:bottom w:type="dxa" w:w="100"/>
              <w:right w:type="dxa" w:w="120"/>
            </w:tcMar>
            <w:vAlign w:val="center"/>
          </w:tcPr>
          <w:p>
            <w:r>
              <w:rPr>
                <w:b w:val="false"/>
                <w:bCs w:val="false"/>
                <w:sz w:val="20"/>
                <w:szCs w:val="20"/>
              </w:rPr>
              <w:t xml:space="preserve">Depends on destination city; Karachi-based dealers receive units almost immediately, while Lahore/Islamabad/Peshawar dealers need overland transport</w:t>
            </w:r>
          </w:p>
        </w:tc>
      </w:tr>
      <w:tr>
        <w:tc>
          <w:tcPr>
            <w:tcW w:type="dxa" w:w="2700"/>
            <w:tcMar>
              <w:top w:type="dxa" w:w="100"/>
              <w:left w:type="dxa" w:w="120"/>
              <w:bottom w:type="dxa" w:w="100"/>
              <w:right w:type="dxa" w:w="120"/>
            </w:tcMar>
            <w:vAlign w:val="center"/>
          </w:tcPr>
          <w:p>
            <w:r>
              <w:rPr>
                <w:b w:val="false"/>
                <w:bCs w:val="false"/>
                <w:sz w:val="20"/>
                <w:szCs w:val="20"/>
              </w:rPr>
              <w:t xml:space="preserve">Dealer stockyard → Customer delivery</w:t>
            </w:r>
          </w:p>
        </w:tc>
        <w:tc>
          <w:tcPr>
            <w:tcW w:type="dxa" w:w="1800"/>
            <w:tcMar>
              <w:top w:type="dxa" w:w="100"/>
              <w:left w:type="dxa" w:w="120"/>
              <w:bottom w:type="dxa" w:w="100"/>
              <w:right w:type="dxa" w:w="120"/>
            </w:tcMar>
            <w:vAlign w:val="center"/>
          </w:tcPr>
          <w:p>
            <w:r>
              <w:rPr>
                <w:b w:val="false"/>
                <w:bCs w:val="false"/>
                <w:sz w:val="20"/>
                <w:szCs w:val="20"/>
              </w:rPr>
              <w:t xml:space="preserve">1–14+ days (highly variable)</w:t>
            </w:r>
          </w:p>
        </w:tc>
        <w:tc>
          <w:tcPr>
            <w:tcW w:type="dxa" w:w="4700"/>
            <w:tcMar>
              <w:top w:type="dxa" w:w="100"/>
              <w:left w:type="dxa" w:w="120"/>
              <w:bottom w:type="dxa" w:w="100"/>
              <w:right w:type="dxa" w:w="120"/>
            </w:tcMar>
            <w:vAlign w:val="center"/>
          </w:tcPr>
          <w:p>
            <w:r>
              <w:rPr>
                <w:b w:val="false"/>
                <w:bCs w:val="false"/>
                <w:sz w:val="20"/>
                <w:szCs w:val="20"/>
              </w:rPr>
              <w:t xml:space="preserve">Depends on whether the specific variant/color is in stock or a booking backlog exists; Pakistan's auto sector has historically seen booking-to-delivery waits stretch to weeks or months during high-demand periods</w:t>
            </w:r>
          </w:p>
        </w:tc>
      </w:tr>
    </w:tbl>
    <w:p>
      <w:pPr>
        <w:pStyle w:val="Heading1"/>
        <w:spacing w:after="150" w:before="300"/>
      </w:pPr>
      <w:r>
        <w:t xml:space="preserve">Assumptions</w:t>
      </w:r>
    </w:p>
    <w:p>
      <w:pPr>
        <w:spacing w:after="150"/>
      </w:pPr>
      <w:r>
        <w:rPr>
          <w:b w:val="false"/>
          <w:bCs w:val="false"/>
          <w:i w:val="false"/>
          <w:iCs w:val="false"/>
          <w:sz w:val="22"/>
          <w:szCs w:val="22"/>
        </w:rPr>
        <w:t xml:space="preserve">This map assumes IMC's Corolla sourcing mirrors typical CKD/progressive-manufacturing practice in Pakistan's auto sector — a mix of imported engine/drivetrain kits and locally vendor-made body, trim, and interior components — since exact supplier names and localization ratios are not public. The choice of "black interior" as a variant is treated as a trim-level SKU decision made late in the process (paint/trim stage) rather than a separate supply chain, which is a simplification. Lead times, the painting-stage bottleneck, and the two-tier dealer distribution model are educated estimates based on how vehicle assemblers generally operate, not on IMC's actual production data, vendor contracts, or logistics routing. A real internal supply chain map would show named Tier 1 vendors (several of which are known industry-wide, though this map deliberately avoids naming any), exact localization percentages under Pakistan's auto policy, actual freight and customs lead times, dealer-specific inventory data, and firm-level payment terms — none of which are publicly disclosed at the level of detail a course project would ideally want. Treat every specific number and vendor type here as a reasonable placeholder for classroom illustration, not a verified fact about Indus Motor Company.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2026-09-08T12:12:48.256Z</dcterms:created>
  <dcterms:modified xsi:type="dcterms:W3CDTF">2026-09-08T12:12:48.267Z</dcterms:modified>
</cp:coreProperties>
</file>

<file path=docProps/custom.xml><?xml version="1.0" encoding="utf-8"?>
<Properties xmlns="http://schemas.openxmlformats.org/officeDocument/2006/custom-properties" xmlns:vt="http://schemas.openxmlformats.org/officeDocument/2006/docPropsVTypes"/>
</file>