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u w:val="single"/>
        </w:rPr>
      </w:pPr>
      <w:r>
        <w:rPr>
          <w:b/>
          <w:sz w:val="36"/>
          <w:u w:val="single"/>
        </w:rPr>
        <w:t>Deciphering the 7E Tax: An In-Depth Guide to Deemed Income on Immovable Property in Pakistan as of March 2024</w:t>
      </w:r>
    </w:p>
    <w:p/>
    <w:p>
      <w:pPr>
        <w:jc w:val="both"/>
        <w:rPr>
          <w:sz w:val="24"/>
          <w:szCs w:val="24"/>
        </w:rPr>
      </w:pPr>
      <w:r>
        <w:rPr>
          <w:sz w:val="24"/>
          <w:szCs w:val="24"/>
        </w:rPr>
        <w:t>Section 7E of the Income Tax Ordinance, 2001, introduced via the Finance Act of 2022, mandates taxation on deemed income stemming from immovable property located within Pakistan. Herein lies an extensive exploration of its nuances and implications.</w:t>
      </w:r>
    </w:p>
    <w:p/>
    <w:p>
      <w:pPr>
        <w:rPr>
          <w:b/>
          <w:u w:val="single"/>
        </w:rPr>
      </w:pPr>
      <w:r>
        <w:rPr>
          <w:b/>
          <w:sz w:val="32"/>
          <w:u w:val="single"/>
        </w:rPr>
        <w:t>Grasping the Basics: Understanding the 7E Tax</w:t>
      </w:r>
    </w:p>
    <w:p/>
    <w:p>
      <w:pPr>
        <w:jc w:val="both"/>
      </w:pPr>
      <w:r>
        <w:rPr>
          <w:sz w:val="24"/>
          <w:szCs w:val="24"/>
        </w:rPr>
        <w:t>The crux of the 7E tax entails imposing a charge on resident individuals deemed to have accrued income equivalent to 5% of the fair market value of their capital assets, encompassing land and buildings within Pakistan. This deemed income is subject to a tax rate of 20%, effectively amounting to 1% of the property's fair market value.</w:t>
      </w:r>
    </w:p>
    <w:p/>
    <w:p>
      <w:pPr>
        <w:rPr>
          <w:b/>
          <w:sz w:val="32"/>
          <w:u w:val="single"/>
        </w:rPr>
      </w:pPr>
      <w:r>
        <w:rPr>
          <w:b/>
          <w:sz w:val="32"/>
          <w:u w:val="single"/>
        </w:rPr>
        <w:t>Navigating Exemptions and Exclusions:</w:t>
      </w:r>
    </w:p>
    <w:p>
      <w:pPr>
        <w:rPr>
          <w:sz w:val="24"/>
          <w:szCs w:val="24"/>
        </w:rPr>
      </w:pPr>
    </w:p>
    <w:p>
      <w:pPr>
        <w:jc w:val="both"/>
        <w:rPr>
          <w:sz w:val="22"/>
          <w:szCs w:val="22"/>
        </w:rPr>
      </w:pPr>
      <w:r>
        <w:rPr>
          <w:sz w:val="24"/>
          <w:szCs w:val="24"/>
        </w:rPr>
        <w:t>While the 7E tax may seem all-encompassing, several exemptions and exclusions provide respite to specific groups of individuals and properties.</w:t>
      </w:r>
    </w:p>
    <w:p>
      <w:pPr>
        <w:rPr>
          <w:sz w:val="24"/>
          <w:szCs w:val="24"/>
        </w:rPr>
      </w:pPr>
    </w:p>
    <w:p>
      <w:pPr>
        <w:rPr>
          <w:b/>
          <w:sz w:val="24"/>
          <w:szCs w:val="24"/>
          <w:u w:val="single"/>
        </w:rPr>
      </w:pPr>
      <w:r>
        <w:rPr>
          <w:b/>
          <w:sz w:val="24"/>
          <w:szCs w:val="24"/>
          <w:u w:val="single"/>
        </w:rPr>
        <w:t>Exemptions by Individual Category:</w:t>
      </w:r>
    </w:p>
    <w:p>
      <w:pPr>
        <w:jc w:val="both"/>
        <w:rPr>
          <w:sz w:val="24"/>
          <w:szCs w:val="24"/>
        </w:rPr>
      </w:pPr>
      <w:r>
        <w:rPr>
          <w:sz w:val="24"/>
          <w:szCs w:val="24"/>
        </w:rPr>
        <w:t>- Families of martyrs (Shaheed) and individuals who sacrificed their lives while serving in the Armed Forces, Federal or Provincial Governments.</w:t>
      </w:r>
    </w:p>
    <w:p>
      <w:pPr>
        <w:jc w:val="both"/>
        <w:rPr>
          <w:sz w:val="24"/>
          <w:szCs w:val="24"/>
        </w:rPr>
      </w:pPr>
      <w:r>
        <w:rPr>
          <w:sz w:val="24"/>
          <w:szCs w:val="24"/>
        </w:rPr>
        <w:t>- Individuals wounded during such service.</w:t>
      </w:r>
    </w:p>
    <w:p>
      <w:pPr>
        <w:jc w:val="both"/>
        <w:rPr>
          <w:sz w:val="24"/>
          <w:szCs w:val="24"/>
        </w:rPr>
      </w:pPr>
    </w:p>
    <w:p>
      <w:pPr>
        <w:jc w:val="both"/>
        <w:rPr>
          <w:b/>
          <w:sz w:val="24"/>
          <w:szCs w:val="24"/>
          <w:u w:val="single"/>
        </w:rPr>
      </w:pPr>
      <w:r>
        <w:rPr>
          <w:b/>
          <w:sz w:val="24"/>
          <w:szCs w:val="24"/>
          <w:u w:val="single"/>
        </w:rPr>
        <w:t>Exemption by Asset Category:</w:t>
      </w:r>
    </w:p>
    <w:p>
      <w:pPr>
        <w:jc w:val="both"/>
        <w:rPr>
          <w:sz w:val="24"/>
          <w:szCs w:val="24"/>
        </w:rPr>
      </w:pPr>
      <w:r>
        <w:rPr>
          <w:sz w:val="24"/>
          <w:szCs w:val="24"/>
        </w:rPr>
        <w:t>- Single-owned capital assets of a resident individual.</w:t>
      </w:r>
    </w:p>
    <w:p>
      <w:pPr>
        <w:jc w:val="both"/>
        <w:rPr>
          <w:sz w:val="24"/>
          <w:szCs w:val="24"/>
        </w:rPr>
      </w:pPr>
      <w:r>
        <w:rPr>
          <w:sz w:val="24"/>
          <w:szCs w:val="24"/>
        </w:rPr>
        <w:t>- Self-owned business premises where active business operations are conducted.</w:t>
      </w:r>
    </w:p>
    <w:p>
      <w:pPr>
        <w:jc w:val="both"/>
        <w:rPr>
          <w:sz w:val="24"/>
          <w:szCs w:val="24"/>
        </w:rPr>
      </w:pPr>
      <w:r>
        <w:rPr>
          <w:sz w:val="24"/>
          <w:szCs w:val="24"/>
        </w:rPr>
        <w:t>- Self-owned agricultural land actively utilized for agricultural purposes, excluding farmhouses and annexed land.</w:t>
      </w:r>
    </w:p>
    <w:p>
      <w:pPr>
        <w:jc w:val="both"/>
        <w:rPr>
          <w:sz w:val="24"/>
          <w:szCs w:val="24"/>
        </w:rPr>
      </w:pPr>
      <w:r>
        <w:rPr>
          <w:sz w:val="24"/>
          <w:szCs w:val="24"/>
        </w:rPr>
        <w:t>- Properties already taxed under existing regulations.</w:t>
      </w:r>
    </w:p>
    <w:p>
      <w:pPr>
        <w:jc w:val="both"/>
        <w:rPr>
          <w:sz w:val="24"/>
          <w:szCs w:val="24"/>
        </w:rPr>
      </w:pPr>
      <w:r>
        <w:rPr>
          <w:b/>
          <w:sz w:val="24"/>
          <w:szCs w:val="24"/>
          <w:u w:val="single"/>
        </w:rPr>
        <w:t>Additional Exclusions:</w:t>
      </w:r>
      <w:bookmarkStart w:id="0" w:name="_GoBack"/>
      <w:bookmarkEnd w:id="0"/>
    </w:p>
    <w:p>
      <w:pPr>
        <w:jc w:val="both"/>
        <w:rPr>
          <w:sz w:val="24"/>
          <w:szCs w:val="24"/>
        </w:rPr>
      </w:pPr>
      <w:r>
        <w:rPr>
          <w:sz w:val="24"/>
          <w:szCs w:val="24"/>
        </w:rPr>
        <w:t>- Capital assets acquired within the first year, provided tax under section 236K has been duly paid.</w:t>
      </w:r>
    </w:p>
    <w:p>
      <w:pPr>
        <w:jc w:val="both"/>
        <w:rPr>
          <w:sz w:val="24"/>
          <w:szCs w:val="24"/>
        </w:rPr>
      </w:pPr>
      <w:r>
        <w:rPr>
          <w:sz w:val="24"/>
          <w:szCs w:val="24"/>
        </w:rPr>
        <w:t>- Assets with a total aggregate fair market value not exceeding PKR 25 million, excluding specified categories as mentioned above.</w:t>
      </w:r>
    </w:p>
    <w:p>
      <w:pPr>
        <w:jc w:val="both"/>
        <w:rPr>
          <w:sz w:val="24"/>
          <w:szCs w:val="24"/>
        </w:rPr>
      </w:pPr>
      <w:r>
        <w:rPr>
          <w:sz w:val="24"/>
          <w:szCs w:val="24"/>
        </w:rPr>
        <w:t>- Assets owned by various government entities, including provincial and local governments, local authorities, and development authorities.</w:t>
      </w:r>
    </w:p>
    <w:p>
      <w:pPr>
        <w:jc w:val="both"/>
        <w:rPr>
          <w:sz w:val="24"/>
          <w:szCs w:val="24"/>
        </w:rPr>
      </w:pPr>
      <w:r>
        <w:rPr>
          <w:sz w:val="24"/>
          <w:szCs w:val="24"/>
        </w:rPr>
        <w:t>- Assets owned by registered builders and developers under the Directorate General of Designated Non-Financial Businesses and Professions.</w:t>
      </w:r>
    </w:p>
    <w:p>
      <w:pPr>
        <w:jc w:val="both"/>
        <w:rPr>
          <w:sz w:val="24"/>
          <w:szCs w:val="24"/>
        </w:rPr>
      </w:pPr>
    </w:p>
    <w:p>
      <w:pPr>
        <w:jc w:val="both"/>
      </w:pPr>
      <w:r>
        <w:rPr>
          <w:sz w:val="24"/>
          <w:szCs w:val="24"/>
        </w:rPr>
        <w:t>In essence, the 7E tax primarily focuses on deemed income from specific immovable properties, while exempting a substantial portion of assets based on ownership categories, property usage, and prevailing tax regulations. It is strongly advised to seek guidance from proficient tax professionals to navigate individual circumstances and ensure adherence to the 7E tax provisions.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14E16"/>
    <w:rsid w:val="00814E16"/>
    <w:rsid w:val="00A07416"/>
    <w:rsid w:val="2B4E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358</Words>
  <Characters>2044</Characters>
  <Lines>17</Lines>
  <Paragraphs>4</Paragraphs>
  <TotalTime>4</TotalTime>
  <ScaleCrop>false</ScaleCrop>
  <LinksUpToDate>false</LinksUpToDate>
  <CharactersWithSpaces>2398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2024-03-22T17:07:00Z</dcterms:created>
  <dc:creator>DANISH LAPTOP</dc:creator>
  <cp:lastModifiedBy>DANISH LAPTOP</cp:lastModifiedBy>
  <dcterms:modified xsi:type="dcterms:W3CDTF">2024-04-18T18:07:07Z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A868ACAABF7344398670D2D4221DEE21_12</vt:lpwstr>
  </property>
</Properties>
</file>