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13C0" w14:textId="77777777" w:rsidR="00F56CD3" w:rsidRDefault="00F56CD3">
      <w:pPr>
        <w:bidi/>
        <w:spacing w:after="0"/>
      </w:pPr>
    </w:p>
    <w:p w14:paraId="070576DC" w14:textId="77777777" w:rsidR="00F56CD3" w:rsidRDefault="00F56CD3">
      <w:pPr>
        <w:bidi/>
        <w:spacing w:after="0"/>
      </w:pPr>
    </w:p>
    <w:p w14:paraId="77AD7BAF" w14:textId="77777777" w:rsidR="00F56CD3" w:rsidRDefault="00F56CD3">
      <w:pPr>
        <w:bidi/>
        <w:spacing w:after="0"/>
      </w:pPr>
    </w:p>
    <w:p w14:paraId="6B70255B" w14:textId="157B256F" w:rsidR="00F56CD3" w:rsidRDefault="004A2CFE" w:rsidP="0095362F">
      <w:pPr>
        <w:bidi/>
        <w:jc w:val="center"/>
      </w:pPr>
      <w:r>
        <w:rPr>
          <w:rFonts w:eastAsia="Traditional Arabic"/>
          <w:b/>
          <w:bCs/>
          <w:color w:val="B88A36"/>
          <w:sz w:val="44"/>
          <w:szCs w:val="44"/>
          <w:rtl/>
        </w:rPr>
        <w:t>◆  ◆  ◆</w:t>
      </w:r>
    </w:p>
    <w:p w14:paraId="4855FA56" w14:textId="77777777" w:rsidR="00F56CD3" w:rsidRDefault="004A2CFE">
      <w:pPr>
        <w:bidi/>
        <w:spacing w:after="120"/>
        <w:jc w:val="center"/>
      </w:pPr>
      <w:r>
        <w:rPr>
          <w:rFonts w:eastAsia="Traditional Arabic"/>
          <w:color w:val="707070"/>
          <w:rtl/>
        </w:rPr>
        <w:t>........................................</w:t>
      </w:r>
    </w:p>
    <w:p w14:paraId="500AFCA4" w14:textId="7974D1E7" w:rsidR="00F56CD3" w:rsidRDefault="004A2CFE" w:rsidP="00EC0863">
      <w:pPr>
        <w:bidi/>
        <w:spacing w:after="480"/>
        <w:jc w:val="center"/>
      </w:pPr>
      <w:r>
        <w:rPr>
          <w:rFonts w:eastAsia="Traditional Arabic"/>
          <w:color w:val="707070"/>
          <w:rtl/>
        </w:rPr>
        <w:t>........................................</w:t>
      </w:r>
    </w:p>
    <w:p w14:paraId="508B08ED" w14:textId="77777777" w:rsidR="00F56CD3" w:rsidRDefault="004A2CFE">
      <w:pPr>
        <w:bidi/>
        <w:spacing w:after="160"/>
        <w:jc w:val="center"/>
      </w:pPr>
      <w:r>
        <w:rPr>
          <w:rFonts w:eastAsia="Traditional Arabic"/>
          <w:b/>
          <w:bCs/>
          <w:color w:val="0B3D2E"/>
          <w:sz w:val="56"/>
          <w:szCs w:val="56"/>
          <w:rtl/>
        </w:rPr>
        <w:t>بطالة خريجات الجامعات</w:t>
      </w:r>
    </w:p>
    <w:p w14:paraId="00E254C7" w14:textId="77777777" w:rsidR="00F56CD3" w:rsidRDefault="004A2CFE">
      <w:pPr>
        <w:bidi/>
        <w:spacing w:after="400"/>
        <w:jc w:val="center"/>
      </w:pPr>
      <w:r>
        <w:rPr>
          <w:rFonts w:eastAsia="Traditional Arabic"/>
          <w:b/>
          <w:bCs/>
          <w:color w:val="0B3D2E"/>
          <w:sz w:val="56"/>
          <w:szCs w:val="56"/>
          <w:rtl/>
        </w:rPr>
        <w:t>وتمكين المرأة اقتصاديًا</w:t>
      </w:r>
    </w:p>
    <w:p w14:paraId="05DB0042" w14:textId="77777777" w:rsidR="00F56CD3" w:rsidRDefault="004A2CFE">
      <w:pPr>
        <w:bidi/>
        <w:spacing w:after="600"/>
        <w:jc w:val="center"/>
      </w:pPr>
      <w:r>
        <w:rPr>
          <w:rFonts w:eastAsia="Traditional Arabic"/>
          <w:color w:val="B88A36"/>
          <w:sz w:val="36"/>
          <w:szCs w:val="36"/>
          <w:rtl/>
        </w:rPr>
        <w:t>دراسة أكاديمية في ضوء علم الاجتماع الاقتصادي ورؤية السعودية 2030</w:t>
      </w:r>
    </w:p>
    <w:p w14:paraId="3DA58CAA" w14:textId="77777777" w:rsidR="00F56CD3" w:rsidRDefault="004A2CFE">
      <w:pPr>
        <w:bidi/>
        <w:spacing w:after="600"/>
        <w:jc w:val="center"/>
      </w:pPr>
      <w:r>
        <w:rPr>
          <w:rFonts w:eastAsia="Traditional Arabic"/>
          <w:color w:val="B88A36"/>
          <w:sz w:val="24"/>
          <w:szCs w:val="24"/>
          <w:rtl/>
        </w:rPr>
        <w:t>●  ●  ●  ●  ●  ●  ●  ●  ●  ●</w:t>
      </w:r>
    </w:p>
    <w:p w14:paraId="13122CF1" w14:textId="77777777" w:rsidR="00F56CD3" w:rsidRDefault="004A2CFE">
      <w:pPr>
        <w:bidi/>
        <w:jc w:val="center"/>
      </w:pPr>
      <w:r>
        <w:rPr>
          <w:rFonts w:eastAsia="Traditional Arabic"/>
          <w:b/>
          <w:bCs/>
          <w:color w:val="0B3D2E"/>
          <w:sz w:val="36"/>
          <w:szCs w:val="36"/>
          <w:rtl/>
        </w:rPr>
        <w:t>إعداد الطالبات</w:t>
      </w:r>
    </w:p>
    <w:p w14:paraId="3B52C6E2" w14:textId="77777777" w:rsidR="00F56CD3" w:rsidRDefault="004A2CFE">
      <w:pPr>
        <w:bidi/>
        <w:spacing w:after="40"/>
        <w:jc w:val="center"/>
      </w:pPr>
      <w:r>
        <w:rPr>
          <w:rFonts w:eastAsia="Traditional Arabic"/>
          <w:color w:val="202020"/>
          <w:sz w:val="30"/>
          <w:szCs w:val="30"/>
          <w:rtl/>
        </w:rPr>
        <w:t>ربى السلمي</w:t>
      </w:r>
    </w:p>
    <w:p w14:paraId="71A4A1D1" w14:textId="77777777" w:rsidR="00F56CD3" w:rsidRDefault="004A2CFE">
      <w:pPr>
        <w:bidi/>
        <w:spacing w:after="40"/>
        <w:jc w:val="center"/>
      </w:pPr>
      <w:r>
        <w:rPr>
          <w:rFonts w:eastAsia="Traditional Arabic"/>
          <w:color w:val="202020"/>
          <w:sz w:val="30"/>
          <w:szCs w:val="30"/>
          <w:rtl/>
        </w:rPr>
        <w:t>لينا البلادي</w:t>
      </w:r>
    </w:p>
    <w:p w14:paraId="53E0C756" w14:textId="77777777" w:rsidR="00F56CD3" w:rsidRDefault="004A2CFE">
      <w:pPr>
        <w:bidi/>
        <w:spacing w:after="40"/>
        <w:jc w:val="center"/>
      </w:pPr>
      <w:r>
        <w:rPr>
          <w:rFonts w:eastAsia="Traditional Arabic"/>
          <w:color w:val="202020"/>
          <w:sz w:val="30"/>
          <w:szCs w:val="30"/>
          <w:rtl/>
        </w:rPr>
        <w:t>جودي السلمي</w:t>
      </w:r>
    </w:p>
    <w:p w14:paraId="714C042F" w14:textId="77777777" w:rsidR="00F56CD3" w:rsidRDefault="004A2CFE">
      <w:pPr>
        <w:bidi/>
        <w:spacing w:after="40"/>
        <w:jc w:val="center"/>
      </w:pPr>
      <w:r>
        <w:rPr>
          <w:rFonts w:eastAsia="Traditional Arabic"/>
          <w:color w:val="202020"/>
          <w:sz w:val="30"/>
          <w:szCs w:val="30"/>
          <w:rtl/>
        </w:rPr>
        <w:t>لمياء الحربي</w:t>
      </w:r>
    </w:p>
    <w:p w14:paraId="6CC88177" w14:textId="3057C201" w:rsidR="00F56CD3" w:rsidRDefault="004A2CFE" w:rsidP="0095362F">
      <w:pPr>
        <w:bidi/>
        <w:spacing w:after="40"/>
        <w:jc w:val="center"/>
      </w:pPr>
      <w:r>
        <w:rPr>
          <w:rFonts w:eastAsia="Traditional Arabic"/>
          <w:color w:val="202020"/>
          <w:sz w:val="30"/>
          <w:szCs w:val="30"/>
          <w:rtl/>
        </w:rPr>
        <w:t>ليلى المهداوي</w:t>
      </w:r>
    </w:p>
    <w:p w14:paraId="631B9BA7" w14:textId="77777777" w:rsidR="00F56CD3" w:rsidRDefault="00F56CD3"/>
    <w:p w14:paraId="352F4563" w14:textId="77777777" w:rsidR="00F56CD3" w:rsidRDefault="004A2CFE">
      <w:pPr>
        <w:bidi/>
        <w:spacing w:after="80"/>
        <w:jc w:val="center"/>
      </w:pPr>
      <w:r>
        <w:rPr>
          <w:rFonts w:eastAsia="Traditional Arabic"/>
          <w:color w:val="707070"/>
          <w:rtl/>
        </w:rPr>
        <w:t>المقرر: ........................................</w:t>
      </w:r>
    </w:p>
    <w:p w14:paraId="7185BA22" w14:textId="77777777" w:rsidR="00F56CD3" w:rsidRDefault="004A2CFE">
      <w:pPr>
        <w:bidi/>
        <w:spacing w:after="80"/>
        <w:jc w:val="center"/>
      </w:pPr>
      <w:r>
        <w:rPr>
          <w:rFonts w:eastAsia="Traditional Arabic"/>
          <w:color w:val="707070"/>
          <w:rtl/>
        </w:rPr>
        <w:t>إشراف: ........................................</w:t>
      </w:r>
    </w:p>
    <w:p w14:paraId="32429C05" w14:textId="556612E6" w:rsidR="00F56CD3" w:rsidRDefault="004A2CFE">
      <w:pPr>
        <w:bidi/>
        <w:spacing w:after="80"/>
        <w:jc w:val="center"/>
      </w:pPr>
      <w:r>
        <w:rPr>
          <w:rFonts w:eastAsia="Traditional Arabic"/>
          <w:color w:val="707070"/>
          <w:rtl/>
        </w:rPr>
        <w:t xml:space="preserve">العام الجامعي: </w:t>
      </w:r>
      <w:r w:rsidR="00D65404">
        <w:rPr>
          <w:rFonts w:eastAsia="Traditional Arabic" w:hint="cs"/>
          <w:color w:val="707070"/>
          <w:rtl/>
        </w:rPr>
        <w:t>1448</w:t>
      </w:r>
      <w:r>
        <w:rPr>
          <w:rFonts w:eastAsia="Traditional Arabic"/>
          <w:color w:val="707070"/>
          <w:rtl/>
        </w:rPr>
        <w:t xml:space="preserve"> هـ / </w:t>
      </w:r>
      <w:r w:rsidR="00D65404">
        <w:rPr>
          <w:rFonts w:eastAsia="Traditional Arabic" w:hint="cs"/>
          <w:color w:val="707070"/>
          <w:rtl/>
        </w:rPr>
        <w:t>2026</w:t>
      </w:r>
      <w:r>
        <w:rPr>
          <w:rFonts w:eastAsia="Traditional Arabic"/>
          <w:color w:val="707070"/>
          <w:rtl/>
        </w:rPr>
        <w:t xml:space="preserve"> م</w:t>
      </w:r>
    </w:p>
    <w:p w14:paraId="4068346C" w14:textId="7F0FE754" w:rsidR="00F56CD3" w:rsidRDefault="00F56CD3">
      <w:pPr>
        <w:bidi/>
      </w:pPr>
    </w:p>
    <w:p w14:paraId="78AFED72" w14:textId="77777777" w:rsidR="00F56CD3" w:rsidRDefault="004A2CFE">
      <w:pPr>
        <w:bidi/>
        <w:spacing w:after="400"/>
        <w:jc w:val="center"/>
      </w:pPr>
      <w:r>
        <w:rPr>
          <w:rFonts w:eastAsia="Traditional Arabic"/>
          <w:b/>
          <w:bCs/>
          <w:color w:val="0B3D2E"/>
          <w:sz w:val="44"/>
          <w:szCs w:val="44"/>
          <w:rtl/>
        </w:rPr>
        <w:t>جدول المحتويات</w:t>
      </w:r>
    </w:p>
    <w:p w14:paraId="2424A704" w14:textId="3ACC9D3F" w:rsidR="00DD197F" w:rsidRDefault="004A2CFE">
      <w:pPr>
        <w:pStyle w:val="13"/>
        <w:tabs>
          <w:tab w:val="right" w:leader="dot" w:pos="9062"/>
        </w:tabs>
        <w:bidi/>
        <w:rPr>
          <w:rFonts w:asciiTheme="minorHAnsi" w:hAnsiTheme="minorHAnsi" w:cstheme="minorBidi"/>
          <w:noProof/>
          <w:kern w:val="2"/>
          <w:sz w:val="24"/>
          <w:szCs w:val="24"/>
          <w:rtl/>
          <w14:ligatures w14:val="standardContextual"/>
        </w:rPr>
      </w:pPr>
      <w:r>
        <w:fldChar w:fldCharType="begin"/>
      </w:r>
      <w:r>
        <w:instrText>TOC \o "1-3" \h \z \u</w:instrText>
      </w:r>
      <w:r>
        <w:fldChar w:fldCharType="separate"/>
      </w:r>
      <w:hyperlink w:anchor="_Toc241526732" w:history="1">
        <w:r w:rsidR="00DD197F" w:rsidRPr="004A3A1A">
          <w:rPr>
            <w:rStyle w:val="Hyperlink"/>
            <w:rFonts w:eastAsia="Traditional Arabic"/>
            <w:noProof/>
            <w:rtl/>
          </w:rPr>
          <w:t>1. المقدمة</w:t>
        </w:r>
        <w:r w:rsidR="00DD197F">
          <w:rPr>
            <w:noProof/>
            <w:webHidden/>
            <w:rtl/>
          </w:rPr>
          <w:tab/>
        </w:r>
        <w:r w:rsidR="00DD197F">
          <w:rPr>
            <w:noProof/>
            <w:webHidden/>
            <w:rtl/>
          </w:rPr>
          <w:fldChar w:fldCharType="begin"/>
        </w:r>
        <w:r w:rsidR="00DD197F">
          <w:rPr>
            <w:noProof/>
            <w:webHidden/>
            <w:rtl/>
          </w:rPr>
          <w:instrText xml:space="preserve"> </w:instrText>
        </w:r>
        <w:r w:rsidR="00DD197F">
          <w:rPr>
            <w:noProof/>
            <w:webHidden/>
          </w:rPr>
          <w:instrText>PAGEREF</w:instrText>
        </w:r>
        <w:r w:rsidR="00DD197F">
          <w:rPr>
            <w:noProof/>
            <w:webHidden/>
            <w:rtl/>
          </w:rPr>
          <w:instrText xml:space="preserve"> _</w:instrText>
        </w:r>
        <w:r w:rsidR="00DD197F">
          <w:rPr>
            <w:noProof/>
            <w:webHidden/>
          </w:rPr>
          <w:instrText>Toc241526732 \h</w:instrText>
        </w:r>
        <w:r w:rsidR="00DD197F">
          <w:rPr>
            <w:noProof/>
            <w:webHidden/>
            <w:rtl/>
          </w:rPr>
          <w:instrText xml:space="preserve"> </w:instrText>
        </w:r>
        <w:r w:rsidR="00DD197F">
          <w:rPr>
            <w:noProof/>
            <w:webHidden/>
            <w:rtl/>
          </w:rPr>
        </w:r>
        <w:r w:rsidR="00DD197F">
          <w:rPr>
            <w:noProof/>
            <w:webHidden/>
            <w:rtl/>
          </w:rPr>
          <w:fldChar w:fldCharType="separate"/>
        </w:r>
        <w:r w:rsidR="00DD197F">
          <w:rPr>
            <w:noProof/>
            <w:webHidden/>
            <w:rtl/>
          </w:rPr>
          <w:t>6</w:t>
        </w:r>
        <w:r w:rsidR="00DD197F">
          <w:rPr>
            <w:noProof/>
            <w:webHidden/>
            <w:rtl/>
          </w:rPr>
          <w:fldChar w:fldCharType="end"/>
        </w:r>
      </w:hyperlink>
    </w:p>
    <w:p w14:paraId="2D280B56" w14:textId="2043876F"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33" w:history="1">
        <w:r w:rsidRPr="004A3A1A">
          <w:rPr>
            <w:rStyle w:val="Hyperlink"/>
            <w:rFonts w:eastAsia="Traditional Arabic"/>
            <w:noProof/>
            <w:rtl/>
          </w:rPr>
          <w:t>2. مشكلة بطالة خريجات الجامعات وأهميتها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447B5A2" w14:textId="3843E898"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34" w:history="1">
        <w:r w:rsidRPr="004A3A1A">
          <w:rPr>
            <w:rStyle w:val="Hyperlink"/>
            <w:rFonts w:eastAsia="Traditional Arabic"/>
            <w:noProof/>
            <w:rtl/>
          </w:rPr>
          <w:t>2.1 تعريف بطالة خريجات الجامعات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E100E6B" w14:textId="26C50A0A"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35" w:history="1">
        <w:r w:rsidRPr="004A3A1A">
          <w:rPr>
            <w:rStyle w:val="Hyperlink"/>
            <w:rFonts w:eastAsia="Traditional Arabic"/>
            <w:noProof/>
            <w:rtl/>
          </w:rPr>
          <w:t>2.2 أهمية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90627C4" w14:textId="6CF041AA"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36" w:history="1">
        <w:r w:rsidRPr="004A3A1A">
          <w:rPr>
            <w:rStyle w:val="Hyperlink"/>
            <w:rFonts w:eastAsia="Traditional Arabic"/>
            <w:noProof/>
            <w:rtl/>
          </w:rPr>
          <w:t>2.3 أسباب اختيار الموضوع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C305EA7" w14:textId="146E7C61"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37" w:history="1">
        <w:r w:rsidRPr="004A3A1A">
          <w:rPr>
            <w:rStyle w:val="Hyperlink"/>
            <w:rFonts w:eastAsia="Traditional Arabic"/>
            <w:noProof/>
            <w:rtl/>
          </w:rPr>
          <w:t>2.4 نطاق المشكلة في المجتمع السعودي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6ABD4FB" w14:textId="1E5D505F"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38" w:history="1">
        <w:r w:rsidRPr="004A3A1A">
          <w:rPr>
            <w:rStyle w:val="Hyperlink"/>
            <w:rFonts w:eastAsia="Traditional Arabic"/>
            <w:noProof/>
            <w:rtl/>
          </w:rPr>
          <w:t>3. واقع بطالة خريجات الجامعات في السعودية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9167061" w14:textId="6186BF06"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39" w:history="1">
        <w:r w:rsidRPr="004A3A1A">
          <w:rPr>
            <w:rStyle w:val="Hyperlink"/>
            <w:rFonts w:eastAsia="Traditional Arabic"/>
            <w:noProof/>
            <w:rtl/>
          </w:rPr>
          <w:t>3.1 بيانات وإحصاءات حديثة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Toc241526739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CE23937" w14:textId="0CD35505"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0" w:history="1">
        <w:r w:rsidRPr="004A3A1A">
          <w:rPr>
            <w:rStyle w:val="Hyperlink"/>
            <w:rFonts w:eastAsia="Traditional Arabic"/>
            <w:noProof/>
            <w:rtl/>
          </w:rPr>
          <w:t>3.2 الاتجاهات في سوق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DB9D61C" w14:textId="72148365"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1" w:history="1">
        <w:r w:rsidRPr="004A3A1A">
          <w:rPr>
            <w:rStyle w:val="Hyperlink"/>
            <w:rFonts w:eastAsia="Traditional Arabic"/>
            <w:noProof/>
            <w:rtl/>
          </w:rPr>
          <w:t>3.3 الانتقال من التعليم الجامعي إلى سوق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D57D600" w14:textId="15D5117A"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2" w:history="1">
        <w:r w:rsidRPr="004A3A1A">
          <w:rPr>
            <w:rStyle w:val="Hyperlink"/>
            <w:rFonts w:eastAsia="Traditional Arabic"/>
            <w:noProof/>
            <w:rtl/>
          </w:rPr>
          <w:t>3.4 الفجوة بين التخصصات واحتياجات سوق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DB99212" w14:textId="2E5DD91A"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43" w:history="1">
        <w:r w:rsidRPr="004A3A1A">
          <w:rPr>
            <w:rStyle w:val="Hyperlink"/>
            <w:rFonts w:eastAsia="Traditional Arabic"/>
            <w:noProof/>
            <w:rtl/>
          </w:rPr>
          <w:t>4. أسباب بطالة خريجات الجامعات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3258EBC" w14:textId="04B922B4"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4" w:history="1">
        <w:r w:rsidRPr="004A3A1A">
          <w:rPr>
            <w:rStyle w:val="Hyperlink"/>
            <w:rFonts w:eastAsia="Traditional Arabic"/>
            <w:noProof/>
            <w:rtl/>
          </w:rPr>
          <w:t>4.1 العوامل 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2E1A61A" w14:textId="1E169E81"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5" w:history="1">
        <w:r w:rsidRPr="004A3A1A">
          <w:rPr>
            <w:rStyle w:val="Hyperlink"/>
            <w:rFonts w:eastAsia="Traditional Arabic"/>
            <w:noProof/>
            <w:rtl/>
          </w:rPr>
          <w:t>4.2 العوامل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5AE0B30" w14:textId="6C37E70F"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6" w:history="1">
        <w:r w:rsidRPr="004A3A1A">
          <w:rPr>
            <w:rStyle w:val="Hyperlink"/>
            <w:rFonts w:eastAsia="Traditional Arabic"/>
            <w:noProof/>
            <w:rtl/>
          </w:rPr>
          <w:t>4.3 العوامل التعليمية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Toc241526746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50EFFED0" w14:textId="469C1B51"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7" w:history="1">
        <w:r w:rsidRPr="004A3A1A">
          <w:rPr>
            <w:rStyle w:val="Hyperlink"/>
            <w:rFonts w:eastAsia="Traditional Arabic"/>
            <w:noProof/>
            <w:rtl/>
          </w:rPr>
          <w:t>4.4 العوامل المرتبطة بسوق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20F4B41" w14:textId="0069A529"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8" w:history="1">
        <w:r w:rsidRPr="004A3A1A">
          <w:rPr>
            <w:rStyle w:val="Hyperlink"/>
            <w:rFonts w:eastAsia="Traditional Arabic"/>
            <w:noProof/>
            <w:rtl/>
          </w:rPr>
          <w:t>4.5 المهارات ومتطلبات الوظائف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Toc241526748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FC6C059" w14:textId="2A065057"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49" w:history="1">
        <w:r w:rsidRPr="004A3A1A">
          <w:rPr>
            <w:rStyle w:val="Hyperlink"/>
            <w:rFonts w:eastAsia="Traditional Arabic"/>
            <w:noProof/>
            <w:rtl/>
          </w:rPr>
          <w:t>4.6 العوامل المؤسسية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Toc241526749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6CDF7F7" w14:textId="233C2E17"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50" w:history="1">
        <w:r w:rsidRPr="004A3A1A">
          <w:rPr>
            <w:rStyle w:val="Hyperlink"/>
            <w:rFonts w:eastAsia="Traditional Arabic"/>
            <w:noProof/>
            <w:rtl/>
          </w:rPr>
          <w:t>5. آثار بطالة خريجات الجامعات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6AE8C34" w14:textId="3FAD0CD4"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1" w:history="1">
        <w:r w:rsidRPr="004A3A1A">
          <w:rPr>
            <w:rStyle w:val="Hyperlink"/>
            <w:rFonts w:eastAsia="Traditional Arabic"/>
            <w:noProof/>
            <w:rtl/>
          </w:rPr>
          <w:t>5.1 الآثار 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145A00D" w14:textId="4C750D8B"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2" w:history="1">
        <w:r w:rsidRPr="004A3A1A">
          <w:rPr>
            <w:rStyle w:val="Hyperlink"/>
            <w:rFonts w:eastAsia="Traditional Arabic"/>
            <w:noProof/>
            <w:rtl/>
          </w:rPr>
          <w:t>5.2 الآثار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719E18B" w14:textId="1CB853C3"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3" w:history="1">
        <w:r w:rsidRPr="004A3A1A">
          <w:rPr>
            <w:rStyle w:val="Hyperlink"/>
            <w:rFonts w:eastAsia="Traditional Arabic"/>
            <w:noProof/>
            <w:rtl/>
          </w:rPr>
          <w:t>5.3 الآثار على الفرد والأسرة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6EE94FF" w14:textId="40BAE357"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4" w:history="1">
        <w:r w:rsidRPr="004A3A1A">
          <w:rPr>
            <w:rStyle w:val="Hyperlink"/>
            <w:rFonts w:eastAsia="Traditional Arabic"/>
            <w:noProof/>
            <w:rtl/>
          </w:rPr>
          <w:t>5.4 الآثار على الاستفادة من رأس المال البشري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Toc241526754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9D6CC15" w14:textId="749058D3"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5" w:history="1">
        <w:r w:rsidRPr="004A3A1A">
          <w:rPr>
            <w:rStyle w:val="Hyperlink"/>
            <w:rFonts w:eastAsia="Traditional Arabic"/>
            <w:noProof/>
            <w:rtl/>
          </w:rPr>
          <w:t>5.5 الآثار المرتبطة بالتمكين الاقتصادي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0602C7A" w14:textId="56D6B04E"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56" w:history="1">
        <w:r w:rsidRPr="004A3A1A">
          <w:rPr>
            <w:rStyle w:val="Hyperlink"/>
            <w:rFonts w:eastAsia="Traditional Arabic"/>
            <w:noProof/>
            <w:rtl/>
          </w:rPr>
          <w:t>6. تحليل المشكلة من منظور علم الاجتماع الاقتصادي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Toc241526756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4971EE9" w14:textId="199A5840"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57" w:history="1">
        <w:r w:rsidRPr="004A3A1A">
          <w:rPr>
            <w:rStyle w:val="Hyperlink"/>
            <w:rFonts w:eastAsia="Traditional Arabic"/>
            <w:noProof/>
            <w:rtl/>
          </w:rPr>
          <w:t>7. بطالة الخريجات والتمكين الاقتصادي للمرأة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4899B45" w14:textId="7810F7F8"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8" w:history="1">
        <w:r w:rsidRPr="004A3A1A">
          <w:rPr>
            <w:rStyle w:val="Hyperlink"/>
            <w:rFonts w:eastAsia="Traditional Arabic"/>
            <w:noProof/>
            <w:rtl/>
          </w:rPr>
          <w:t>7.1 مفهوم التمكين الاقتصادي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Toc241526758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5E16A2F8" w14:textId="03208773"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59" w:history="1">
        <w:r w:rsidRPr="004A3A1A">
          <w:rPr>
            <w:rStyle w:val="Hyperlink"/>
            <w:rFonts w:eastAsia="Traditional Arabic"/>
            <w:noProof/>
            <w:rtl/>
          </w:rPr>
          <w:t>7.2 العلاقة بين العمل والاستقلال الاقتصادي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Toc241526759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576FC81" w14:textId="17634444"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0" w:history="1">
        <w:r w:rsidRPr="004A3A1A">
          <w:rPr>
            <w:rStyle w:val="Hyperlink"/>
            <w:rFonts w:eastAsia="Traditional Arabic"/>
            <w:noProof/>
            <w:rtl/>
          </w:rPr>
          <w:t>7.3 فرص المشاركة 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60C1B6BB" w14:textId="3AB72A81"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1" w:history="1">
        <w:r w:rsidRPr="004A3A1A">
          <w:rPr>
            <w:rStyle w:val="Hyperlink"/>
            <w:rFonts w:eastAsia="Traditional Arabic"/>
            <w:noProof/>
            <w:rtl/>
          </w:rPr>
          <w:t>7.4 التحديات أمام التمكين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028C03EC" w14:textId="65258A94"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62" w:history="1">
        <w:r w:rsidRPr="004A3A1A">
          <w:rPr>
            <w:rStyle w:val="Hyperlink"/>
            <w:rFonts w:eastAsia="Traditional Arabic"/>
            <w:noProof/>
            <w:rtl/>
          </w:rPr>
          <w:t>8. الفئات المتأثرة والمستفيدة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Toc241526762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07F1BFF" w14:textId="465076C9"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3" w:history="1">
        <w:r w:rsidRPr="004A3A1A">
          <w:rPr>
            <w:rStyle w:val="Hyperlink"/>
            <w:rFonts w:eastAsia="Traditional Arabic"/>
            <w:noProof/>
            <w:rtl/>
          </w:rPr>
          <w:t>8.1 الخريجات أنفسهنّ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Toc241526763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761E65F" w14:textId="7EDF1EDE"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4" w:history="1">
        <w:r w:rsidRPr="004A3A1A">
          <w:rPr>
            <w:rStyle w:val="Hyperlink"/>
            <w:rFonts w:eastAsia="Traditional Arabic"/>
            <w:noProof/>
            <w:rtl/>
          </w:rPr>
          <w:t>8.2 الأسرة السعودية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Toc241526764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1CFA819" w14:textId="1345E97A"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5" w:history="1">
        <w:r w:rsidRPr="004A3A1A">
          <w:rPr>
            <w:rStyle w:val="Hyperlink"/>
            <w:rFonts w:eastAsia="Traditional Arabic"/>
            <w:noProof/>
            <w:rtl/>
          </w:rPr>
          <w:t>8.3 الدولة والمجتمع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6709BE6" w14:textId="2688CD69"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6" w:history="1">
        <w:r w:rsidRPr="004A3A1A">
          <w:rPr>
            <w:rStyle w:val="Hyperlink"/>
            <w:rFonts w:eastAsia="Traditional Arabic"/>
            <w:noProof/>
            <w:rtl/>
          </w:rPr>
          <w:t>8.4 الفئات المستفيدة من معالجة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Toc241526766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919B812" w14:textId="630AD288"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67" w:history="1">
        <w:r w:rsidRPr="004A3A1A">
          <w:rPr>
            <w:rStyle w:val="Hyperlink"/>
            <w:rFonts w:eastAsia="Traditional Arabic"/>
            <w:noProof/>
            <w:rtl/>
          </w:rPr>
          <w:t>9. العلاقة بين معالجة المشكلة ورؤية السعودية 2030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Toc241526767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AB76B7F" w14:textId="572828E1"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68" w:history="1">
        <w:r w:rsidRPr="004A3A1A">
          <w:rPr>
            <w:rStyle w:val="Hyperlink"/>
            <w:rFonts w:eastAsia="Traditional Arabic"/>
            <w:noProof/>
            <w:rtl/>
          </w:rPr>
          <w:t>10. البرامج والمبادرات والجهود السعودية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59A3C29F" w14:textId="53BC70BE"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69" w:history="1">
        <w:r w:rsidRPr="004A3A1A">
          <w:rPr>
            <w:rStyle w:val="Hyperlink"/>
            <w:rFonts w:eastAsia="Traditional Arabic"/>
            <w:noProof/>
            <w:rtl/>
          </w:rPr>
          <w:t>10.1 صندوق تنمية الموارد البشرية (هدف)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Toc241526769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A6E45A5" w14:textId="0AF4D375"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0" w:history="1">
        <w:r w:rsidRPr="004A3A1A">
          <w:rPr>
            <w:rStyle w:val="Hyperlink"/>
            <w:rFonts w:eastAsia="Traditional Arabic"/>
            <w:noProof/>
            <w:rtl/>
          </w:rPr>
          <w:t>10.2 منصّة قوى (Qaura)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7372BCC1" w14:textId="3AA57533"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1" w:history="1">
        <w:r w:rsidRPr="004A3A1A">
          <w:rPr>
            <w:rStyle w:val="Hyperlink"/>
            <w:rFonts w:eastAsia="Traditional Arabic"/>
            <w:noProof/>
            <w:rtl/>
          </w:rPr>
          <w:t>10.3 برنامج نطاقات (Nitaqat)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Toc241526771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13C03506" w14:textId="78966152"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2" w:history="1">
        <w:r w:rsidRPr="004A3A1A">
          <w:rPr>
            <w:rStyle w:val="Hyperlink"/>
            <w:rFonts w:eastAsia="Traditional Arabic"/>
            <w:noProof/>
            <w:rtl/>
          </w:rPr>
          <w:t>10.4 برنامج تمهير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Toc241526772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FBED2DD" w14:textId="4510253B"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3" w:history="1">
        <w:r w:rsidRPr="004A3A1A">
          <w:rPr>
            <w:rStyle w:val="Hyperlink"/>
            <w:rFonts w:eastAsia="Traditional Arabic"/>
            <w:noProof/>
            <w:rtl/>
          </w:rPr>
          <w:t>10.5 منصة دروب (Doroob)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6AC3E27" w14:textId="69035732"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4" w:history="1">
        <w:r w:rsidRPr="004A3A1A">
          <w:rPr>
            <w:rStyle w:val="Hyperlink"/>
            <w:rFonts w:eastAsia="Traditional Arabic"/>
            <w:noProof/>
            <w:rtl/>
          </w:rPr>
          <w:t>10.6 مبادرات إضافية: مسك ومصرف الإنماء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78D93E26" w14:textId="4E5D70DE"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75" w:history="1">
        <w:r w:rsidRPr="004A3A1A">
          <w:rPr>
            <w:rStyle w:val="Hyperlink"/>
            <w:rFonts w:eastAsia="Traditional Arabic"/>
            <w:noProof/>
            <w:rtl/>
          </w:rPr>
          <w:t>11. تحليل الجهود السعودية والتحديات القائمة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1322BCB" w14:textId="644D9B01"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76" w:history="1">
        <w:r w:rsidRPr="004A3A1A">
          <w:rPr>
            <w:rStyle w:val="Hyperlink"/>
            <w:rFonts w:eastAsia="Traditional Arabic"/>
            <w:noProof/>
            <w:rtl/>
          </w:rPr>
          <w:t>12. المقارنة الدولية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CC6EB7B" w14:textId="1321D667"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77" w:history="1">
        <w:r w:rsidRPr="004A3A1A">
          <w:rPr>
            <w:rStyle w:val="Hyperlink"/>
            <w:rFonts w:eastAsia="Traditional Arabic"/>
            <w:noProof/>
            <w:rtl/>
          </w:rPr>
          <w:t>13. المقترحات والتوصيات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Toc241526777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6449444" w14:textId="4EEDE13D"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8" w:history="1">
        <w:r w:rsidRPr="004A3A1A">
          <w:rPr>
            <w:rStyle w:val="Hyperlink"/>
            <w:rFonts w:eastAsia="Traditional Arabic"/>
            <w:noProof/>
            <w:rtl/>
          </w:rPr>
          <w:t>التوصية الأولى: تطوير منظومة الإرشاد المهني في الجامعات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FF8D296" w14:textId="2CF6FCCB"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79" w:history="1">
        <w:r w:rsidRPr="004A3A1A">
          <w:rPr>
            <w:rStyle w:val="Hyperlink"/>
            <w:rFonts w:eastAsia="Traditional Arabic"/>
            <w:noProof/>
            <w:rtl/>
          </w:rPr>
          <w:t>التوصية الثانية: توسيع برامج التدريب التعاوني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Toc241526779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7B3B530" w14:textId="0EB848B0"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80" w:history="1">
        <w:r w:rsidRPr="004A3A1A">
          <w:rPr>
            <w:rStyle w:val="Hyperlink"/>
            <w:rFonts w:eastAsia="Traditional Arabic"/>
            <w:noProof/>
            <w:rtl/>
          </w:rPr>
          <w:t>التوصية الثالثة: برنامج تأهيل نوعي للخريجات في تخصصات الطلب العالي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Toc241526780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143AAD1C" w14:textId="1846EB33"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81" w:history="1">
        <w:r w:rsidRPr="004A3A1A">
          <w:rPr>
            <w:rStyle w:val="Hyperlink"/>
            <w:rFonts w:eastAsia="Traditional Arabic"/>
            <w:noProof/>
            <w:rtl/>
          </w:rPr>
          <w:t>التوصية الرابعة: تطوير منظومة رعاية الأطفال والحضانات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Toc241526781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A0FC744" w14:textId="3A68C819" w:rsidR="00DD197F" w:rsidRDefault="00DD197F">
      <w:pPr>
        <w:pStyle w:val="28"/>
        <w:tabs>
          <w:tab w:val="right" w:leader="dot" w:pos="9062"/>
        </w:tabs>
        <w:bidi/>
        <w:rPr>
          <w:rFonts w:asciiTheme="minorHAnsi" w:hAnsiTheme="minorHAnsi" w:cstheme="minorBidi"/>
          <w:noProof/>
          <w:kern w:val="2"/>
          <w:sz w:val="24"/>
          <w:szCs w:val="24"/>
          <w:rtl/>
          <w14:ligatures w14:val="standardContextual"/>
        </w:rPr>
      </w:pPr>
      <w:hyperlink w:anchor="_Toc241526782" w:history="1">
        <w:r w:rsidRPr="004A3A1A">
          <w:rPr>
            <w:rStyle w:val="Hyperlink"/>
            <w:rFonts w:eastAsia="Traditional Arabic"/>
            <w:noProof/>
            <w:rtl/>
          </w:rPr>
          <w:t>التوصية الخامسة: تطوير مؤشر وطني لتوظيف الخريجين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Toc241526782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A5C491B" w14:textId="589199F0"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83" w:history="1">
        <w:r w:rsidRPr="004A3A1A">
          <w:rPr>
            <w:rStyle w:val="Hyperlink"/>
            <w:rFonts w:eastAsia="Traditional Arabic"/>
            <w:noProof/>
            <w:rtl/>
          </w:rPr>
          <w:t>14.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Toc241526783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16D5CA4" w14:textId="6AFBE1DE" w:rsidR="00DD197F" w:rsidRDefault="00DD197F">
      <w:pPr>
        <w:pStyle w:val="13"/>
        <w:tabs>
          <w:tab w:val="right" w:leader="dot" w:pos="9062"/>
        </w:tabs>
        <w:bidi/>
        <w:rPr>
          <w:rFonts w:asciiTheme="minorHAnsi" w:hAnsiTheme="minorHAnsi" w:cstheme="minorBidi"/>
          <w:noProof/>
          <w:kern w:val="2"/>
          <w:sz w:val="24"/>
          <w:szCs w:val="24"/>
          <w:rtl/>
          <w14:ligatures w14:val="standardContextual"/>
        </w:rPr>
      </w:pPr>
      <w:hyperlink w:anchor="_Toc241526784" w:history="1">
        <w:r w:rsidRPr="004A3A1A">
          <w:rPr>
            <w:rStyle w:val="Hyperlink"/>
            <w:rFonts w:eastAsia="Traditional Arabic"/>
            <w:noProof/>
            <w:rtl/>
          </w:rPr>
          <w:t>15. 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Toc241526784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03522EE" w14:textId="5B87AC29" w:rsidR="00F56CD3" w:rsidRDefault="004A2CFE">
      <w:pPr>
        <w:bidi/>
        <w:jc w:val="right"/>
      </w:pPr>
      <w:r>
        <w:fldChar w:fldCharType="end"/>
      </w:r>
    </w:p>
    <w:p w14:paraId="6189C951" w14:textId="77777777" w:rsidR="00F56CD3" w:rsidRDefault="004A2CFE">
      <w:pPr>
        <w:bidi/>
      </w:pPr>
      <w:r>
        <w:br w:type="page"/>
      </w:r>
    </w:p>
    <w:p w14:paraId="7DFD25DA" w14:textId="77777777" w:rsidR="00F56CD3" w:rsidRDefault="004A2CFE" w:rsidP="00DD197F">
      <w:pPr>
        <w:pStyle w:val="1"/>
        <w:bidi/>
        <w:spacing w:before="360" w:after="200" w:line="312" w:lineRule="auto"/>
      </w:pPr>
      <w:bookmarkStart w:id="0" w:name="_Toc241526732"/>
      <w:r>
        <w:rPr>
          <w:rFonts w:ascii="Times New Roman" w:eastAsia="Traditional Arabic" w:hAnsi="Times New Roman" w:cs="Traditional Arabic"/>
          <w:color w:val="0B3D2E"/>
          <w:rtl/>
        </w:rPr>
        <w:t>1. المقدمة</w:t>
      </w:r>
      <w:bookmarkEnd w:id="0"/>
    </w:p>
    <w:p w14:paraId="73A21EF1" w14:textId="77777777" w:rsidR="00F56CD3" w:rsidRDefault="004A2CFE">
      <w:pPr>
        <w:bidi/>
        <w:spacing w:after="120" w:line="360" w:lineRule="auto"/>
        <w:ind w:firstLine="425"/>
        <w:jc w:val="both"/>
      </w:pPr>
      <w:r>
        <w:rPr>
          <w:rFonts w:eastAsia="Traditional Arabic"/>
          <w:rtl/>
        </w:rPr>
        <w:t>يُعدّ التعليم الجامعي ركيزة أساسية في بناء رأس المال البشري، ويُمثّل في الوقت ذاته بوابة الانتقال من مرحلة الدراسة إلى الحياة العملية. وقد شهدت المملكة العربية السعودية توسّعًا كبيرًا في التعليم العالي النسائي خلال العقود الأخيرة، حتى أصبحت المرأة السعودية تُمثّل نسبة مرتفعة من خريجي الجامعات في كثير من التخصصات. لكنّ هذا التوسّع الكمّي في التعليم لم يُترجَم تلقائيًا إلى اندماج مماثل في سوق العمل، إذ لا تزال فجوة قائمة بين عدد الخريجات سنويًا وعدد الفرص الوظيفية المتاحة لهنّ، وهي ظاهرة تستحقّ الدراسة المتمعّنة لما تحمله من أبعاد اقتصادية واجتماعية.</w:t>
      </w:r>
    </w:p>
    <w:p w14:paraId="2D8A0268" w14:textId="77777777" w:rsidR="00F56CD3" w:rsidRDefault="004A2CFE">
      <w:pPr>
        <w:bidi/>
        <w:spacing w:after="120" w:line="360" w:lineRule="auto"/>
        <w:ind w:firstLine="425"/>
        <w:jc w:val="both"/>
      </w:pPr>
      <w:r>
        <w:rPr>
          <w:rFonts w:eastAsia="Traditional Arabic"/>
          <w:rtl/>
        </w:rPr>
        <w:t>لم تعد بطالة خريجات الجامعات مسألة إحصائية محايدة، بل صارت قضية ترتبط مباشرةً بمسألة أعمق هي التمكين الاقتصادي للمرأة. فالحصول على شهادة جامعية لا يُحقّق في حد ذاته استقلالًا اقتصاديًا ما لم يُقترَن بفرصة عمل تُمكّن الخريجة من تحويل معرفتها إلى دخل، ومن ثمّ إلى قدرة على اتخاذ القرارات الاقتصادية بنفسها وأسرتها. ويتّسع هذا الإطار ليشمل التمكين الاجتماعي، إذ يُسهم العمل المنتِج في تغيير مكانة المرأة داخل الأسرة والمجتمع، ويفتح أمامها فرص المشاركة في القرار العام. ومن هنا تنشأ العلاقة العضوية بين بطالة الخريجات والتمكين الاقتصادي.</w:t>
      </w:r>
    </w:p>
    <w:p w14:paraId="228B1731" w14:textId="77777777" w:rsidR="00F56CD3" w:rsidRDefault="004A2CFE">
      <w:pPr>
        <w:bidi/>
        <w:spacing w:after="120" w:line="360" w:lineRule="auto"/>
        <w:ind w:firstLine="425"/>
        <w:jc w:val="both"/>
      </w:pPr>
      <w:r>
        <w:rPr>
          <w:rFonts w:eastAsia="Traditional Arabic"/>
          <w:rtl/>
        </w:rPr>
        <w:t>في الحالة السعودية، تأخذ القضية صبغة خاصة بفضل التحوّلات الكبرى التي يشهدها سوق العمل منذ إطلاق رؤية السعودية 2030. فالرؤية، التي أُعلنت عام 2016، وضعت ضمن مستهدفاتها رفع نسبة مشاركة المرأة في سوق العمل، وقد تجاوزت هذه النسبة المستهدفَ المحدد لها خلال عام 2023، وفق ما أعلنته الهيئة العامة للإحصاء. ومع ذلك، لا يزال معدّل بطالة الإناث أعلى من نظيره لدى الذكور، ولا تزال فئات من الخريجات تواجه صعوبات في إيجاد وظائف تتلاءم مع تخصصاتهنّ. وهذا التباعد بين الإنجاز الكلّي على مستوى المشاركة والبقاء النسبي لبطالة الخريجات هو ما يستدعي التحليل المتعمّق.</w:t>
      </w:r>
    </w:p>
    <w:p w14:paraId="4D056A3F" w14:textId="77777777" w:rsidR="00F56CD3" w:rsidRDefault="004A2CFE">
      <w:pPr>
        <w:bidi/>
        <w:spacing w:after="120" w:line="360" w:lineRule="auto"/>
        <w:ind w:firstLine="425"/>
        <w:jc w:val="both"/>
      </w:pPr>
      <w:r>
        <w:rPr>
          <w:rFonts w:eastAsia="Traditional Arabic"/>
          <w:rtl/>
        </w:rPr>
        <w:t>تنطلق هذه الدراسة من رؤية تكاملية تربط بطالة خريجات الجامعات بالتمكين الاقتصادي للمرأة، عبر منظور علم الاجتماع الاقتصادي الذي يدرس العلاقة بين البُنى الاقتصادية والبُنى الاجتماعية. وستتناول الدراسة واقع المشكلة في المملكة، وأسبابها وآثارها، وبرامج الجهات الحكومية لمواجهتها، ومقارنة موجزة بتجربة دولة أخرى، وصولًا إلى توصيات عملية. ومن هذا التأطير ينطلق السؤال المركزي للبحث:</w:t>
      </w:r>
    </w:p>
    <w:p w14:paraId="63C9DC9C" w14:textId="77777777" w:rsidR="00F56CD3" w:rsidRDefault="004A2CFE">
      <w:pPr>
        <w:bidi/>
        <w:spacing w:before="120" w:after="240"/>
        <w:ind w:left="850" w:right="850"/>
        <w:jc w:val="center"/>
      </w:pPr>
      <w:r>
        <w:rPr>
          <w:rFonts w:eastAsia="Traditional Arabic"/>
          <w:b/>
          <w:bCs/>
          <w:color w:val="0B3D2E"/>
          <w:sz w:val="30"/>
          <w:szCs w:val="30"/>
          <w:rtl/>
        </w:rPr>
        <w:t>«إلى أي مدى تؤثر بطالة خريجات الجامعات في التمكين الاقتصادي للمرأة في المجتمع السعودي، وما العوامل المرتبطة بها، وكيف ترتبط الجهود السعودية لمعالجتها بمستهدفات رؤية السعودية 2030؟»</w:t>
      </w:r>
    </w:p>
    <w:p w14:paraId="522131D3" w14:textId="77777777" w:rsidR="00F56CD3" w:rsidRDefault="004A2CFE">
      <w:pPr>
        <w:bidi/>
        <w:spacing w:after="120" w:line="360" w:lineRule="auto"/>
        <w:ind w:firstLine="425"/>
        <w:jc w:val="both"/>
      </w:pPr>
      <w:r>
        <w:rPr>
          <w:rFonts w:eastAsia="Traditional Arabic"/>
          <w:rtl/>
        </w:rPr>
        <w:t>تنقسم الدراسة إلى محاور تتدرّج من تعريف المشكلة إلى واقعها وأسبابها وآثارها، فالتحليل السوسيولوجي والتمكين الاقتصادي والفئات المتأثّرة، وصولًا إلى علاقة الموضوع برؤية 2030 والجهود السعودية والمقارنة الدولية والتوصيات والخاتمة. ويُوزّع العمل على الطالبات الخمس بشكل تكاملي يضمن وحدة البحث وتماسكه بوصفه ورقة أكاديمية واحدة لا أكثر، مع مراعاة الإسناد الموثّق للإحصاءات وعدم اختلاق أيّ بيانات أو أرقام.</w:t>
      </w:r>
    </w:p>
    <w:p w14:paraId="5E814DBB" w14:textId="77777777" w:rsidR="00F56CD3" w:rsidRDefault="004A2CFE" w:rsidP="00DD197F">
      <w:pPr>
        <w:pStyle w:val="1"/>
        <w:bidi/>
        <w:spacing w:before="360" w:after="200" w:line="312" w:lineRule="auto"/>
      </w:pPr>
      <w:bookmarkStart w:id="1" w:name="_Toc241526733"/>
      <w:r>
        <w:rPr>
          <w:rFonts w:ascii="Times New Roman" w:eastAsia="Traditional Arabic" w:hAnsi="Times New Roman" w:cs="Traditional Arabic"/>
          <w:color w:val="0B3D2E"/>
          <w:rtl/>
        </w:rPr>
        <w:t>2. مشكلة بطالة خريجات الجامعات وأهميتها</w:t>
      </w:r>
      <w:bookmarkEnd w:id="1"/>
    </w:p>
    <w:p w14:paraId="218FF639" w14:textId="77777777" w:rsidR="00F56CD3" w:rsidRDefault="004A2CFE" w:rsidP="00DD197F">
      <w:pPr>
        <w:pStyle w:val="21"/>
        <w:bidi/>
        <w:spacing w:before="240" w:after="120" w:line="312" w:lineRule="auto"/>
      </w:pPr>
      <w:bookmarkStart w:id="2" w:name="_Toc241526734"/>
      <w:r>
        <w:rPr>
          <w:rFonts w:ascii="Times New Roman" w:eastAsia="Traditional Arabic" w:hAnsi="Times New Roman" w:cs="Traditional Arabic"/>
          <w:color w:val="2E7D32"/>
          <w:rtl/>
        </w:rPr>
        <w:t>2.1 تعريف بطالة خريجات الجامعات</w:t>
      </w:r>
      <w:bookmarkEnd w:id="2"/>
    </w:p>
    <w:p w14:paraId="2AE5A2C7" w14:textId="77777777" w:rsidR="00F56CD3" w:rsidRDefault="004A2CFE">
      <w:pPr>
        <w:bidi/>
        <w:spacing w:after="120" w:line="360" w:lineRule="auto"/>
        <w:ind w:firstLine="425"/>
        <w:jc w:val="both"/>
      </w:pPr>
      <w:r>
        <w:rPr>
          <w:rFonts w:eastAsia="Traditional Arabic"/>
          <w:rtl/>
        </w:rPr>
        <w:t>تُعرّف منظمة العمل الدولية (ILO) العاطل عن العمل بأنه كل فرد في سن العمل، كان دون عمل خلال فترة مرجعية معيّنة، ولديه استعداد للعمل ويبحث عنه. وتنطبق هذه التعريفات على بطالة خريجات الجامعات، إذ يُقصد بها الخريجات اللواتي حصلن على درجة البكالوريوس أو ما يعادلها، ودخلن سوق العمل بحثًا عن وظيفة، دون أن يجدنها خلال فترة معقولة. ويُفرّق الباحثون في هذا المجال بين «البطالة الصريحة» التي تُسجَّل في مسوح القوى العاملة، و«الخمول الاقتصادي» الذي يشمل من توقفن عن البحث عن عمل بعد يأسهنّ من إيجاد فرصة ملائمة.</w:t>
      </w:r>
    </w:p>
    <w:p w14:paraId="46A27D5E" w14:textId="77777777" w:rsidR="00F56CD3" w:rsidRDefault="004A2CFE">
      <w:pPr>
        <w:bidi/>
        <w:spacing w:after="120" w:line="360" w:lineRule="auto"/>
        <w:ind w:firstLine="425"/>
        <w:jc w:val="both"/>
      </w:pPr>
      <w:r>
        <w:rPr>
          <w:rFonts w:eastAsia="Traditional Arabic"/>
          <w:rtl/>
        </w:rPr>
        <w:t>ولا يُعدّ التحاق المرأة بسوق العمل مرادفًا لمجرد حصولها على شهادة جامعية، فالعلاقة بين التعليم والعمل ليست آلية مباشرة. كثيرًا ما تُترجَم الشهادة إلى عمل فقط حين تتوفّر شروط عدّة، منها: ملاءمة التخصص لاحتياجات سوق العمل، وجود خبرة عملية أو تدريب، وقبول صاحب العمل توظيف المرأة في المهن المعروضة، وتوفّر البيئة المؤسسية الداعمة. وغياب أحد هذه الشروط قد يحول دون تحوّل الشهادة إلى وظيفة، وهو ما يفسّر بقاء نسبة من الخريجات عاطلات عن العمل رغم ارتفاع مستواهنّ التعليمي.</w:t>
      </w:r>
    </w:p>
    <w:p w14:paraId="62B04727" w14:textId="77777777" w:rsidR="00F56CD3" w:rsidRDefault="004A2CFE" w:rsidP="00DD197F">
      <w:pPr>
        <w:pStyle w:val="21"/>
        <w:bidi/>
        <w:spacing w:before="240" w:after="120" w:line="312" w:lineRule="auto"/>
      </w:pPr>
      <w:bookmarkStart w:id="3" w:name="_Toc241526735"/>
      <w:r>
        <w:rPr>
          <w:rFonts w:ascii="Times New Roman" w:eastAsia="Traditional Arabic" w:hAnsi="Times New Roman" w:cs="Traditional Arabic"/>
          <w:color w:val="2E7D32"/>
          <w:rtl/>
        </w:rPr>
        <w:t>2.2 أهمية المشكلة</w:t>
      </w:r>
      <w:bookmarkEnd w:id="3"/>
    </w:p>
    <w:p w14:paraId="1FA6925D" w14:textId="77777777" w:rsidR="00F56CD3" w:rsidRDefault="004A2CFE">
      <w:pPr>
        <w:bidi/>
        <w:spacing w:after="120" w:line="360" w:lineRule="auto"/>
        <w:ind w:firstLine="425"/>
        <w:jc w:val="both"/>
      </w:pPr>
      <w:r>
        <w:rPr>
          <w:rFonts w:eastAsia="Traditional Arabic"/>
          <w:rtl/>
        </w:rPr>
        <w:t>تنبع أهمية دراسة بطالة خريجات الجامعات من تعدّد أبعادها وتأثيراتها المتشعّبة. فعلى الصعيد الاقتصادي، تُمثّل الخريجة العاطلة عن العمل موردًا بشريًا مستثمَرًا فيه سنوات من الإنفاق التعليمي دون عائد يُذكَر. وعلى الصعيد الاجتماعي، يُؤثّر بقاء الخريجة دون عمل على تأخّر التحولات التي يُفترَض أن تحدثها في مكانتها داخل الأسرة والمجتمع. كما يترتب على البطالة الطويلة آثار نفسية على الفرد، وأحيانًا آثار أسرية عند تأخّر قرارات الاستقلال أو الزواج أو الإنجاب. وتتسع الأهمية لتشمل الدولة أيضًا، إذ يُعدّ هدر رأس المال البشري إخلالًا بمعادلة التنمية، خاصةً في دولة تنفق مبالغ كبيرة على التعليم العالي.</w:t>
      </w:r>
    </w:p>
    <w:p w14:paraId="5449C28A" w14:textId="77777777" w:rsidR="00F56CD3" w:rsidRDefault="004A2CFE">
      <w:pPr>
        <w:bidi/>
        <w:spacing w:after="120" w:line="360" w:lineRule="auto"/>
        <w:ind w:firstLine="425"/>
        <w:jc w:val="both"/>
      </w:pPr>
      <w:r>
        <w:rPr>
          <w:rFonts w:eastAsia="Traditional Arabic"/>
          <w:rtl/>
        </w:rPr>
        <w:t>وتكتسب المشكلة أهمية مضاعفة في الحالة السعودية نظرًا لتركيبة السكان، إذ تشكّل النساء نحو نصف عدد السكان، ويُمثّلن نسبة كبيرة من الملتحقات بالتعليم العالي. كما أنّ رؤية السعودية 2030 جعلت من رفع مشاركة المرأة في سوق العمل أحد مستهدفاتها الرئيسة، وهو ما يجعل من معالجة بطالة الخريجات اختبارًا حقيقيًا لمدى قدرة الرؤية على تحويل التوجّهات الاستراتيجية إلى نتائج ملموسة على المستوى الفردي.</w:t>
      </w:r>
    </w:p>
    <w:p w14:paraId="2CB91049" w14:textId="77777777" w:rsidR="00F56CD3" w:rsidRDefault="004A2CFE" w:rsidP="00DD197F">
      <w:pPr>
        <w:pStyle w:val="21"/>
        <w:spacing w:before="240" w:after="120" w:line="312" w:lineRule="auto"/>
        <w:jc w:val="right"/>
      </w:pPr>
      <w:bookmarkStart w:id="4" w:name="_Toc241526736"/>
      <w:r>
        <w:rPr>
          <w:rFonts w:ascii="Times New Roman" w:eastAsia="Traditional Arabic" w:hAnsi="Times New Roman" w:cs="Traditional Arabic"/>
          <w:color w:val="2E7D32"/>
          <w:rtl/>
        </w:rPr>
        <w:t>2.3 أسباب اختيار الموضوع</w:t>
      </w:r>
      <w:bookmarkEnd w:id="4"/>
    </w:p>
    <w:p w14:paraId="52B2866D" w14:textId="77777777" w:rsidR="00F56CD3" w:rsidRDefault="004A2CFE">
      <w:pPr>
        <w:bidi/>
        <w:spacing w:after="120" w:line="360" w:lineRule="auto"/>
        <w:ind w:firstLine="425"/>
        <w:jc w:val="both"/>
      </w:pPr>
      <w:r>
        <w:rPr>
          <w:rFonts w:eastAsia="Traditional Arabic"/>
          <w:rtl/>
        </w:rPr>
        <w:t>اختارت المجموعة هذا الموضوع لعدّة اعتبارات. أولها، أنّ القضية قريبة من واقع الطالبات الجامعيات أنفسهنّ، إذ يُمثّل الانتقال من الجامعة إلى سوق العمل مرحلة مفصلية في حياة كل خريجة. وثانيها، أنّ المشكلة لا تنفصل عن القضايا الأكبر التي تتناولها الدراسات الحديثة حول التحول الاقتصادي والاجتماعي في المملكة، وثالثها أنّ المعالجة الأكاديمية للموضوع تساعد في رصد الجهود الحكومية وتقييمها بشكل علمي بعيدًا عن الانطباعات السريعة. كما أنّ اختيار الموضوع يتيح تطبيق عدسة علم الاجتماع الاقتصادي بشكل عملي على قضية محلية ذات أبعاد متشعّبة.</w:t>
      </w:r>
    </w:p>
    <w:p w14:paraId="25DBEF7F" w14:textId="77777777" w:rsidR="00F56CD3" w:rsidRDefault="004A2CFE" w:rsidP="00DD197F">
      <w:pPr>
        <w:pStyle w:val="21"/>
        <w:spacing w:before="240" w:after="120" w:line="312" w:lineRule="auto"/>
        <w:jc w:val="right"/>
      </w:pPr>
      <w:bookmarkStart w:id="5" w:name="_Toc241526737"/>
      <w:r>
        <w:rPr>
          <w:rFonts w:ascii="Times New Roman" w:eastAsia="Traditional Arabic" w:hAnsi="Times New Roman" w:cs="Traditional Arabic"/>
          <w:color w:val="2E7D32"/>
          <w:rtl/>
        </w:rPr>
        <w:t>2.4 نطاق المشكلة في المجتمع السعودي</w:t>
      </w:r>
      <w:bookmarkEnd w:id="5"/>
    </w:p>
    <w:p w14:paraId="017FA432" w14:textId="77777777" w:rsidR="00F56CD3" w:rsidRDefault="004A2CFE">
      <w:pPr>
        <w:bidi/>
        <w:spacing w:after="120" w:line="360" w:lineRule="auto"/>
        <w:ind w:firstLine="425"/>
        <w:jc w:val="both"/>
      </w:pPr>
      <w:r>
        <w:rPr>
          <w:rFonts w:eastAsia="Traditional Arabic"/>
          <w:rtl/>
        </w:rPr>
        <w:t>تتحدّد المشكلة في نطاق زمني هو السنوات الأخيرة (2018–2024)، وهي فترة شهدت تطوّرًا ملحوظًا في إحصاءات سوق العمل النسائي في المملكة بفضل رؤية 2030 وبرامجها التنفيذية. أما النطاق المكاني فهو المملكة العربية السعودية بكامل مناطقها، مع الانتباه إلى أنّ الإحصاءات الوطنية قد تختلف بشكل كبير بين منطقة وأخرى. ويُغطّي البحث خريجات المرحلة الجامعية تحديدًا (البكالوريوس)، مع إشارات مختصرة إلى الخريجات من المراحل الأعلى (الماجستير والدكتوراه) حيثما توفّرت بيانات موثّقة. ويُركّز البحث على البطالة الصريحة، مع التلميح إلى ظاهرة الخمول الاقتصادي دون التوسّع فيها لقصور البيانات العلنية المفصّلة.</w:t>
      </w:r>
    </w:p>
    <w:p w14:paraId="18CAC977" w14:textId="77777777" w:rsidR="00F56CD3" w:rsidRDefault="004A2CFE" w:rsidP="00DD197F">
      <w:pPr>
        <w:pStyle w:val="1"/>
        <w:spacing w:before="360" w:after="200" w:line="312" w:lineRule="auto"/>
        <w:jc w:val="right"/>
      </w:pPr>
      <w:bookmarkStart w:id="6" w:name="_Toc241526738"/>
      <w:r>
        <w:rPr>
          <w:rFonts w:ascii="Times New Roman" w:eastAsia="Traditional Arabic" w:hAnsi="Times New Roman" w:cs="Traditional Arabic"/>
          <w:color w:val="0B3D2E"/>
          <w:rtl/>
        </w:rPr>
        <w:t>3. واقع بطالة خريجات الجامعات في السعودية</w:t>
      </w:r>
      <w:bookmarkEnd w:id="6"/>
    </w:p>
    <w:p w14:paraId="369F8FA8" w14:textId="77777777" w:rsidR="00F56CD3" w:rsidRDefault="004A2CFE" w:rsidP="00DD197F">
      <w:pPr>
        <w:pStyle w:val="21"/>
        <w:spacing w:before="240" w:after="120" w:line="312" w:lineRule="auto"/>
        <w:jc w:val="right"/>
      </w:pPr>
      <w:bookmarkStart w:id="7" w:name="_Toc241526739"/>
      <w:r>
        <w:rPr>
          <w:rFonts w:ascii="Times New Roman" w:eastAsia="Traditional Arabic" w:hAnsi="Times New Roman" w:cs="Traditional Arabic"/>
          <w:color w:val="2E7D32"/>
          <w:rtl/>
        </w:rPr>
        <w:t>3.1 بيانات وإحصاءات حديثة</w:t>
      </w:r>
      <w:bookmarkEnd w:id="7"/>
    </w:p>
    <w:p w14:paraId="2256F291" w14:textId="77777777" w:rsidR="00F56CD3" w:rsidRDefault="004A2CFE">
      <w:pPr>
        <w:bidi/>
        <w:spacing w:after="120" w:line="360" w:lineRule="auto"/>
        <w:ind w:firstLine="425"/>
        <w:jc w:val="both"/>
      </w:pPr>
      <w:r>
        <w:rPr>
          <w:rFonts w:eastAsia="Traditional Arabic"/>
          <w:rtl/>
        </w:rPr>
        <w:t>تكشف البيانات الرسمية الصادرة عن الهيئة العامة للإحصاء (GASTAT) في مسح القوى العاملة أنّ معدّل البطالة بين الإناث السعوديات شهد تراجعًا ملحوظًا خلال السنوات الأخيرة، لكنه لا يزال أعلى من نظيره لدى الذكور. ففي الربع الأول من عام 2024، بلغ معدّل البطالة بين السعوديات نحو 14% مقارنةً بنحو 4.1% لدى الذكور، وفق بيانات الهيئة العامة للإحصاء. وفي المقابل، ارتفعت نسبة مشاركة المرأة السعودية في القوى العاملة من نحو 17% عام 2016 إلى ما يتجاوز 35% خلال عام 2023، وهو ما تجاوز المستهدف الذي حدّدته رؤية السعودية 2030 في بدايتها، والذي كان يبلغ 30%.</w:t>
      </w:r>
    </w:p>
    <w:p w14:paraId="7CA46E54" w14:textId="77777777" w:rsidR="00F56CD3" w:rsidRDefault="004A2CFE">
      <w:pPr>
        <w:bidi/>
        <w:spacing w:after="120" w:line="360" w:lineRule="auto"/>
        <w:ind w:firstLine="425"/>
        <w:jc w:val="both"/>
      </w:pPr>
      <w:r>
        <w:rPr>
          <w:rFonts w:eastAsia="Traditional Arabic"/>
          <w:rtl/>
        </w:rPr>
        <w:t>ويعرض الجدول التالي أبرز المؤشرات الموثّقة المرتبطة بمشاركة المرأة السعودية وسوق العمل خلال السنوات الأخيرة:</w:t>
      </w:r>
    </w:p>
    <w:tbl>
      <w:tblPr>
        <w:bidiVisual/>
        <w:tblW w:w="0" w:type="auto"/>
        <w:jc w:val="center"/>
        <w:tblLook w:val="04A0" w:firstRow="1" w:lastRow="0" w:firstColumn="1" w:lastColumn="0" w:noHBand="0" w:noVBand="1"/>
      </w:tblPr>
      <w:tblGrid>
        <w:gridCol w:w="3712"/>
        <w:gridCol w:w="2655"/>
        <w:gridCol w:w="2921"/>
      </w:tblGrid>
      <w:tr w:rsidR="00F56CD3" w14:paraId="6C50FCC2" w14:textId="77777777">
        <w:trPr>
          <w:cantSplit/>
          <w:tblHeader/>
          <w:jc w:val="center"/>
        </w:trPr>
        <w:tc>
          <w:tcPr>
            <w:tcW w:w="3969" w:type="dxa"/>
            <w:tcBorders>
              <w:top w:val="single" w:sz="8" w:space="0" w:color="B88A36"/>
              <w:left w:val="single" w:sz="8" w:space="0" w:color="B88A36"/>
              <w:bottom w:val="single" w:sz="8" w:space="0" w:color="B88A36"/>
              <w:right w:val="single" w:sz="8" w:space="0" w:color="B88A36"/>
            </w:tcBorders>
            <w:shd w:val="clear" w:color="auto" w:fill="0B3D2E"/>
          </w:tcPr>
          <w:p w14:paraId="4B297B8F" w14:textId="77777777" w:rsidR="00F56CD3" w:rsidRDefault="004A2CFE">
            <w:pPr>
              <w:bidi/>
              <w:spacing w:before="40" w:after="40" w:line="288" w:lineRule="auto"/>
              <w:jc w:val="center"/>
            </w:pPr>
            <w:r>
              <w:rPr>
                <w:rFonts w:eastAsia="Traditional Arabic"/>
                <w:b/>
                <w:bCs/>
                <w:color w:val="FFFFFF"/>
                <w:sz w:val="24"/>
                <w:szCs w:val="24"/>
                <w:rtl/>
              </w:rPr>
              <w:t>المؤشر</w:t>
            </w:r>
          </w:p>
        </w:tc>
        <w:tc>
          <w:tcPr>
            <w:tcW w:w="2835" w:type="dxa"/>
            <w:tcBorders>
              <w:top w:val="single" w:sz="8" w:space="0" w:color="B88A36"/>
              <w:left w:val="single" w:sz="8" w:space="0" w:color="B88A36"/>
              <w:bottom w:val="single" w:sz="8" w:space="0" w:color="B88A36"/>
              <w:right w:val="single" w:sz="8" w:space="0" w:color="B88A36"/>
            </w:tcBorders>
            <w:shd w:val="clear" w:color="auto" w:fill="0B3D2E"/>
          </w:tcPr>
          <w:p w14:paraId="1175FE22" w14:textId="77777777" w:rsidR="00F56CD3" w:rsidRDefault="004A2CFE">
            <w:pPr>
              <w:bidi/>
              <w:spacing w:before="40" w:after="40" w:line="288" w:lineRule="auto"/>
              <w:jc w:val="center"/>
            </w:pPr>
            <w:r>
              <w:rPr>
                <w:rFonts w:eastAsia="Traditional Arabic"/>
                <w:b/>
                <w:bCs/>
                <w:color w:val="FFFFFF"/>
                <w:sz w:val="24"/>
                <w:szCs w:val="24"/>
                <w:rtl/>
              </w:rPr>
              <w:t>القيمة</w:t>
            </w:r>
          </w:p>
        </w:tc>
        <w:tc>
          <w:tcPr>
            <w:tcW w:w="3118" w:type="dxa"/>
            <w:tcBorders>
              <w:top w:val="single" w:sz="8" w:space="0" w:color="B88A36"/>
              <w:left w:val="single" w:sz="8" w:space="0" w:color="B88A36"/>
              <w:bottom w:val="single" w:sz="8" w:space="0" w:color="B88A36"/>
              <w:right w:val="single" w:sz="8" w:space="0" w:color="B88A36"/>
            </w:tcBorders>
            <w:shd w:val="clear" w:color="auto" w:fill="0B3D2E"/>
          </w:tcPr>
          <w:p w14:paraId="76A32861" w14:textId="77777777" w:rsidR="00F56CD3" w:rsidRDefault="004A2CFE">
            <w:pPr>
              <w:bidi/>
              <w:spacing w:before="40" w:after="40" w:line="288" w:lineRule="auto"/>
              <w:jc w:val="center"/>
            </w:pPr>
            <w:r>
              <w:rPr>
                <w:rFonts w:eastAsia="Traditional Arabic"/>
                <w:b/>
                <w:bCs/>
                <w:color w:val="FFFFFF"/>
                <w:sz w:val="24"/>
                <w:szCs w:val="24"/>
                <w:rtl/>
              </w:rPr>
              <w:t>المصدر</w:t>
            </w:r>
          </w:p>
        </w:tc>
      </w:tr>
      <w:tr w:rsidR="00F56CD3" w14:paraId="77556B12"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FFFFF"/>
          </w:tcPr>
          <w:p w14:paraId="79FD917D" w14:textId="77777777" w:rsidR="00F56CD3" w:rsidRDefault="004A2CFE">
            <w:pPr>
              <w:bidi/>
              <w:spacing w:before="40" w:after="40" w:line="288" w:lineRule="auto"/>
              <w:jc w:val="right"/>
            </w:pPr>
            <w:r>
              <w:rPr>
                <w:rFonts w:eastAsia="Traditional Arabic"/>
                <w:sz w:val="22"/>
                <w:szCs w:val="22"/>
                <w:rtl/>
              </w:rPr>
              <w:t>معدّل بطالة الإناث السعوديات (الربع الأول 2024)</w:t>
            </w:r>
          </w:p>
        </w:tc>
        <w:tc>
          <w:tcPr>
            <w:tcW w:w="2835" w:type="dxa"/>
            <w:tcBorders>
              <w:top w:val="single" w:sz="4" w:space="0" w:color="E0D6B8"/>
              <w:left w:val="single" w:sz="4" w:space="0" w:color="E0D6B8"/>
              <w:bottom w:val="single" w:sz="4" w:space="0" w:color="E0D6B8"/>
              <w:right w:val="single" w:sz="4" w:space="0" w:color="E0D6B8"/>
            </w:tcBorders>
            <w:shd w:val="clear" w:color="auto" w:fill="FFFFFF"/>
          </w:tcPr>
          <w:p w14:paraId="0FC361B9" w14:textId="77777777" w:rsidR="00F56CD3" w:rsidRDefault="004A2CFE">
            <w:pPr>
              <w:bidi/>
              <w:spacing w:before="40" w:after="40" w:line="288" w:lineRule="auto"/>
              <w:jc w:val="center"/>
            </w:pPr>
            <w:r>
              <w:rPr>
                <w:rFonts w:eastAsia="Traditional Arabic"/>
                <w:sz w:val="22"/>
                <w:szCs w:val="22"/>
                <w:rtl/>
              </w:rPr>
              <w:t>نحو 14%</w:t>
            </w:r>
          </w:p>
        </w:tc>
        <w:tc>
          <w:tcPr>
            <w:tcW w:w="3118" w:type="dxa"/>
            <w:tcBorders>
              <w:top w:val="single" w:sz="4" w:space="0" w:color="E0D6B8"/>
              <w:left w:val="single" w:sz="4" w:space="0" w:color="E0D6B8"/>
              <w:bottom w:val="single" w:sz="4" w:space="0" w:color="E0D6B8"/>
              <w:right w:val="single" w:sz="4" w:space="0" w:color="E0D6B8"/>
            </w:tcBorders>
            <w:shd w:val="clear" w:color="auto" w:fill="FFFFFF"/>
          </w:tcPr>
          <w:p w14:paraId="5588ACAE" w14:textId="77777777" w:rsidR="00F56CD3" w:rsidRDefault="004A2CFE">
            <w:pPr>
              <w:bidi/>
              <w:spacing w:before="40" w:after="40" w:line="288" w:lineRule="auto"/>
              <w:jc w:val="center"/>
            </w:pPr>
            <w:r>
              <w:rPr>
                <w:rFonts w:eastAsia="Traditional Arabic"/>
                <w:sz w:val="22"/>
                <w:szCs w:val="22"/>
                <w:rtl/>
              </w:rPr>
              <w:t>الهيئة العامة للإحصاء</w:t>
            </w:r>
          </w:p>
        </w:tc>
      </w:tr>
      <w:tr w:rsidR="00F56CD3" w14:paraId="6BB06E2A"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BF7EC"/>
          </w:tcPr>
          <w:p w14:paraId="22F985E8" w14:textId="77777777" w:rsidR="00F56CD3" w:rsidRDefault="004A2CFE">
            <w:pPr>
              <w:bidi/>
              <w:spacing w:before="40" w:after="40" w:line="288" w:lineRule="auto"/>
              <w:jc w:val="right"/>
            </w:pPr>
            <w:r>
              <w:rPr>
                <w:rFonts w:eastAsia="Traditional Arabic"/>
                <w:sz w:val="22"/>
                <w:szCs w:val="22"/>
                <w:rtl/>
              </w:rPr>
              <w:t>معدّل بطالة الذكور السعوديين (الربع الأول 2024)</w:t>
            </w:r>
          </w:p>
        </w:tc>
        <w:tc>
          <w:tcPr>
            <w:tcW w:w="2835" w:type="dxa"/>
            <w:tcBorders>
              <w:top w:val="single" w:sz="4" w:space="0" w:color="E0D6B8"/>
              <w:left w:val="single" w:sz="4" w:space="0" w:color="E0D6B8"/>
              <w:bottom w:val="single" w:sz="4" w:space="0" w:color="E0D6B8"/>
              <w:right w:val="single" w:sz="4" w:space="0" w:color="E0D6B8"/>
            </w:tcBorders>
            <w:shd w:val="clear" w:color="auto" w:fill="FBF7EC"/>
          </w:tcPr>
          <w:p w14:paraId="5992CC34" w14:textId="77777777" w:rsidR="00F56CD3" w:rsidRDefault="004A2CFE">
            <w:pPr>
              <w:bidi/>
              <w:spacing w:before="40" w:after="40" w:line="288" w:lineRule="auto"/>
              <w:jc w:val="center"/>
            </w:pPr>
            <w:r>
              <w:rPr>
                <w:rFonts w:eastAsia="Traditional Arabic"/>
                <w:sz w:val="22"/>
                <w:szCs w:val="22"/>
                <w:rtl/>
              </w:rPr>
              <w:t>نحو 4.1%</w:t>
            </w:r>
          </w:p>
        </w:tc>
        <w:tc>
          <w:tcPr>
            <w:tcW w:w="3118" w:type="dxa"/>
            <w:tcBorders>
              <w:top w:val="single" w:sz="4" w:space="0" w:color="E0D6B8"/>
              <w:left w:val="single" w:sz="4" w:space="0" w:color="E0D6B8"/>
              <w:bottom w:val="single" w:sz="4" w:space="0" w:color="E0D6B8"/>
              <w:right w:val="single" w:sz="4" w:space="0" w:color="E0D6B8"/>
            </w:tcBorders>
            <w:shd w:val="clear" w:color="auto" w:fill="FBF7EC"/>
          </w:tcPr>
          <w:p w14:paraId="6FB0C632" w14:textId="77777777" w:rsidR="00F56CD3" w:rsidRDefault="004A2CFE">
            <w:pPr>
              <w:bidi/>
              <w:spacing w:before="40" w:after="40" w:line="288" w:lineRule="auto"/>
              <w:jc w:val="center"/>
            </w:pPr>
            <w:r>
              <w:rPr>
                <w:rFonts w:eastAsia="Traditional Arabic"/>
                <w:sz w:val="22"/>
                <w:szCs w:val="22"/>
                <w:rtl/>
              </w:rPr>
              <w:t>الهيئة العامة للإحصاء</w:t>
            </w:r>
          </w:p>
        </w:tc>
      </w:tr>
      <w:tr w:rsidR="00F56CD3" w14:paraId="225D8464"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FFFFF"/>
          </w:tcPr>
          <w:p w14:paraId="6A7F20CA" w14:textId="77777777" w:rsidR="00F56CD3" w:rsidRDefault="004A2CFE">
            <w:pPr>
              <w:bidi/>
              <w:spacing w:before="40" w:after="40" w:line="288" w:lineRule="auto"/>
              <w:jc w:val="right"/>
            </w:pPr>
            <w:r>
              <w:rPr>
                <w:rFonts w:eastAsia="Traditional Arabic"/>
                <w:sz w:val="22"/>
                <w:szCs w:val="22"/>
                <w:rtl/>
              </w:rPr>
              <w:t>نسبة مشاركة المرأة في القوى العاملة (2023)</w:t>
            </w:r>
          </w:p>
        </w:tc>
        <w:tc>
          <w:tcPr>
            <w:tcW w:w="2835" w:type="dxa"/>
            <w:tcBorders>
              <w:top w:val="single" w:sz="4" w:space="0" w:color="E0D6B8"/>
              <w:left w:val="single" w:sz="4" w:space="0" w:color="E0D6B8"/>
              <w:bottom w:val="single" w:sz="4" w:space="0" w:color="E0D6B8"/>
              <w:right w:val="single" w:sz="4" w:space="0" w:color="E0D6B8"/>
            </w:tcBorders>
            <w:shd w:val="clear" w:color="auto" w:fill="FFFFFF"/>
          </w:tcPr>
          <w:p w14:paraId="2A19D600" w14:textId="77777777" w:rsidR="00F56CD3" w:rsidRDefault="004A2CFE">
            <w:pPr>
              <w:bidi/>
              <w:spacing w:before="40" w:after="40" w:line="288" w:lineRule="auto"/>
              <w:jc w:val="center"/>
            </w:pPr>
            <w:r>
              <w:rPr>
                <w:rFonts w:eastAsia="Traditional Arabic"/>
                <w:sz w:val="22"/>
                <w:szCs w:val="22"/>
                <w:rtl/>
              </w:rPr>
              <w:t>نحو 36%</w:t>
            </w:r>
          </w:p>
        </w:tc>
        <w:tc>
          <w:tcPr>
            <w:tcW w:w="3118" w:type="dxa"/>
            <w:tcBorders>
              <w:top w:val="single" w:sz="4" w:space="0" w:color="E0D6B8"/>
              <w:left w:val="single" w:sz="4" w:space="0" w:color="E0D6B8"/>
              <w:bottom w:val="single" w:sz="4" w:space="0" w:color="E0D6B8"/>
              <w:right w:val="single" w:sz="4" w:space="0" w:color="E0D6B8"/>
            </w:tcBorders>
            <w:shd w:val="clear" w:color="auto" w:fill="FFFFFF"/>
          </w:tcPr>
          <w:p w14:paraId="3C339810" w14:textId="77777777" w:rsidR="00F56CD3" w:rsidRDefault="004A2CFE">
            <w:pPr>
              <w:bidi/>
              <w:spacing w:before="40" w:after="40" w:line="288" w:lineRule="auto"/>
              <w:jc w:val="center"/>
            </w:pPr>
            <w:r>
              <w:rPr>
                <w:rFonts w:eastAsia="Traditional Arabic"/>
                <w:sz w:val="22"/>
                <w:szCs w:val="22"/>
                <w:rtl/>
              </w:rPr>
              <w:t>الهيئة العامة للإحصاء</w:t>
            </w:r>
          </w:p>
        </w:tc>
      </w:tr>
      <w:tr w:rsidR="00F56CD3" w14:paraId="20F913A4"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BF7EC"/>
          </w:tcPr>
          <w:p w14:paraId="78ACBD5A" w14:textId="77777777" w:rsidR="00F56CD3" w:rsidRDefault="004A2CFE">
            <w:pPr>
              <w:bidi/>
              <w:spacing w:before="40" w:after="40" w:line="288" w:lineRule="auto"/>
              <w:jc w:val="right"/>
            </w:pPr>
            <w:r>
              <w:rPr>
                <w:rFonts w:eastAsia="Traditional Arabic"/>
                <w:sz w:val="22"/>
                <w:szCs w:val="22"/>
                <w:rtl/>
              </w:rPr>
              <w:t>المستهدف الأصلي لرؤية 2030 لمشاركة المرأة</w:t>
            </w:r>
          </w:p>
        </w:tc>
        <w:tc>
          <w:tcPr>
            <w:tcW w:w="2835" w:type="dxa"/>
            <w:tcBorders>
              <w:top w:val="single" w:sz="4" w:space="0" w:color="E0D6B8"/>
              <w:left w:val="single" w:sz="4" w:space="0" w:color="E0D6B8"/>
              <w:bottom w:val="single" w:sz="4" w:space="0" w:color="E0D6B8"/>
              <w:right w:val="single" w:sz="4" w:space="0" w:color="E0D6B8"/>
            </w:tcBorders>
            <w:shd w:val="clear" w:color="auto" w:fill="FBF7EC"/>
          </w:tcPr>
          <w:p w14:paraId="15E91B69" w14:textId="77777777" w:rsidR="00F56CD3" w:rsidRDefault="004A2CFE">
            <w:pPr>
              <w:bidi/>
              <w:spacing w:before="40" w:after="40" w:line="288" w:lineRule="auto"/>
              <w:jc w:val="center"/>
            </w:pPr>
            <w:r>
              <w:rPr>
                <w:rFonts w:eastAsia="Traditional Arabic"/>
                <w:sz w:val="22"/>
                <w:szCs w:val="22"/>
                <w:rtl/>
              </w:rPr>
              <w:t>30%</w:t>
            </w:r>
          </w:p>
        </w:tc>
        <w:tc>
          <w:tcPr>
            <w:tcW w:w="3118" w:type="dxa"/>
            <w:tcBorders>
              <w:top w:val="single" w:sz="4" w:space="0" w:color="E0D6B8"/>
              <w:left w:val="single" w:sz="4" w:space="0" w:color="E0D6B8"/>
              <w:bottom w:val="single" w:sz="4" w:space="0" w:color="E0D6B8"/>
              <w:right w:val="single" w:sz="4" w:space="0" w:color="E0D6B8"/>
            </w:tcBorders>
            <w:shd w:val="clear" w:color="auto" w:fill="FBF7EC"/>
          </w:tcPr>
          <w:p w14:paraId="2ACD4C69" w14:textId="77777777" w:rsidR="00F56CD3" w:rsidRDefault="004A2CFE">
            <w:pPr>
              <w:bidi/>
              <w:spacing w:before="40" w:after="40" w:line="288" w:lineRule="auto"/>
              <w:jc w:val="center"/>
            </w:pPr>
            <w:r>
              <w:rPr>
                <w:rFonts w:eastAsia="Traditional Arabic"/>
                <w:sz w:val="22"/>
                <w:szCs w:val="22"/>
                <w:rtl/>
              </w:rPr>
              <w:t>رؤية السعودية 2030</w:t>
            </w:r>
          </w:p>
        </w:tc>
      </w:tr>
      <w:tr w:rsidR="00F56CD3" w14:paraId="2FEDC911"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FFFFF"/>
          </w:tcPr>
          <w:p w14:paraId="0E733699" w14:textId="77777777" w:rsidR="00F56CD3" w:rsidRDefault="004A2CFE">
            <w:pPr>
              <w:bidi/>
              <w:spacing w:before="40" w:after="40" w:line="288" w:lineRule="auto"/>
              <w:jc w:val="right"/>
            </w:pPr>
            <w:r>
              <w:rPr>
                <w:rFonts w:eastAsia="Traditional Arabic"/>
                <w:sz w:val="22"/>
                <w:szCs w:val="22"/>
                <w:rtl/>
              </w:rPr>
              <w:t>نسبة النساء من إجمالي خريجي الجامعات</w:t>
            </w:r>
          </w:p>
        </w:tc>
        <w:tc>
          <w:tcPr>
            <w:tcW w:w="2835" w:type="dxa"/>
            <w:tcBorders>
              <w:top w:val="single" w:sz="4" w:space="0" w:color="E0D6B8"/>
              <w:left w:val="single" w:sz="4" w:space="0" w:color="E0D6B8"/>
              <w:bottom w:val="single" w:sz="4" w:space="0" w:color="E0D6B8"/>
              <w:right w:val="single" w:sz="4" w:space="0" w:color="E0D6B8"/>
            </w:tcBorders>
            <w:shd w:val="clear" w:color="auto" w:fill="FFFFFF"/>
          </w:tcPr>
          <w:p w14:paraId="75025203" w14:textId="77777777" w:rsidR="00F56CD3" w:rsidRDefault="004A2CFE">
            <w:pPr>
              <w:bidi/>
              <w:spacing w:before="40" w:after="40" w:line="288" w:lineRule="auto"/>
              <w:jc w:val="center"/>
            </w:pPr>
            <w:r>
              <w:rPr>
                <w:rFonts w:eastAsia="Traditional Arabic"/>
                <w:sz w:val="22"/>
                <w:szCs w:val="22"/>
                <w:rtl/>
              </w:rPr>
              <w:t>أكثر من نصف الخريجين</w:t>
            </w:r>
          </w:p>
        </w:tc>
        <w:tc>
          <w:tcPr>
            <w:tcW w:w="3118" w:type="dxa"/>
            <w:tcBorders>
              <w:top w:val="single" w:sz="4" w:space="0" w:color="E0D6B8"/>
              <w:left w:val="single" w:sz="4" w:space="0" w:color="E0D6B8"/>
              <w:bottom w:val="single" w:sz="4" w:space="0" w:color="E0D6B8"/>
              <w:right w:val="single" w:sz="4" w:space="0" w:color="E0D6B8"/>
            </w:tcBorders>
            <w:shd w:val="clear" w:color="auto" w:fill="FFFFFF"/>
          </w:tcPr>
          <w:p w14:paraId="75113366" w14:textId="77777777" w:rsidR="00F56CD3" w:rsidRDefault="004A2CFE">
            <w:pPr>
              <w:bidi/>
              <w:spacing w:before="40" w:after="40" w:line="288" w:lineRule="auto"/>
              <w:jc w:val="center"/>
            </w:pPr>
            <w:r>
              <w:rPr>
                <w:rFonts w:eastAsia="Traditional Arabic"/>
                <w:sz w:val="22"/>
                <w:szCs w:val="22"/>
                <w:rtl/>
              </w:rPr>
              <w:t>وزارة التعليم</w:t>
            </w:r>
          </w:p>
        </w:tc>
      </w:tr>
      <w:tr w:rsidR="00F56CD3" w14:paraId="50816F5C"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BF7EC"/>
          </w:tcPr>
          <w:p w14:paraId="50475223" w14:textId="77777777" w:rsidR="00F56CD3" w:rsidRDefault="004A2CFE">
            <w:pPr>
              <w:bidi/>
              <w:spacing w:before="40" w:after="40" w:line="288" w:lineRule="auto"/>
              <w:jc w:val="right"/>
            </w:pPr>
            <w:r>
              <w:rPr>
                <w:rFonts w:eastAsia="Traditional Arabic"/>
                <w:sz w:val="22"/>
                <w:szCs w:val="22"/>
                <w:rtl/>
              </w:rPr>
              <w:t>نسبة العاملات في القطاع الخاص (2023)</w:t>
            </w:r>
          </w:p>
        </w:tc>
        <w:tc>
          <w:tcPr>
            <w:tcW w:w="2835" w:type="dxa"/>
            <w:tcBorders>
              <w:top w:val="single" w:sz="4" w:space="0" w:color="E0D6B8"/>
              <w:left w:val="single" w:sz="4" w:space="0" w:color="E0D6B8"/>
              <w:bottom w:val="single" w:sz="4" w:space="0" w:color="E0D6B8"/>
              <w:right w:val="single" w:sz="4" w:space="0" w:color="E0D6B8"/>
            </w:tcBorders>
            <w:shd w:val="clear" w:color="auto" w:fill="FBF7EC"/>
          </w:tcPr>
          <w:p w14:paraId="5B26F50F" w14:textId="77777777" w:rsidR="00F56CD3" w:rsidRDefault="004A2CFE">
            <w:pPr>
              <w:bidi/>
              <w:spacing w:before="40" w:after="40" w:line="288" w:lineRule="auto"/>
              <w:jc w:val="center"/>
            </w:pPr>
            <w:r>
              <w:rPr>
                <w:rFonts w:eastAsia="Traditional Arabic"/>
                <w:sz w:val="22"/>
                <w:szCs w:val="22"/>
                <w:rtl/>
              </w:rPr>
              <w:t>ارتفاع ملحوظ بعد 2017</w:t>
            </w:r>
          </w:p>
        </w:tc>
        <w:tc>
          <w:tcPr>
            <w:tcW w:w="3118" w:type="dxa"/>
            <w:tcBorders>
              <w:top w:val="single" w:sz="4" w:space="0" w:color="E0D6B8"/>
              <w:left w:val="single" w:sz="4" w:space="0" w:color="E0D6B8"/>
              <w:bottom w:val="single" w:sz="4" w:space="0" w:color="E0D6B8"/>
              <w:right w:val="single" w:sz="4" w:space="0" w:color="E0D6B8"/>
            </w:tcBorders>
            <w:shd w:val="clear" w:color="auto" w:fill="FBF7EC"/>
          </w:tcPr>
          <w:p w14:paraId="00943352" w14:textId="77777777" w:rsidR="00F56CD3" w:rsidRDefault="004A2CFE">
            <w:pPr>
              <w:bidi/>
              <w:spacing w:before="40" w:after="40" w:line="288" w:lineRule="auto"/>
              <w:jc w:val="center"/>
            </w:pPr>
            <w:r>
              <w:rPr>
                <w:rFonts w:eastAsia="Traditional Arabic"/>
                <w:sz w:val="22"/>
                <w:szCs w:val="22"/>
                <w:rtl/>
              </w:rPr>
              <w:t>وزارة الموارد البشرية</w:t>
            </w:r>
          </w:p>
        </w:tc>
      </w:tr>
      <w:tr w:rsidR="00F56CD3" w14:paraId="2F933789" w14:textId="77777777">
        <w:trPr>
          <w:jc w:val="center"/>
        </w:trPr>
        <w:tc>
          <w:tcPr>
            <w:tcW w:w="3969" w:type="dxa"/>
            <w:tcBorders>
              <w:top w:val="single" w:sz="4" w:space="0" w:color="E0D6B8"/>
              <w:left w:val="single" w:sz="4" w:space="0" w:color="E0D6B8"/>
              <w:bottom w:val="single" w:sz="4" w:space="0" w:color="E0D6B8"/>
              <w:right w:val="single" w:sz="4" w:space="0" w:color="E0D6B8"/>
            </w:tcBorders>
            <w:shd w:val="clear" w:color="auto" w:fill="FFFFFF"/>
          </w:tcPr>
          <w:p w14:paraId="1099FA76" w14:textId="77777777" w:rsidR="00F56CD3" w:rsidRDefault="004A2CFE">
            <w:pPr>
              <w:bidi/>
              <w:spacing w:before="40" w:after="40" w:line="288" w:lineRule="auto"/>
              <w:jc w:val="right"/>
            </w:pPr>
            <w:r>
              <w:rPr>
                <w:rFonts w:eastAsia="Traditional Arabic"/>
                <w:sz w:val="22"/>
                <w:szCs w:val="22"/>
                <w:rtl/>
              </w:rPr>
              <w:t>عام إطلاق رؤية السعودية 2030</w:t>
            </w:r>
          </w:p>
        </w:tc>
        <w:tc>
          <w:tcPr>
            <w:tcW w:w="2835" w:type="dxa"/>
            <w:tcBorders>
              <w:top w:val="single" w:sz="4" w:space="0" w:color="E0D6B8"/>
              <w:left w:val="single" w:sz="4" w:space="0" w:color="E0D6B8"/>
              <w:bottom w:val="single" w:sz="4" w:space="0" w:color="E0D6B8"/>
              <w:right w:val="single" w:sz="4" w:space="0" w:color="E0D6B8"/>
            </w:tcBorders>
            <w:shd w:val="clear" w:color="auto" w:fill="FFFFFF"/>
          </w:tcPr>
          <w:p w14:paraId="7E2A3E3B" w14:textId="77777777" w:rsidR="00F56CD3" w:rsidRDefault="004A2CFE">
            <w:pPr>
              <w:bidi/>
              <w:spacing w:before="40" w:after="40" w:line="288" w:lineRule="auto"/>
              <w:jc w:val="center"/>
            </w:pPr>
            <w:r>
              <w:rPr>
                <w:rFonts w:eastAsia="Traditional Arabic"/>
                <w:sz w:val="22"/>
                <w:szCs w:val="22"/>
                <w:rtl/>
              </w:rPr>
              <w:t>2016</w:t>
            </w:r>
          </w:p>
        </w:tc>
        <w:tc>
          <w:tcPr>
            <w:tcW w:w="3118" w:type="dxa"/>
            <w:tcBorders>
              <w:top w:val="single" w:sz="4" w:space="0" w:color="E0D6B8"/>
              <w:left w:val="single" w:sz="4" w:space="0" w:color="E0D6B8"/>
              <w:bottom w:val="single" w:sz="4" w:space="0" w:color="E0D6B8"/>
              <w:right w:val="single" w:sz="4" w:space="0" w:color="E0D6B8"/>
            </w:tcBorders>
            <w:shd w:val="clear" w:color="auto" w:fill="FFFFFF"/>
          </w:tcPr>
          <w:p w14:paraId="35A25492" w14:textId="77777777" w:rsidR="00F56CD3" w:rsidRDefault="004A2CFE">
            <w:pPr>
              <w:bidi/>
              <w:spacing w:before="40" w:after="40" w:line="288" w:lineRule="auto"/>
              <w:jc w:val="center"/>
            </w:pPr>
            <w:r>
              <w:rPr>
                <w:rFonts w:eastAsia="Traditional Arabic"/>
                <w:sz w:val="22"/>
                <w:szCs w:val="22"/>
                <w:rtl/>
              </w:rPr>
              <w:t>الموقع الرسمي للرؤية</w:t>
            </w:r>
          </w:p>
        </w:tc>
      </w:tr>
    </w:tbl>
    <w:p w14:paraId="3DC65C16" w14:textId="77777777" w:rsidR="00F56CD3" w:rsidRDefault="004A2CFE">
      <w:pPr>
        <w:bidi/>
        <w:spacing w:before="80"/>
        <w:jc w:val="right"/>
      </w:pPr>
      <w:r>
        <w:rPr>
          <w:rFonts w:eastAsia="Traditional Arabic"/>
          <w:color w:val="707070"/>
          <w:sz w:val="20"/>
          <w:szCs w:val="20"/>
          <w:rtl/>
        </w:rPr>
        <w:t>المصدر: إعداد الباحثات استنادًا إلى بيانات الهيئة العامة للإحصاء، والموقع الرسمي لرؤية السعودية 2030، ووزارة الموارد البشرية والتنمية الاجتماعية (2023–2024).</w:t>
      </w:r>
    </w:p>
    <w:p w14:paraId="7DC77F3F" w14:textId="77777777" w:rsidR="00F56CD3" w:rsidRDefault="004A2CFE" w:rsidP="00DD197F">
      <w:pPr>
        <w:pStyle w:val="21"/>
        <w:spacing w:before="240" w:after="120" w:line="312" w:lineRule="auto"/>
        <w:jc w:val="right"/>
      </w:pPr>
      <w:bookmarkStart w:id="8" w:name="_Toc241526740"/>
      <w:r>
        <w:rPr>
          <w:rFonts w:ascii="Times New Roman" w:eastAsia="Traditional Arabic" w:hAnsi="Times New Roman" w:cs="Traditional Arabic"/>
          <w:color w:val="2E7D32"/>
          <w:rtl/>
        </w:rPr>
        <w:t>3.2 الاتجاهات في سوق العمل</w:t>
      </w:r>
      <w:bookmarkEnd w:id="8"/>
    </w:p>
    <w:p w14:paraId="69698A1F" w14:textId="77777777" w:rsidR="00F56CD3" w:rsidRDefault="004A2CFE">
      <w:pPr>
        <w:bidi/>
        <w:spacing w:after="120" w:line="360" w:lineRule="auto"/>
        <w:ind w:firstLine="425"/>
        <w:jc w:val="both"/>
      </w:pPr>
      <w:r>
        <w:rPr>
          <w:rFonts w:eastAsia="Traditional Arabic"/>
          <w:rtl/>
        </w:rPr>
        <w:t>تكشف بيانات مسح القوى العاملة الصادرة عن الهيئة العامة للإحصاء خلال السنوات الأخيرة عدّة اتجاهات لافتة. أولها، أنّ معدّل بطالة الإناث السعوديات شهد تراجعًا تدريجيًا منذ عام 2016، حين كان يقترب من 32%، حتى وصل إلى نحو 14% في الربع الأول من عام 2024. وثانيها، أنّ مشاركة المرأة في القوى العاملة ارتفعت ارتفاعًا ملحوظًا بعد عام 2017، وهو العام الذي شهد توسيع مشاركة المرأة في سوق العمل وفق قرارات حكومية. وثالثها، أنّ قطاع العمل الذي يستوعب أكبر عدد من النساء العاملات في المملكة هو قطاع التعليم، يليه الصحة والخدمات الاجتماعية، ثم تجزئة التجزئة والخدمات.</w:t>
      </w:r>
    </w:p>
    <w:p w14:paraId="10E4B93B" w14:textId="77777777" w:rsidR="00F56CD3" w:rsidRDefault="004A2CFE">
      <w:pPr>
        <w:bidi/>
        <w:spacing w:after="120" w:line="360" w:lineRule="auto"/>
        <w:ind w:firstLine="425"/>
        <w:jc w:val="both"/>
      </w:pPr>
      <w:r>
        <w:rPr>
          <w:rFonts w:eastAsia="Traditional Arabic"/>
          <w:rtl/>
        </w:rPr>
        <w:t>ورغم هذا التقدّم، تُشير تقارير وزارة الموارد البشرية والتنمية الاجتماعية إلى أنّ نسبة كبيرة من النساء العاملات يتركّزن في وظائف محدودة الأجر، وأنّ نسبة منهنّ يعملن في وظائف لا تتطلّب مؤهّل جامعي. كما أنّ التوزيع الجغرافي للنساء العاملات يتركّز في الرياض ومكة المكرّمة والمنطقة الشرقية، فيما تبقى معدّلات التوظيف في المناطق الأخرى أقلّ نسبيًا. ويطرح هذا الواقع أسئلة حول مدى قدرة السياسات الحالية على إحداث توازن جغرافي ومهني في توظيف الخريجات.</w:t>
      </w:r>
    </w:p>
    <w:p w14:paraId="31A2CA7A" w14:textId="77777777" w:rsidR="00F56CD3" w:rsidRDefault="004A2CFE" w:rsidP="00DD197F">
      <w:pPr>
        <w:pStyle w:val="21"/>
        <w:spacing w:before="240" w:after="120" w:line="312" w:lineRule="auto"/>
        <w:jc w:val="right"/>
      </w:pPr>
      <w:bookmarkStart w:id="9" w:name="_Toc241526741"/>
      <w:r>
        <w:rPr>
          <w:rFonts w:ascii="Times New Roman" w:eastAsia="Traditional Arabic" w:hAnsi="Times New Roman" w:cs="Traditional Arabic"/>
          <w:color w:val="2E7D32"/>
          <w:rtl/>
        </w:rPr>
        <w:t>3.3 الانتقال من التعليم الجامعي إلى سوق العمل</w:t>
      </w:r>
      <w:bookmarkEnd w:id="9"/>
    </w:p>
    <w:p w14:paraId="4D3E6D15" w14:textId="77777777" w:rsidR="00F56CD3" w:rsidRDefault="004A2CFE">
      <w:pPr>
        <w:bidi/>
        <w:spacing w:after="120" w:line="360" w:lineRule="auto"/>
        <w:ind w:firstLine="425"/>
        <w:jc w:val="both"/>
      </w:pPr>
      <w:r>
        <w:rPr>
          <w:rFonts w:eastAsia="Traditional Arabic"/>
          <w:rtl/>
        </w:rPr>
        <w:t>يُمثّل الانتقال من الجامعة إلى سوق العمل لحظة مفصلية في حياة الخريجة. وتُشير دراسات منظمة العمل الدولية إلى أنّ هذه المرحلة تستغرق في المتوسط بين 6 و18 شهرًا في كثير من الدول، لكنها قد تمتدّ في حالات أخرى إلى ما يقارب سنتين أو أكثر. وفي الحالة السعودية، تُشير بيانات وزارة الموارد البشرية إلى أنّ الخريجات اللواتي يحصلن على تدريب عملي أو فرص تدريب مهني أثناء الدراسة أو بعدها يجدن وظائف بسرعة أكبر من غيرهنّ. ويُسهم برنامج «تمهير» الذي يُقدّمه صندوق تنمية الموارد البشرية «هدف» في تقليص هذه الفترة عبر تدريب الخريجين والخريجات على رأس العمل في الجهات الحكومية والخاصة.</w:t>
      </w:r>
    </w:p>
    <w:p w14:paraId="6EEB9265" w14:textId="77777777" w:rsidR="00F56CD3" w:rsidRDefault="004A2CFE">
      <w:pPr>
        <w:bidi/>
        <w:spacing w:after="120" w:line="360" w:lineRule="auto"/>
        <w:ind w:firstLine="425"/>
        <w:jc w:val="both"/>
      </w:pPr>
      <w:r>
        <w:rPr>
          <w:rFonts w:eastAsia="Traditional Arabic"/>
          <w:rtl/>
        </w:rPr>
        <w:t>ولا يقتصر التحدي على إيجاد وظيفة، بل يمتدّ إلى نوع الوظيفة التي تجدها الخريجة. فكثيرًا ما تضطرّ الخريجة إلى قبول وظيفة لا تتلاءم مع تخصصها الجامعي، أو وظيفة بأجر أقلّ من المتوقّع. ويُؤثّر هذا النوع من التوظيف «ناقص الجودة» على دافعية الخريجة ورضاها المهني، وقد يُؤدّي في بعض الأحيان إلى تركها للعمل بعد فترة وجيزة، وهو ما يُعرف في أدبيات سوق العمل بـ«البطالة الجزئية» أو «التوظيف الناقص». ولا تتوفّر بيانات سعودية مفصّلة علنًا عن ظاهرة التوظيف الناقص بين الخريجات، وهي ثغرة تستحقّ المعالجة.</w:t>
      </w:r>
    </w:p>
    <w:p w14:paraId="5E5C2FBD" w14:textId="77777777" w:rsidR="00F56CD3" w:rsidRDefault="004A2CFE" w:rsidP="00DD197F">
      <w:pPr>
        <w:pStyle w:val="21"/>
        <w:spacing w:before="240" w:after="120" w:line="312" w:lineRule="auto"/>
        <w:jc w:val="right"/>
      </w:pPr>
      <w:bookmarkStart w:id="10" w:name="_Toc241526742"/>
      <w:r>
        <w:rPr>
          <w:rFonts w:ascii="Times New Roman" w:eastAsia="Traditional Arabic" w:hAnsi="Times New Roman" w:cs="Traditional Arabic"/>
          <w:color w:val="2E7D32"/>
          <w:rtl/>
        </w:rPr>
        <w:t>3.4 الفجوة بين التخصصات واحتياجات سوق العمل</w:t>
      </w:r>
      <w:bookmarkEnd w:id="10"/>
    </w:p>
    <w:p w14:paraId="11A05A07" w14:textId="77777777" w:rsidR="00F56CD3" w:rsidRDefault="004A2CFE">
      <w:pPr>
        <w:bidi/>
        <w:spacing w:after="120" w:line="360" w:lineRule="auto"/>
        <w:ind w:firstLine="425"/>
        <w:jc w:val="both"/>
      </w:pPr>
      <w:r>
        <w:rPr>
          <w:rFonts w:eastAsia="Traditional Arabic"/>
          <w:rtl/>
        </w:rPr>
        <w:t>تكشف الإحصاءات التعليمية في المملكة أنّ نسبة كبيرة من خريجات الجامعات يتركّزن في تخصصات العلوم الإنسانية والاجتماعية والتربوية، فيما يكون الطلب في سوق العمل أعلى في تخصصات العلوم والتقنية والهندسة والصحة. وتُؤكّد تقارير وزارة الموارد البشرية أنّ الفجوة بين العرض (الخريجات) والطلب (الشركات) هي إحدى أبرز أسباب بطالة الخريجات. وتُعرف هذه الظاهرة في أدبيات الاقتصاد بـ«عدم التطابق المهاري» (Skills Mismatch)، وهي قضية تشغل اهتمام منظمة التعاون الاقتصادي والتنمية (OECD) ومنظمة العمل الدولية.</w:t>
      </w:r>
    </w:p>
    <w:p w14:paraId="4FAA7564" w14:textId="77777777" w:rsidR="00F56CD3" w:rsidRDefault="004A2CFE">
      <w:pPr>
        <w:bidi/>
        <w:spacing w:after="120" w:line="360" w:lineRule="auto"/>
        <w:ind w:firstLine="425"/>
        <w:jc w:val="both"/>
      </w:pPr>
      <w:r>
        <w:rPr>
          <w:rFonts w:eastAsia="Traditional Arabic"/>
          <w:rtl/>
        </w:rPr>
        <w:t>تجدر الإشارة إلى أنّ الفجوة ليست في كل التخصصات بالدرجة نفسها، فبعض التخصصات تشهد طلبًا عاليًا على الخريجات، مثل تخصصات التمريض والصحة وكذلك تخصصات الحاسب الآلي والذكاء الاصطناعي. فيما تعاني تخصصات أخرى من إشباع نسبي في سوق العمل، مثل بعض تخصصات الإدارة العامة والدراسات الإسلامية في فترات معيّنة. وتُظهر هذه الفجوة ضرورة تطوير آلية تنسيق بين وزارة التعليم ووزارة الموارد البشرية لرصد التخصصات ذات الطلب العالي، وتوجيه الطالبات نحوها، دون الإخلال بحقّ الخريجة في اختيار تخصصها.</w:t>
      </w:r>
    </w:p>
    <w:p w14:paraId="596655AB" w14:textId="77777777" w:rsidR="00F56CD3" w:rsidRDefault="004A2CFE" w:rsidP="00DD197F">
      <w:pPr>
        <w:pStyle w:val="1"/>
        <w:spacing w:before="360" w:after="200" w:line="312" w:lineRule="auto"/>
        <w:jc w:val="right"/>
      </w:pPr>
      <w:bookmarkStart w:id="11" w:name="_Toc241526743"/>
      <w:r>
        <w:rPr>
          <w:rFonts w:ascii="Times New Roman" w:eastAsia="Traditional Arabic" w:hAnsi="Times New Roman" w:cs="Traditional Arabic"/>
          <w:color w:val="0B3D2E"/>
          <w:rtl/>
        </w:rPr>
        <w:t>4. أسباب بطالة خريجات الجامعات</w:t>
      </w:r>
      <w:bookmarkEnd w:id="11"/>
    </w:p>
    <w:p w14:paraId="45F160E1" w14:textId="77777777" w:rsidR="00F56CD3" w:rsidRDefault="004A2CFE" w:rsidP="00DD197F">
      <w:pPr>
        <w:pStyle w:val="21"/>
        <w:spacing w:before="240" w:after="120" w:line="312" w:lineRule="auto"/>
        <w:jc w:val="right"/>
      </w:pPr>
      <w:bookmarkStart w:id="12" w:name="_Toc241526744"/>
      <w:r>
        <w:rPr>
          <w:rFonts w:ascii="Times New Roman" w:eastAsia="Traditional Arabic" w:hAnsi="Times New Roman" w:cs="Traditional Arabic"/>
          <w:color w:val="2E7D32"/>
          <w:rtl/>
        </w:rPr>
        <w:t>4.1 العوامل الاقتصادية</w:t>
      </w:r>
      <w:bookmarkEnd w:id="12"/>
    </w:p>
    <w:p w14:paraId="581E76D2" w14:textId="77777777" w:rsidR="00F56CD3" w:rsidRDefault="004A2CFE">
      <w:pPr>
        <w:bidi/>
        <w:spacing w:after="120" w:line="360" w:lineRule="auto"/>
        <w:ind w:firstLine="425"/>
        <w:jc w:val="both"/>
      </w:pPr>
      <w:r>
        <w:rPr>
          <w:rFonts w:eastAsia="Traditional Arabic"/>
          <w:rtl/>
        </w:rPr>
        <w:t>تتعدّد العوامل الاقتصادية المؤثّرة في بطالة خريجات الجامعات. أولها، طبيعة الاقتصاد السعودي الذي اعتمد تاريخيًا على قطاع المحروقات، وهو قطاع كثيف رأس المال وقليل العمالة، ولا يستوعب أعدادًا كبيرة من الخريجين الجدد. وثانيها، أنّ القطاع الخاص لا يزال يعتمد بنسبة كبيرة على العمالة الوافدة في كثير من المهن، رغم جهود «السعودة» وبرنامج «نطاقات». وثالثها، تأثّر القطاعات المستوعبة للنساء (مثل التجزئة والخدمات) بتقلّبات الاقتصاد العالمي، كما حدث في عام 2020 إبان جائحة كوفيد-19. ورابعها، محدودية رواتب المهن الأولى في بعض القطاعات، مما يُقلّل من رغبة الخريجة في قبولها.</w:t>
      </w:r>
    </w:p>
    <w:p w14:paraId="23C14363" w14:textId="77777777" w:rsidR="00F56CD3" w:rsidRDefault="004A2CFE" w:rsidP="00DD197F">
      <w:pPr>
        <w:pStyle w:val="21"/>
        <w:spacing w:before="240" w:after="120" w:line="312" w:lineRule="auto"/>
        <w:jc w:val="right"/>
      </w:pPr>
      <w:bookmarkStart w:id="13" w:name="_Toc241526745"/>
      <w:r>
        <w:rPr>
          <w:rFonts w:ascii="Times New Roman" w:eastAsia="Traditional Arabic" w:hAnsi="Times New Roman" w:cs="Traditional Arabic"/>
          <w:color w:val="2E7D32"/>
          <w:rtl/>
        </w:rPr>
        <w:t>4.2 العوامل الاجتماعية</w:t>
      </w:r>
      <w:bookmarkEnd w:id="13"/>
    </w:p>
    <w:p w14:paraId="4842F26C" w14:textId="77777777" w:rsidR="00F56CD3" w:rsidRDefault="004A2CFE">
      <w:pPr>
        <w:bidi/>
        <w:spacing w:after="120" w:line="360" w:lineRule="auto"/>
        <w:ind w:firstLine="425"/>
        <w:jc w:val="both"/>
      </w:pPr>
      <w:r>
        <w:rPr>
          <w:rFonts w:eastAsia="Traditional Arabic"/>
          <w:rtl/>
        </w:rPr>
        <w:t>تلعب العوامل الاجتماعية دورًا مؤثّرًا في تفسير بطالة الخريجات، لكنّه يجب التعامل معها بحذر وتجنّب التعميم. فبعض الأسر لا تزال تُفضّل بقاء المرأة في المهن «المأمونة» اجتماعيًا كالتعليم والصحة، ولا تتشجّع على التحاقها بقطاعات أخرى كالصناعة أو التقنية. كما أنّ بعض التحدّيات ترتبط بضرورة وجود بيئة عمل تتلاءم مع خصوصية المرأة، مثل فصل العمل بين الجنسين في بعض القطاعات. وقد ساعدت التحوّلات الأخيرة في تخفيف هذه القيود، لكنّها لم تُلغِها كليًا. ومن العوامل الاجتماعية المهمّة كذلك، الإرهاق الموكَل إلى المرأة في الأعمال المنزلية ورعاية الأطفال، وهو ما يُقلّل من قدرتها على الالتزام بوظائف تتطلّب ساعات عمل طويلة أو تنقّلًا بعيدًا.</w:t>
      </w:r>
    </w:p>
    <w:p w14:paraId="4B5B01AF" w14:textId="77777777" w:rsidR="00F56CD3" w:rsidRDefault="004A2CFE" w:rsidP="00DD197F">
      <w:pPr>
        <w:pStyle w:val="21"/>
        <w:spacing w:before="240" w:after="120" w:line="312" w:lineRule="auto"/>
        <w:jc w:val="right"/>
      </w:pPr>
      <w:bookmarkStart w:id="14" w:name="_Toc241526746"/>
      <w:r>
        <w:rPr>
          <w:rFonts w:ascii="Times New Roman" w:eastAsia="Traditional Arabic" w:hAnsi="Times New Roman" w:cs="Traditional Arabic"/>
          <w:color w:val="2E7D32"/>
          <w:rtl/>
        </w:rPr>
        <w:t>4.3 العوامل التعليمية</w:t>
      </w:r>
      <w:bookmarkEnd w:id="14"/>
    </w:p>
    <w:p w14:paraId="7D5C785A" w14:textId="77777777" w:rsidR="00F56CD3" w:rsidRDefault="004A2CFE">
      <w:pPr>
        <w:bidi/>
        <w:spacing w:after="120" w:line="360" w:lineRule="auto"/>
        <w:ind w:firstLine="425"/>
        <w:jc w:val="both"/>
      </w:pPr>
      <w:r>
        <w:rPr>
          <w:rFonts w:eastAsia="Traditional Arabic"/>
          <w:rtl/>
        </w:rPr>
        <w:t>ترتبط بعض أسباب بطالة الخريجات بمنظومة التعليم العالي نفسها. أولها، محدودية الربط بين مخرجات الجامعات واحتياجات سوق العمل، حيث لا تُجري بعض الكليات مراجعة دورية لمحتوى برامجها على ضوء التغيّرات في سوق العمل. وثانيها، ضعف التركيز على المهارات العملية في بعض البرامج، حيث يطغى الجانب النظري على حساب التطبيقي. وثالثها، قلّة فرص التدريب العملي «التعاوني» التي تُتيح للطالبة قضاء فترة في مؤسّسة قبل التخرّج. ورابعها، انخفاض نسبة الإقبال على التخصصات العلمية والتقنية مقارنةً بالتخصصات النظرية، مما يُحدِث فائضًا في الخريجات في تخصصات محدودة الطلب. وتعمل وزارة التعليم على معالجة بعض هذه الجوانب عبربرامج «التطوير المؤسسي» و«رؤية الجامعات».</w:t>
      </w:r>
    </w:p>
    <w:p w14:paraId="5F821678" w14:textId="77777777" w:rsidR="00F56CD3" w:rsidRDefault="004A2CFE" w:rsidP="00DD197F">
      <w:pPr>
        <w:pStyle w:val="21"/>
        <w:spacing w:before="240" w:after="120" w:line="312" w:lineRule="auto"/>
        <w:jc w:val="right"/>
      </w:pPr>
      <w:bookmarkStart w:id="15" w:name="_Toc241526747"/>
      <w:r>
        <w:rPr>
          <w:rFonts w:ascii="Times New Roman" w:eastAsia="Traditional Arabic" w:hAnsi="Times New Roman" w:cs="Traditional Arabic"/>
          <w:color w:val="2E7D32"/>
          <w:rtl/>
        </w:rPr>
        <w:t>4.4 العوامل المرتبطة بسوق العمل</w:t>
      </w:r>
      <w:bookmarkEnd w:id="15"/>
    </w:p>
    <w:p w14:paraId="1CA4EA83" w14:textId="77777777" w:rsidR="00F56CD3" w:rsidRDefault="004A2CFE">
      <w:pPr>
        <w:bidi/>
        <w:spacing w:after="120" w:line="360" w:lineRule="auto"/>
        <w:ind w:firstLine="425"/>
        <w:jc w:val="both"/>
      </w:pPr>
      <w:r>
        <w:rPr>
          <w:rFonts w:eastAsia="Traditional Arabic"/>
          <w:rtl/>
        </w:rPr>
        <w:t>يُسهم سوق العمل نفسه في إنتاج البطالة بين الخريجات بعدّة طرق. أولها، أنّ بعض المنشآت الصغيرة والمتوسطة تتردّد في توظيف النساء بسبب اعتبارات تتعلّق بالبيئة المادية أو الحاجة إلى توفير مرافق منفصلة. وثانيها، أنّ بعض القطاعات لا تزال تُفضّل العمالة الوافدة لاعتبارات الكلفة، رغم برامج السعودة. وثالثها، تطلّب بعض الوظائف خبرة عملية لا تتوفّر لدى الخريجة الجديدة، مما يُخلق معضلة «لا أُوظَّف لأنّي بلا خبرة، ولا أكتسب خبرة لأنّي غير موظَّفة». ورابعها، ضعف الإفصاح عن فرص العمل في بعض القطاعات، حيث يعتمد التوظيف على المعرفة الشخصية أكثر من المنصّات الرسمية.</w:t>
      </w:r>
    </w:p>
    <w:p w14:paraId="7DC57329" w14:textId="77777777" w:rsidR="00F56CD3" w:rsidRDefault="004A2CFE" w:rsidP="00DD197F">
      <w:pPr>
        <w:pStyle w:val="21"/>
        <w:spacing w:before="240" w:after="120" w:line="312" w:lineRule="auto"/>
        <w:jc w:val="right"/>
      </w:pPr>
      <w:bookmarkStart w:id="16" w:name="_Toc241526748"/>
      <w:r>
        <w:rPr>
          <w:rFonts w:ascii="Times New Roman" w:eastAsia="Traditional Arabic" w:hAnsi="Times New Roman" w:cs="Traditional Arabic"/>
          <w:color w:val="2E7D32"/>
          <w:rtl/>
        </w:rPr>
        <w:t>4.5 المهارات ومتطلبات الوظائف</w:t>
      </w:r>
      <w:bookmarkEnd w:id="16"/>
    </w:p>
    <w:p w14:paraId="1ADFE85A" w14:textId="77777777" w:rsidR="00F56CD3" w:rsidRDefault="004A2CFE">
      <w:pPr>
        <w:bidi/>
        <w:spacing w:after="120" w:line="360" w:lineRule="auto"/>
        <w:ind w:firstLine="425"/>
        <w:jc w:val="both"/>
      </w:pPr>
      <w:r>
        <w:rPr>
          <w:rFonts w:eastAsia="Traditional Arabic"/>
          <w:rtl/>
        </w:rPr>
        <w:t>أصبح سوق العمل الحديث يتطلّب مهارات تتجاوز الشهادة الجامعية، أبرزها: المهارات الرقمية، ومهارات التواصل، واللغة الإنجليزية، والذكاء العاطفي، والقدرة على العمل في فريق. وقد أكّدت تقارير البنك الدولي ومنظمة العمل الدولية أنّ نقص هذه المهارات لدى الخريجين، ومنهم الخريجات، يُعدّ من أبرز معوقات التوظيف في الدول النامية بما فيها دول الشرق الأوسط. ولمعالجة هذه الفجوة، أطلق صندوق تنمية الموارد البشرية «هدف» منصّة «دروب» الإلكترونية التي تُقدّم دورات تدريبية في مهارات متخصّصة، وأطلقت «بادر» التابعة لمسك برامج تأهيلية للشباب والشابات.</w:t>
      </w:r>
    </w:p>
    <w:p w14:paraId="1AE1934C" w14:textId="77777777" w:rsidR="00F56CD3" w:rsidRDefault="004A2CFE" w:rsidP="00DD197F">
      <w:pPr>
        <w:pStyle w:val="21"/>
        <w:spacing w:before="240" w:after="120" w:line="312" w:lineRule="auto"/>
        <w:jc w:val="right"/>
      </w:pPr>
      <w:bookmarkStart w:id="17" w:name="_Toc241526749"/>
      <w:r>
        <w:rPr>
          <w:rFonts w:ascii="Times New Roman" w:eastAsia="Traditional Arabic" w:hAnsi="Times New Roman" w:cs="Traditional Arabic"/>
          <w:color w:val="2E7D32"/>
          <w:rtl/>
        </w:rPr>
        <w:t>4.6 العوامل المؤسسية</w:t>
      </w:r>
      <w:bookmarkEnd w:id="17"/>
    </w:p>
    <w:p w14:paraId="5ADC92D7" w14:textId="77777777" w:rsidR="00F56CD3" w:rsidRDefault="004A2CFE">
      <w:pPr>
        <w:bidi/>
        <w:spacing w:after="120" w:line="360" w:lineRule="auto"/>
        <w:ind w:firstLine="425"/>
        <w:jc w:val="both"/>
      </w:pPr>
      <w:r>
        <w:rPr>
          <w:rFonts w:eastAsia="Traditional Arabic"/>
          <w:rtl/>
        </w:rPr>
        <w:t>ترتبط بعض أسباب البطالة بالعوامل المؤسسية، مثل: محدودية التنسيق بين وزارة التعليم ووزارة الموارد البشرية في تخطيط القبول الجامعي، وضعف منظومة الإرشاد المهني في المدن الجامعية، ومحدودية البيانات العلنية المفصّلة حول معدّلات توظيف الخريجين بكل تخصص. كما أنّ غياب مؤشر وطني موحّد لقياس معدّل توظيف الخريجين «بعد التخرّج» يُعقّد متابعة تطوّر المشكلة. وقد بدأت وزارة التعليم في تطوير دراسة «توظيف الخريجين» لتغطية هذا الجانب، لكنّها لا تزال في مراحلها الأولى.</w:t>
      </w:r>
    </w:p>
    <w:p w14:paraId="5AFA1FD7" w14:textId="77777777" w:rsidR="00F56CD3" w:rsidRDefault="004A2CFE" w:rsidP="00DD197F">
      <w:pPr>
        <w:pStyle w:val="1"/>
        <w:spacing w:before="360" w:after="200" w:line="312" w:lineRule="auto"/>
        <w:jc w:val="right"/>
      </w:pPr>
      <w:bookmarkStart w:id="18" w:name="_Toc241526750"/>
      <w:r>
        <w:rPr>
          <w:rFonts w:ascii="Times New Roman" w:eastAsia="Traditional Arabic" w:hAnsi="Times New Roman" w:cs="Traditional Arabic"/>
          <w:color w:val="0B3D2E"/>
          <w:rtl/>
        </w:rPr>
        <w:t>5. آثار بطالة خريجات الجامعات</w:t>
      </w:r>
      <w:bookmarkEnd w:id="18"/>
    </w:p>
    <w:p w14:paraId="48A45DDC" w14:textId="77777777" w:rsidR="00F56CD3" w:rsidRDefault="004A2CFE" w:rsidP="00DD197F">
      <w:pPr>
        <w:pStyle w:val="21"/>
        <w:spacing w:before="240" w:after="120" w:line="312" w:lineRule="auto"/>
        <w:jc w:val="right"/>
      </w:pPr>
      <w:bookmarkStart w:id="19" w:name="_Toc241526751"/>
      <w:r>
        <w:rPr>
          <w:rFonts w:ascii="Times New Roman" w:eastAsia="Traditional Arabic" w:hAnsi="Times New Roman" w:cs="Traditional Arabic"/>
          <w:color w:val="2E7D32"/>
          <w:rtl/>
        </w:rPr>
        <w:t>5.1 الآثار الاقتصادية</w:t>
      </w:r>
      <w:bookmarkEnd w:id="19"/>
    </w:p>
    <w:p w14:paraId="64B1AA32" w14:textId="77777777" w:rsidR="00F56CD3" w:rsidRDefault="004A2CFE">
      <w:pPr>
        <w:bidi/>
        <w:spacing w:after="120" w:line="360" w:lineRule="auto"/>
        <w:ind w:firstLine="425"/>
        <w:jc w:val="both"/>
      </w:pPr>
      <w:r>
        <w:rPr>
          <w:rFonts w:eastAsia="Traditional Arabic"/>
          <w:rtl/>
        </w:rPr>
        <w:t>تتعدّد الآثار الاقتصادية لبطالة خريجات الجامعات. فعلى المستوى الفردي، تُمثّل البطالة فقدان دخل كان يمكن أن تحصل عليه الخريجة، مما يُؤثّر على قدرتها الشرائية وعلى خططها المستقبلية. وعلى مستوى الأسرة، يُؤثّر بقاء الخريجة عاطلة على الوضع الاقتصادي للأسرة، خاصةً إذا كانت الأسرة تعتمد على دخل واحد. وعلى المستوى الكلّي، يُمثّل هدر رأس المال البشري خسارة اقتصادية للمجتمع، لأنّ الاستثمار في تعليم الخريجة لا يُترجَم إلى عائد إنتاجي. وقد رصدت دراسات البنك الدولي آثارًا مماثلة في كثير من دول الشرق الأوسط وشمال أفريقيا، ودعت إلى معالجة الظاهرة بوصفها قضية تنموية لا مجرّد إشكالية فردية.</w:t>
      </w:r>
    </w:p>
    <w:p w14:paraId="0EDB21E0" w14:textId="77777777" w:rsidR="00F56CD3" w:rsidRDefault="004A2CFE" w:rsidP="00DD197F">
      <w:pPr>
        <w:pStyle w:val="21"/>
        <w:spacing w:before="240" w:after="120" w:line="312" w:lineRule="auto"/>
        <w:jc w:val="right"/>
      </w:pPr>
      <w:bookmarkStart w:id="20" w:name="_Toc241526752"/>
      <w:r>
        <w:rPr>
          <w:rFonts w:ascii="Times New Roman" w:eastAsia="Traditional Arabic" w:hAnsi="Times New Roman" w:cs="Traditional Arabic"/>
          <w:color w:val="2E7D32"/>
          <w:rtl/>
        </w:rPr>
        <w:t>5.2 الآثار الاجتماعية</w:t>
      </w:r>
      <w:bookmarkEnd w:id="20"/>
    </w:p>
    <w:p w14:paraId="07AF3C76" w14:textId="77777777" w:rsidR="00F56CD3" w:rsidRDefault="004A2CFE">
      <w:pPr>
        <w:bidi/>
        <w:spacing w:after="120" w:line="360" w:lineRule="auto"/>
        <w:ind w:firstLine="425"/>
        <w:jc w:val="both"/>
      </w:pPr>
      <w:r>
        <w:rPr>
          <w:rFonts w:eastAsia="Traditional Arabic"/>
          <w:rtl/>
        </w:rPr>
        <w:t>تنعكس بطالة الخريجات على البنية الاجتماعية بأشكال متنوّعة. فعلى صعيد المكانة الاجتماعية، يُؤثّر بقاء الخريجة دون عمل على تأخّر تحوّلها من «طالبة» إلى «عاملة منتِجة»، وهو ما يُؤثّر على صورتها أمام نفسها وأمام الآخرين. وعلى صعيد الأسرة، قد تُؤدّي البطالة إلى تأخّر قرارات الاستقلال عن الأسرة أو الزواج، وأحيانًا إلى تشكّل علاقات أسرية متوترة بسبب الاعتماد المالي المستمر. ومن جانب آخر، قد تُولّد البطالة الطويلة شعورًا بالإحباط وفقدان الثقة، وهو ما يُؤثّر على المشاركة الاجتماعية والثقافية للخريجة.</w:t>
      </w:r>
    </w:p>
    <w:p w14:paraId="68AF232D" w14:textId="77777777" w:rsidR="00F56CD3" w:rsidRDefault="004A2CFE" w:rsidP="00DD197F">
      <w:pPr>
        <w:pStyle w:val="21"/>
        <w:spacing w:before="240" w:after="120" w:line="312" w:lineRule="auto"/>
        <w:jc w:val="right"/>
      </w:pPr>
      <w:bookmarkStart w:id="21" w:name="_Toc241526753"/>
      <w:r>
        <w:rPr>
          <w:rFonts w:ascii="Times New Roman" w:eastAsia="Traditional Arabic" w:hAnsi="Times New Roman" w:cs="Traditional Arabic"/>
          <w:color w:val="2E7D32"/>
          <w:rtl/>
        </w:rPr>
        <w:t>5.3 الآثار على الفرد والأسرة</w:t>
      </w:r>
      <w:bookmarkEnd w:id="21"/>
    </w:p>
    <w:p w14:paraId="21E56AEA" w14:textId="77777777" w:rsidR="00F56CD3" w:rsidRDefault="004A2CFE">
      <w:pPr>
        <w:bidi/>
        <w:spacing w:after="120" w:line="360" w:lineRule="auto"/>
        <w:ind w:firstLine="425"/>
        <w:jc w:val="both"/>
      </w:pPr>
      <w:r>
        <w:rPr>
          <w:rFonts w:eastAsia="Traditional Arabic"/>
          <w:rtl/>
        </w:rPr>
        <w:t>على المستوى الفردي، تواجه الخريجة العاطلة ضغوطًا نفسية تتعلّق بالهوية والقيمة الذاتية. فالشهادة الجامعية التي كانت تُمثّل وعدًا بمستقبل أفضل، تتحوّل أحيانًا إلى مصدر إحباط حين لا يُقابَل التحصيل العلمي بفرصة عمل. أمّا على مستوى الأسرة، فقد تظهر توترات بين رغبة الخريجة في الاستقلال وبين حاجتها للبقاء ضمن السقف الأسري. ولا يمكن افتراض أنّ جميع الخريجات يختبرن هذه الآثار بالشدة نفسها، فبعضهنّ يجدن في فترة البطالة فرصةً للدراسات العليا أو تطوير المهارات، لكنّ ذلك لا يُلغي وجود الأثر النفسي والاجتماعي الواضح في أغلب الحالات.</w:t>
      </w:r>
    </w:p>
    <w:p w14:paraId="79434641" w14:textId="77777777" w:rsidR="00F56CD3" w:rsidRDefault="004A2CFE" w:rsidP="00DD197F">
      <w:pPr>
        <w:pStyle w:val="21"/>
        <w:spacing w:before="240" w:after="120" w:line="312" w:lineRule="auto"/>
        <w:jc w:val="right"/>
      </w:pPr>
      <w:bookmarkStart w:id="22" w:name="_Toc241526754"/>
      <w:r>
        <w:rPr>
          <w:rFonts w:ascii="Times New Roman" w:eastAsia="Traditional Arabic" w:hAnsi="Times New Roman" w:cs="Traditional Arabic"/>
          <w:color w:val="2E7D32"/>
          <w:rtl/>
        </w:rPr>
        <w:t>5.4 الآثار على الاستفادة من رأس المال البشري</w:t>
      </w:r>
      <w:bookmarkEnd w:id="22"/>
    </w:p>
    <w:p w14:paraId="24EB351C" w14:textId="77777777" w:rsidR="00F56CD3" w:rsidRDefault="004A2CFE">
      <w:pPr>
        <w:bidi/>
        <w:spacing w:after="120" w:line="360" w:lineRule="auto"/>
        <w:ind w:firstLine="425"/>
        <w:jc w:val="both"/>
      </w:pPr>
      <w:r>
        <w:rPr>
          <w:rFonts w:eastAsia="Traditional Arabic"/>
          <w:rtl/>
        </w:rPr>
        <w:t>تُمثّل الخريجة الجامعية استثمارًا وطنيًا في رأس المال البشري، يبدأ من مرحلة التعليم العام وينتهي بالتخصّص الجامعي. وبقاؤها دون عمل يعني تحوّل هذا الاستثمار إلى هدر، يُكلّف الدولة سنوات من الإنفاق التعليمي دون عائد. ولا يقتصر الأمر على الجانب المالي، بل يشمل أيضًا المعرفة والمهارات التي تكتسبها الخريجة وتظلّ معطّلة. ومن أبرز الآثار في هذا الجانب، انخفاض إنتاجية القوى العاملة الوطنية ككلّ حين يبقى جزء منها مهمَّشًا، وهو ما يُضعف القدرة التنافسية للاقتصاد الوطني في المدى البعيد.</w:t>
      </w:r>
    </w:p>
    <w:p w14:paraId="6E6132A2" w14:textId="77777777" w:rsidR="00F56CD3" w:rsidRDefault="004A2CFE" w:rsidP="00DD197F">
      <w:pPr>
        <w:pStyle w:val="21"/>
        <w:spacing w:before="240" w:after="120" w:line="312" w:lineRule="auto"/>
        <w:jc w:val="right"/>
      </w:pPr>
      <w:bookmarkStart w:id="23" w:name="_Toc241526755"/>
      <w:r>
        <w:rPr>
          <w:rFonts w:ascii="Times New Roman" w:eastAsia="Traditional Arabic" w:hAnsi="Times New Roman" w:cs="Traditional Arabic"/>
          <w:color w:val="2E7D32"/>
          <w:rtl/>
        </w:rPr>
        <w:t>5.5 الآثار المرتبطة بالتمكين الاقتصادي</w:t>
      </w:r>
      <w:bookmarkEnd w:id="23"/>
    </w:p>
    <w:p w14:paraId="21E06B49" w14:textId="77777777" w:rsidR="00F56CD3" w:rsidRDefault="004A2CFE">
      <w:pPr>
        <w:bidi/>
        <w:spacing w:after="120" w:line="360" w:lineRule="auto"/>
        <w:ind w:firstLine="425"/>
        <w:jc w:val="both"/>
      </w:pPr>
      <w:r>
        <w:rPr>
          <w:rFonts w:eastAsia="Traditional Arabic"/>
          <w:rtl/>
        </w:rPr>
        <w:t>ترتبط بطالة الخريجات ارتباطًا مباشرًا بتمكين المرأة اقتصاديًا. فالتمكين، كما ستُبيّن الفقرات اللاحقة، لا يتحقّق بالشهادة وحدها، بل بالقدرة على تحويلها إلى دخل مستقل. وحين تتعطّل هذه القدرة، يتأخّر مسار التمكين بأكمله. كما أنّ البطالة الطويلة قد تُؤدّي إلى انخفاض ثقة الخريجة في قدرتها على العمل، وهو ما يُضعف من احتمال دخولها سوق العمل لاحقًا. وتُشير أدبيات منظمة العمل الدولية إلى أنّ «الانتقال العادل» من التعليم إلى العمل شرط أساسي لتحقيق التمكين الاقتصادي، وأنّ تعطّل هذا الانتقال يُؤثّر سلبًا على المرأة بصورة مضاعفة.</w:t>
      </w:r>
    </w:p>
    <w:p w14:paraId="3980A1B7" w14:textId="77777777" w:rsidR="00F56CD3" w:rsidRDefault="004A2CFE" w:rsidP="00DD197F">
      <w:pPr>
        <w:pStyle w:val="1"/>
        <w:spacing w:before="360" w:after="200" w:line="312" w:lineRule="auto"/>
        <w:jc w:val="right"/>
      </w:pPr>
      <w:bookmarkStart w:id="24" w:name="_Toc241526756"/>
      <w:r>
        <w:rPr>
          <w:rFonts w:ascii="Times New Roman" w:eastAsia="Traditional Arabic" w:hAnsi="Times New Roman" w:cs="Traditional Arabic"/>
          <w:color w:val="0B3D2E"/>
          <w:rtl/>
        </w:rPr>
        <w:t>6. تحليل المشكلة من منظور علم الاجتماع الاقتصادي</w:t>
      </w:r>
      <w:bookmarkEnd w:id="24"/>
    </w:p>
    <w:p w14:paraId="16C8CD4A" w14:textId="77777777" w:rsidR="00F56CD3" w:rsidRDefault="004A2CFE">
      <w:pPr>
        <w:bidi/>
        <w:spacing w:after="120" w:line="360" w:lineRule="auto"/>
        <w:ind w:firstLine="425"/>
        <w:jc w:val="both"/>
      </w:pPr>
      <w:r>
        <w:rPr>
          <w:rFonts w:eastAsia="Traditional Arabic"/>
          <w:rtl/>
        </w:rPr>
        <w:t>يُقدّم علم الاجتماع الاقتصادي عدسة تحليلية تتجاوز قراءة بطالة الخريجات بوصفها مجرّد أرقام في مسح القوى العاملة. ويُركّز هذا الفرع على العلاقة بين البُنى الاقتصادية والبُنى الاجتماعية، وعلى كيفية تأثير كل منهما في الآخر. ومن هذا المنظور، تُعدّ بطالة الخريجات ظاهرة اجتماعية-اقتصادية في آن واحد: اقتصادية لأنّها تتعلّق بسوق العمل والإنتاج والدخل، واجتماعية لأنّها تتعلّق بمكانة المرأة وبالبنى المؤسسية والقيمية المحيطة بها.</w:t>
      </w:r>
    </w:p>
    <w:p w14:paraId="30784143" w14:textId="77777777" w:rsidR="00F56CD3" w:rsidRDefault="004A2CFE">
      <w:pPr>
        <w:bidi/>
        <w:spacing w:after="120" w:line="360" w:lineRule="auto"/>
        <w:ind w:firstLine="425"/>
        <w:jc w:val="both"/>
      </w:pPr>
      <w:r>
        <w:rPr>
          <w:rFonts w:eastAsia="Traditional Arabic"/>
          <w:rtl/>
        </w:rPr>
        <w:t>تنطلق التحليلات السوسيولوجية من فكرة أنّ «التعليم» ليس مجرّد اكتساب للمعرفة، بل هو قناة لإعادة إنتاج البنية الاجتماعية أو لتغييرها. فحين تدخل المرأة الجامعة، فإنّها تتوقّع أنّ الشهادة ستفتح لها فرصًا اقتصادية واجتماعية أوسع. وحين تتعطّل هذه القناة، يظهر ما يُسمّى في الأدبيات بـ«أزمة الانتقال»، وهي أزمة تقع بين ما كان متوقَّعًا وما هو واقع. ويُفسّر علم الاجتماع الاقتصادي هذا التعطّل بطرق متعدّدة، أبرزها: عدم تطابق منظومة التعليم مع البنية الاقتصادية القائمة، وضعف المرونة في سوق العمل، وتأثير العوامل المؤسسية والثقافية.</w:t>
      </w:r>
    </w:p>
    <w:p w14:paraId="106C75B8" w14:textId="77777777" w:rsidR="00F56CD3" w:rsidRDefault="004A2CFE">
      <w:pPr>
        <w:bidi/>
        <w:spacing w:after="120" w:line="360" w:lineRule="auto"/>
        <w:ind w:firstLine="425"/>
        <w:jc w:val="both"/>
      </w:pPr>
      <w:r>
        <w:rPr>
          <w:rFonts w:eastAsia="Traditional Arabic"/>
          <w:rtl/>
        </w:rPr>
        <w:t>يربط علم الاجتماع الاقتصادي كذلك بين قضية بطالة الخريجات وبين «رأس المال البشري» و«رأس المال الاجتماعي». فالخريجة التي تخرج من الجامعة تمتلك رأس مال بشري (مهارات ومعرفة)، لكنّها قد لا تمتلك رأس المال الاجتماعي (شبكة علاقات مهنية) الذي يُتيح لها الوصول إلى فرص العمل. وفي المجتمعات التي يعتمد فيها التوظيف أحيانًا على المعرفة الشخصية بقدر اعتماده على الإعلانات الرسمية، تصبح شبكة العلاقات عاملاً حاسمًا. وهذا يُفسّر لماذا تستفيد بعض الخريجات من فترة الدراسة لبناء علاقات تُساعدها لاحقًا في إيجاد العمل، فيما لا تستفيد خريجات أخريات من هذه الفرصة.</w:t>
      </w:r>
    </w:p>
    <w:p w14:paraId="2BECC72C" w14:textId="77777777" w:rsidR="00F56CD3" w:rsidRDefault="004A2CFE">
      <w:pPr>
        <w:bidi/>
        <w:spacing w:after="120" w:line="360" w:lineRule="auto"/>
        <w:ind w:firstLine="425"/>
        <w:jc w:val="both"/>
      </w:pPr>
      <w:r>
        <w:rPr>
          <w:rFonts w:eastAsia="Traditional Arabic"/>
          <w:rtl/>
        </w:rPr>
        <w:t>يربط علم الاجتماع الاقتصادي كذلك بين ظاهرة بطالة الخريجات وبين مسألة «الحراك الاجتماعي». فالمرأة التي تنحدر من أسرة ذات مستوى اجتماعي واقتصادي أقلّ، وتلتحق بالجامعة، تتوقّع أن تتحرّك اجتماعيًا إلى أعلى عبر العمل. وحين يتعطّل هذا الانتقال، تتأثّر مسارات الحراك الاجتماعي بأكملها. كما يُؤثّر الموقع الجغرافي على هذه المسألة، إذ تجد الخريجة في مدينة كبرى كالرياض فرصًا أكبر من تلك التي تجدها الخريجة في منطقة نائية. وهنا تبرز أهمية تحليل العلاقة بين الجغرافيا والفرص الاقتصادية، وهو ما يُعرف بـ«الجغرافيا الاقتصادية» ضمن علم الاجتماع الاقتصادي.</w:t>
      </w:r>
    </w:p>
    <w:p w14:paraId="35A1A6B8" w14:textId="77777777" w:rsidR="00F56CD3" w:rsidRDefault="004A2CFE">
      <w:pPr>
        <w:bidi/>
        <w:spacing w:after="120" w:line="360" w:lineRule="auto"/>
        <w:ind w:firstLine="425"/>
        <w:jc w:val="both"/>
      </w:pPr>
      <w:r>
        <w:rPr>
          <w:rFonts w:eastAsia="Traditional Arabic"/>
          <w:rtl/>
        </w:rPr>
        <w:t>تُبرز هذه الزاوية السوسيولوجية أيضًا دور المؤسّسات. فوزارة التعليم ووزارة الموارد البشرية وصندوق تنمية الموارد البشرية والهيئة العامة للإحصاء تشكّل منظومة مؤسسية متشابكة، يُؤثّر أداء كل منها في الأخرى. وحين يكون التنسيق بينها ضعيفًا، يظهر خلل في معالجة المشكلة. ومن هذا المنطلق، يُمكن فهم التوصيات اللاحقة في هذا البحث التي تركّز على ضرورة التنسيق المؤسسي وتطوير قنوات اتصال واضحة بين الجامعات وسوق العمل والجهات التنفيذية.</w:t>
      </w:r>
    </w:p>
    <w:p w14:paraId="1585C27A" w14:textId="77777777" w:rsidR="00F56CD3" w:rsidRDefault="004A2CFE" w:rsidP="00DD197F">
      <w:pPr>
        <w:pStyle w:val="1"/>
        <w:spacing w:before="360" w:after="200" w:line="312" w:lineRule="auto"/>
        <w:jc w:val="right"/>
      </w:pPr>
      <w:bookmarkStart w:id="25" w:name="_Toc241526757"/>
      <w:r>
        <w:rPr>
          <w:rFonts w:ascii="Times New Roman" w:eastAsia="Traditional Arabic" w:hAnsi="Times New Roman" w:cs="Traditional Arabic"/>
          <w:color w:val="0B3D2E"/>
          <w:rtl/>
        </w:rPr>
        <w:t>7. بطالة الخريجات والتمكين الاقتصادي للمرأة</w:t>
      </w:r>
      <w:bookmarkEnd w:id="25"/>
    </w:p>
    <w:p w14:paraId="47828FCC" w14:textId="77777777" w:rsidR="00F56CD3" w:rsidRDefault="004A2CFE" w:rsidP="00DD197F">
      <w:pPr>
        <w:pStyle w:val="21"/>
        <w:spacing w:before="240" w:after="120" w:line="312" w:lineRule="auto"/>
        <w:jc w:val="right"/>
      </w:pPr>
      <w:bookmarkStart w:id="26" w:name="_Toc241526758"/>
      <w:r>
        <w:rPr>
          <w:rFonts w:ascii="Times New Roman" w:eastAsia="Traditional Arabic" w:hAnsi="Times New Roman" w:cs="Traditional Arabic"/>
          <w:color w:val="2E7D32"/>
          <w:rtl/>
        </w:rPr>
        <w:t>7.1 مفهوم التمكين الاقتصادي</w:t>
      </w:r>
      <w:bookmarkEnd w:id="26"/>
    </w:p>
    <w:p w14:paraId="76D357E7" w14:textId="77777777" w:rsidR="00F56CD3" w:rsidRDefault="004A2CFE">
      <w:pPr>
        <w:bidi/>
        <w:spacing w:after="120" w:line="360" w:lineRule="auto"/>
        <w:ind w:firstLine="425"/>
        <w:jc w:val="both"/>
      </w:pPr>
      <w:r>
        <w:rPr>
          <w:rFonts w:eastAsia="Traditional Arabic"/>
          <w:rtl/>
        </w:rPr>
        <w:t>يُشير مفهوم التمكين الاقتصادي للمرأة، كما تُعرّفه الأمم المتحدة ومنظمة «UN Women»، إلى قدرة المرأة على المشاركة في الحياة الاقتصادية بشكل مساوٍ للرجل، عبر الحصول على فرص عمل لائقة، والدخل المستقل، والقدرة على اتخاذ القرارات الاقتصادية. ولا يُختصر التمكين في «وجود وظيفة»، بل يشمل جودة الوظيفة، ومدى استقرارها، وحجم الدخل الذي تُحقّقه، ومدى إتاحتها فرصًا للتطوّر المهني. ووفق هذا التعريف، فإنّ مجرّد انخفاض معدّل البطالة لا يعني بالضرورة تحقّق التمكين، ما لم تكن الوظائف المُتاحة ذات جودة تليق بالخريجة الجامعية.</w:t>
      </w:r>
    </w:p>
    <w:p w14:paraId="24E02E1C" w14:textId="77777777" w:rsidR="00F56CD3" w:rsidRDefault="004A2CFE" w:rsidP="00DD197F">
      <w:pPr>
        <w:pStyle w:val="21"/>
        <w:spacing w:before="240" w:after="120" w:line="312" w:lineRule="auto"/>
        <w:jc w:val="right"/>
      </w:pPr>
      <w:bookmarkStart w:id="27" w:name="_Toc241526759"/>
      <w:r>
        <w:rPr>
          <w:rFonts w:ascii="Times New Roman" w:eastAsia="Traditional Arabic" w:hAnsi="Times New Roman" w:cs="Traditional Arabic"/>
          <w:color w:val="2E7D32"/>
          <w:rtl/>
        </w:rPr>
        <w:t>7.2 العلاقة بين العمل والاستقلال الاقتصادي</w:t>
      </w:r>
      <w:bookmarkEnd w:id="27"/>
    </w:p>
    <w:p w14:paraId="47559EF2" w14:textId="77777777" w:rsidR="00F56CD3" w:rsidRDefault="004A2CFE">
      <w:pPr>
        <w:bidi/>
        <w:spacing w:after="120" w:line="360" w:lineRule="auto"/>
        <w:ind w:firstLine="425"/>
        <w:jc w:val="both"/>
      </w:pPr>
      <w:r>
        <w:rPr>
          <w:rFonts w:eastAsia="Traditional Arabic"/>
          <w:rtl/>
        </w:rPr>
        <w:t>يُمثّل العمل المنتِج القناة الأساسية للاستقلال الاقتصادي. فالخريجة التي تحصل على وظيفة مستقرّة بم薪 لائق تصبح قادرة على تقرير مصيرها المالي، وعلى المساهمة في نفقات الأسرة، وعلى الاستثمار في تطوير نفسها. كما يفتح العمل أمامها فرصًا للادخار والاستثمار، ويسمح لها بدخول الأسواق المالية كمنتج لا كمستهلِك فحسب. أمّا حين تتعطّل هذه القناة، فإنّ الخريجة تبقى معتمدة على الأسرة، وإن اختلفت درجة هذا الاعتماد من حالة إلى أخرى. وتُشير تقارير منظمة العمل الدولية إلى أنّ الاستقلال الاقتصادي شرط أساسي لمشاركة المرأة في القرار العام، وليس مجرّد نتيجة ثانوية للتوظيف.</w:t>
      </w:r>
    </w:p>
    <w:p w14:paraId="3ABF7B49" w14:textId="77777777" w:rsidR="00F56CD3" w:rsidRDefault="004A2CFE" w:rsidP="00DD197F">
      <w:pPr>
        <w:pStyle w:val="21"/>
        <w:spacing w:before="240" w:after="120" w:line="312" w:lineRule="auto"/>
        <w:jc w:val="right"/>
      </w:pPr>
      <w:bookmarkStart w:id="28" w:name="_Toc241526760"/>
      <w:r>
        <w:rPr>
          <w:rFonts w:ascii="Times New Roman" w:eastAsia="Traditional Arabic" w:hAnsi="Times New Roman" w:cs="Traditional Arabic"/>
          <w:color w:val="2E7D32"/>
          <w:rtl/>
        </w:rPr>
        <w:t>7.3 فرص المشاركة الاقتصادية</w:t>
      </w:r>
      <w:bookmarkEnd w:id="28"/>
    </w:p>
    <w:p w14:paraId="5EE98366" w14:textId="77777777" w:rsidR="00F56CD3" w:rsidRDefault="004A2CFE">
      <w:pPr>
        <w:bidi/>
        <w:spacing w:after="120" w:line="360" w:lineRule="auto"/>
        <w:ind w:firstLine="425"/>
        <w:jc w:val="both"/>
      </w:pPr>
      <w:r>
        <w:rPr>
          <w:rFonts w:eastAsia="Traditional Arabic"/>
          <w:rtl/>
        </w:rPr>
        <w:t>تتعدّد فرص المشاركة الاقتصادية المُتاحة للمرأة السعودية اليوم، ولا تنحصر في الوظيفة التقليدية. فقد فتحت الرؤية 2030 والتحوّلات الأخيرة أبوابًا واسعة للمرأة في قطاعات لم تكن مفتوحة لها بشكل واسع، مثل: الاستشارات القانونية، والهندسة، والإعلام، والسياحة، والترفيه، والتقنية. كما تتزايد فرص ريادة الأعمال النسائية في المملكة عبر برامج الإحتضان مثل «بادر» التابعة لمسك، ومنصّات التمويل مثل «مصرف الإنماء» وبرامج صندوق التنمية الصناعية. وتُمثّل ريادة الأعمال بديلًا مهمًا للوظيفة، خاصةً للخريجات اللواتي يمتلكن أفكارًا مبتكرة أو رغبة في تحويل تخصّصهنّ إلى مشروع صغير.</w:t>
      </w:r>
    </w:p>
    <w:p w14:paraId="3F62BEC4" w14:textId="77777777" w:rsidR="00F56CD3" w:rsidRDefault="004A2CFE" w:rsidP="00DD197F">
      <w:pPr>
        <w:pStyle w:val="21"/>
        <w:spacing w:before="240" w:after="120" w:line="312" w:lineRule="auto"/>
        <w:jc w:val="right"/>
      </w:pPr>
      <w:bookmarkStart w:id="29" w:name="_Toc241526761"/>
      <w:r>
        <w:rPr>
          <w:rFonts w:ascii="Times New Roman" w:eastAsia="Traditional Arabic" w:hAnsi="Times New Roman" w:cs="Traditional Arabic"/>
          <w:color w:val="2E7D32"/>
          <w:rtl/>
        </w:rPr>
        <w:t>7.4 التحديات أمام التمكين</w:t>
      </w:r>
      <w:bookmarkEnd w:id="29"/>
    </w:p>
    <w:p w14:paraId="4A3D2F75" w14:textId="77777777" w:rsidR="00F56CD3" w:rsidRDefault="004A2CFE">
      <w:pPr>
        <w:bidi/>
        <w:spacing w:after="120" w:line="360" w:lineRule="auto"/>
        <w:ind w:firstLine="425"/>
        <w:jc w:val="both"/>
      </w:pPr>
      <w:r>
        <w:rPr>
          <w:rFonts w:eastAsia="Traditional Arabic"/>
          <w:rtl/>
        </w:rPr>
        <w:t>رغم هذه الفرص، تواجه الخريجة تحدّيات حقيقية أمام التمكين الاقتصادي. أولها، محدودية بعض الوظائف المُتاحة من حيث الأجر والاستقرار، حيث قد تُضطرّ الخريجة لقبول وظيفة بأجر منخفض لا يُتيح لها استقلالًا حقيقيًا. وثانيها، التوازن الصعب بين الالتزامات الأسرية (الزواج، الإنجاب، رعاية الأطفال) ومتطلبات العمل. وثالثها، الفجوة في الأجور بين الجنسين في بعض القطاعات، وهي ظاهرة وثّقتها منظمة العمل الدولية في كثير من الدول، وإن كانت بياناتها في المملكة لا تزال محدودة علنيًا. ورابعها، محدودية التمويل الميسّر للمشاريع الصغيرة التي تُديرها نساء، رغم وجود بعض البرامج الموجَّهة. ولمعالجة هذه التحدّيات، لا بدّ من سياسات تنسيقية تجمع بين وزارة الموارد البشرية ووزارة التعليم ومصرف الإنماء والجهات التمويلية الأخرى.</w:t>
      </w:r>
    </w:p>
    <w:p w14:paraId="28527592" w14:textId="77777777" w:rsidR="00F56CD3" w:rsidRDefault="004A2CFE" w:rsidP="00DD197F">
      <w:pPr>
        <w:pStyle w:val="1"/>
        <w:spacing w:before="360" w:after="200" w:line="312" w:lineRule="auto"/>
        <w:jc w:val="right"/>
      </w:pPr>
      <w:bookmarkStart w:id="30" w:name="_Toc241526762"/>
      <w:r>
        <w:rPr>
          <w:rFonts w:ascii="Times New Roman" w:eastAsia="Traditional Arabic" w:hAnsi="Times New Roman" w:cs="Traditional Arabic"/>
          <w:color w:val="0B3D2E"/>
          <w:rtl/>
        </w:rPr>
        <w:t>8. الفئات المتأثرة والمستفيدة</w:t>
      </w:r>
      <w:bookmarkEnd w:id="30"/>
    </w:p>
    <w:p w14:paraId="7E752240" w14:textId="77777777" w:rsidR="00F56CD3" w:rsidRDefault="004A2CFE">
      <w:pPr>
        <w:bidi/>
        <w:spacing w:after="120" w:line="360" w:lineRule="auto"/>
        <w:ind w:firstLine="425"/>
        <w:jc w:val="both"/>
      </w:pPr>
      <w:r>
        <w:rPr>
          <w:rFonts w:eastAsia="Traditional Arabic"/>
          <w:rtl/>
        </w:rPr>
        <w:t>تتنوّع الفئات المتأثّرة بظاهرة بطالة خريجات الجامعات في المملكة العربية السعودية، وتختلف درجة تأثّرها باختلاف الموقع الديموغرافي والاجتماعي والاقتصادي. ويُمكن تصنيف هذه الفئات على النحو التالي:</w:t>
      </w:r>
    </w:p>
    <w:p w14:paraId="6EAFE4A3" w14:textId="77777777" w:rsidR="00F56CD3" w:rsidRDefault="004A2CFE" w:rsidP="00DD197F">
      <w:pPr>
        <w:pStyle w:val="21"/>
        <w:spacing w:before="240" w:after="120" w:line="312" w:lineRule="auto"/>
        <w:jc w:val="right"/>
      </w:pPr>
      <w:bookmarkStart w:id="31" w:name="_Toc241526763"/>
      <w:r>
        <w:rPr>
          <w:rFonts w:ascii="Times New Roman" w:eastAsia="Traditional Arabic" w:hAnsi="Times New Roman" w:cs="Traditional Arabic"/>
          <w:color w:val="2E7D32"/>
          <w:rtl/>
        </w:rPr>
        <w:t>8.1 الخريجات أنفسهنّ</w:t>
      </w:r>
      <w:bookmarkEnd w:id="31"/>
    </w:p>
    <w:p w14:paraId="6CE336ED" w14:textId="77777777" w:rsidR="00F56CD3" w:rsidRDefault="004A2CFE">
      <w:pPr>
        <w:bidi/>
        <w:spacing w:after="120" w:line="360" w:lineRule="auto"/>
        <w:ind w:firstLine="425"/>
        <w:jc w:val="both"/>
      </w:pPr>
      <w:r>
        <w:rPr>
          <w:rFonts w:eastAsia="Traditional Arabic"/>
          <w:rtl/>
        </w:rPr>
        <w:t>تُمثّل الخريجة الفئة الأولى المتأثّرة مباشرةً بالبطالة. وتختلف درجة تأثّرها حسب تخصصها، ومدة بطالتها، وموقعها الجغرافي، ووجود دعم أسري من عدمه. فالخريجة في تخصص نادر الطلب قد تجد وظيفة أسرع من تلك التي درست تخصصًا مُشبَعًا. والخريجة في الرياض وجدة تجد فرصًا أكثر من تلك التي تعيش في منطقة نائية. والخريجة التي تحصل على دعم أسري قد تنفق فترة البطالة في تطوير مهاراتها، فيما قد تُضطرّ الأخرى لقبول أيّ وظيفة لأسباب مالية.</w:t>
      </w:r>
    </w:p>
    <w:p w14:paraId="63BF09B9" w14:textId="77777777" w:rsidR="00F56CD3" w:rsidRDefault="004A2CFE" w:rsidP="00DD197F">
      <w:pPr>
        <w:pStyle w:val="21"/>
        <w:spacing w:before="240" w:after="120" w:line="312" w:lineRule="auto"/>
        <w:jc w:val="right"/>
      </w:pPr>
      <w:bookmarkStart w:id="32" w:name="_Toc241526764"/>
      <w:r>
        <w:rPr>
          <w:rFonts w:ascii="Times New Roman" w:eastAsia="Traditional Arabic" w:hAnsi="Times New Roman" w:cs="Traditional Arabic"/>
          <w:color w:val="2E7D32"/>
          <w:rtl/>
        </w:rPr>
        <w:t>8.2 الأسرة السعودية</w:t>
      </w:r>
      <w:bookmarkEnd w:id="32"/>
    </w:p>
    <w:p w14:paraId="32E4E024" w14:textId="77777777" w:rsidR="00F56CD3" w:rsidRDefault="004A2CFE">
      <w:pPr>
        <w:bidi/>
        <w:spacing w:after="120" w:line="360" w:lineRule="auto"/>
        <w:ind w:firstLine="425"/>
        <w:jc w:val="both"/>
      </w:pPr>
      <w:r>
        <w:rPr>
          <w:rFonts w:eastAsia="Traditional Arabic"/>
          <w:rtl/>
        </w:rPr>
        <w:t>تتأثّر الأسرة السعودية ببطالة الخريجات بعدّة طرق. فعلى الصعيد المالي، قد تتحمّل الأسرة إعالة الخريجة لفترة أطول من المتوقّع. وعلى الصعيد الاجتماعي، قد تتأخّر قرارات الاستقلال أو الزواج. ومن جانب آخر، قد تجد الأسرة نفسها مضطرّة لتقديم دعم معنوي ونفسي للخريجة، خاصةً في فترات الإحباط. ولا يُمكن تعميم هذه الآثار، إذ تختلف من أسرة لأخرى بحسب تركيبتها الاقتصادية والاجتماعية.</w:t>
      </w:r>
    </w:p>
    <w:p w14:paraId="11778811" w14:textId="77777777" w:rsidR="00F56CD3" w:rsidRDefault="004A2CFE" w:rsidP="00DD197F">
      <w:pPr>
        <w:pStyle w:val="21"/>
        <w:spacing w:before="240" w:after="120" w:line="312" w:lineRule="auto"/>
        <w:jc w:val="right"/>
      </w:pPr>
      <w:bookmarkStart w:id="33" w:name="_Toc241526765"/>
      <w:r>
        <w:rPr>
          <w:rFonts w:ascii="Times New Roman" w:eastAsia="Traditional Arabic" w:hAnsi="Times New Roman" w:cs="Traditional Arabic"/>
          <w:color w:val="2E7D32"/>
          <w:rtl/>
        </w:rPr>
        <w:t>8.3 الدولة والمجتمع</w:t>
      </w:r>
      <w:bookmarkEnd w:id="33"/>
    </w:p>
    <w:p w14:paraId="31ABB67D" w14:textId="77777777" w:rsidR="00F56CD3" w:rsidRDefault="004A2CFE">
      <w:pPr>
        <w:bidi/>
        <w:spacing w:after="120" w:line="360" w:lineRule="auto"/>
        <w:ind w:firstLine="425"/>
        <w:jc w:val="both"/>
      </w:pPr>
      <w:r>
        <w:rPr>
          <w:rFonts w:eastAsia="Traditional Arabic"/>
          <w:rtl/>
        </w:rPr>
        <w:t>تتأثّر الدولة ببطالة الخريجات على المدى البعيد، إذ يُمثّل هدر رأس المال البشري خسارة اقتصادية واستراتيجية. كما تتأثّر رؤية السعودية 2030، التي وضعت رفع مشاركة المرأة في سوق العمل ضمن مستهدفاتها. وفي حال بقاء المشكلة دون معالجة جدّية، قد يتأخّر تحقّق بعض مستهدفات الرؤية. ويُؤثّر الأمر على المجتمع ككلّ، حيث تُمثّل كل خريجة عاطلة إهدارًا لطاقة إنتاجية كانت يمكن أن تُسهم في التنمية.</w:t>
      </w:r>
    </w:p>
    <w:p w14:paraId="2384A9BC" w14:textId="77777777" w:rsidR="00F56CD3" w:rsidRDefault="004A2CFE" w:rsidP="00DD197F">
      <w:pPr>
        <w:pStyle w:val="21"/>
        <w:spacing w:before="240" w:after="120" w:line="312" w:lineRule="auto"/>
        <w:jc w:val="right"/>
      </w:pPr>
      <w:bookmarkStart w:id="34" w:name="_Toc241526766"/>
      <w:r>
        <w:rPr>
          <w:rFonts w:ascii="Times New Roman" w:eastAsia="Traditional Arabic" w:hAnsi="Times New Roman" w:cs="Traditional Arabic"/>
          <w:color w:val="2E7D32"/>
          <w:rtl/>
        </w:rPr>
        <w:t>8.4 الفئات المستفيدة من معالجة المشكلة</w:t>
      </w:r>
      <w:bookmarkEnd w:id="34"/>
    </w:p>
    <w:p w14:paraId="33706059" w14:textId="77777777" w:rsidR="00F56CD3" w:rsidRDefault="004A2CFE">
      <w:pPr>
        <w:bidi/>
        <w:spacing w:after="120" w:line="360" w:lineRule="auto"/>
        <w:ind w:firstLine="425"/>
        <w:jc w:val="both"/>
      </w:pPr>
      <w:r>
        <w:rPr>
          <w:rFonts w:eastAsia="Traditional Arabic"/>
          <w:rtl/>
        </w:rPr>
        <w:t>حين تُعالَج المشكلة، تستفيد فئات متعدّدة. أولها، الخريجات أنفسهنّ، اللواتي يجدن وظائف لائقة. وثانيها، الأسر التي يتحرّر جزء من عبئها المالي. وثالثها، الدولة التي تُحقّق مستهدفاتها في رفع مشاركة المرأة وتنويع القوى العاملة. ورابعها، القطاع الخاص الذي يحصل على كوادر مؤهّلة. وخامسها، الاقتصاد الوطني بأكمله، الذي يستفيد من إضافة قوى عاملة مؤهّلة. ومن هنا تبرز أهمية تكاتف الجهود الحكومية والخاصة لمواجهة المشكلة.</w:t>
      </w:r>
    </w:p>
    <w:p w14:paraId="792D0202" w14:textId="77777777" w:rsidR="00F56CD3" w:rsidRDefault="004A2CFE" w:rsidP="00DD197F">
      <w:pPr>
        <w:pStyle w:val="1"/>
        <w:spacing w:before="360" w:after="200" w:line="312" w:lineRule="auto"/>
        <w:jc w:val="right"/>
      </w:pPr>
      <w:bookmarkStart w:id="35" w:name="_Toc241526767"/>
      <w:r>
        <w:rPr>
          <w:rFonts w:ascii="Times New Roman" w:eastAsia="Traditional Arabic" w:hAnsi="Times New Roman" w:cs="Traditional Arabic"/>
          <w:color w:val="0B3D2E"/>
          <w:rtl/>
        </w:rPr>
        <w:t>9. العلاقة بين معالجة المشكلة ورؤية السعودية 2030</w:t>
      </w:r>
      <w:bookmarkEnd w:id="35"/>
    </w:p>
    <w:p w14:paraId="4EB2F219" w14:textId="77777777" w:rsidR="00F56CD3" w:rsidRDefault="004A2CFE">
      <w:pPr>
        <w:bidi/>
        <w:spacing w:after="120" w:line="360" w:lineRule="auto"/>
        <w:ind w:firstLine="425"/>
        <w:jc w:val="both"/>
      </w:pPr>
      <w:r>
        <w:rPr>
          <w:rFonts w:eastAsia="Traditional Arabic"/>
          <w:rtl/>
        </w:rPr>
        <w:t>تُمثّل رؤية السعودية 2030 الإطار الاستراتيجي الذي يُحدّد مسار التحوّلات الاقتصادية والاجتماعية في المملكة. وقد وضعت الرؤية ضمن مستهدفاتها رفع نسبة مشاركة المرأة في سوق العمل إلى 30% بحلول 2030، وقد تحقّق هذا المستهدف قبل موعده، حيث تجاوزت النسبة 35% في 2023. ولم يكن هذا الإنجاز ليحدث لولا حزمة من السياسات والبرامج التنفيذية التي تواكبها الرؤية، ومنها: برنامج التحوّل الوطني 2020، وبرنامج تطوير القطاع المالي، وبرنامج جودة الحياة، إضافةً إلى قرارات تنظيمية مهمّة تتعلّق بقيادة المرأة للسيارة وتوسيع قطاعات العمل المُتاحة لها.</w:t>
      </w:r>
    </w:p>
    <w:p w14:paraId="41FE8E29" w14:textId="77777777" w:rsidR="00F56CD3" w:rsidRDefault="004A2CFE">
      <w:pPr>
        <w:bidi/>
        <w:spacing w:after="120" w:line="360" w:lineRule="auto"/>
        <w:ind w:firstLine="425"/>
        <w:jc w:val="both"/>
      </w:pPr>
      <w:r>
        <w:rPr>
          <w:rFonts w:eastAsia="Traditional Arabic"/>
          <w:rtl/>
        </w:rPr>
        <w:t>على مستوى برنامج التحوّل الوطني (NTP)، يُمثّل تطوير رأس المال البشري وتنمية القوى العاملة أحد محاوره الرئيسة. ويُترجَم هذا المحور إلى مبادرات نوعية تخصّ المرأة، منها: تطوير منظومة التدريب المهني، وإطلاق منصّات التوظيف الإلكترونية، ودعم برامج التدريب التعاوني بين الجامعات والقطاع الخاص. كما يُولي البرنامج اهتمامًا خاصًا بتطوير قطاع رعاية الأطفال، إدراكًا لأهميته في تمكين المرأة من الالتحاق بسوق العمل، وهو ما تمّ تأكيده في تقارير متابعة الرؤية السنوية.</w:t>
      </w:r>
    </w:p>
    <w:p w14:paraId="5DA09601" w14:textId="77777777" w:rsidR="00F56CD3" w:rsidRDefault="004A2CFE">
      <w:pPr>
        <w:bidi/>
        <w:spacing w:after="120" w:line="360" w:lineRule="auto"/>
        <w:ind w:firstLine="425"/>
        <w:jc w:val="both"/>
      </w:pPr>
      <w:r>
        <w:rPr>
          <w:rFonts w:eastAsia="Traditional Arabic"/>
          <w:rtl/>
        </w:rPr>
        <w:t>على مستوى برنامج «جودة الحياة»، يُولي البرنامج اهتمامًا بتطوير بيئة العمل بما يتناسب مع احتياجات المرأة، وتنويع قطاعات العمل المُتاحة لها. كما يربط البرنامج بين جودة الحياة والمشاركة الاقتصادية، انطلاقًا من فكرة أنّ مشاركة المرأة في العمل تُسهم في رفع المستوى المعيشي للأسرة وفي تحسين جودة الحياة العامة. أمّا برنامج تطوير القطاع المالي، فيعمل على تطوير منصّات التمويل التي تُتيح للمرأة الحصول على تمويل لمشاريعها الصغيرة، وتطوير صكوك التمويل المُيسَّر.</w:t>
      </w:r>
    </w:p>
    <w:p w14:paraId="74A79FC4" w14:textId="77777777" w:rsidR="00F56CD3" w:rsidRDefault="004A2CFE">
      <w:pPr>
        <w:bidi/>
        <w:spacing w:after="120" w:line="360" w:lineRule="auto"/>
        <w:ind w:firstLine="425"/>
        <w:jc w:val="both"/>
      </w:pPr>
      <w:r>
        <w:rPr>
          <w:rFonts w:eastAsia="Traditional Arabic"/>
          <w:rtl/>
        </w:rPr>
        <w:t>ولا تقتصر العلاقة بين رؤية 2030 وبطالة الخريجات على المستوى الكمّي (نسبة المشاركة)، بل تمتدّ إلى المستوى النوعي (جودة الوظائف). فالرؤية لا تكتفي برفع نسبة المشاركة، بل تسعى إلى توفير وظائف لائقة تليق بالخريجة السعودية، وتربط بين التوظيف والتدريب المهني المستمر. ومن هذا المنطلق، تُمثّل برامج صندوق تنمية الموارد البشرية «هدف»، وبرنامج «تمهير»، ومنصّة «دروب»، قنوات تنفيذية مهمّة لتوصيل توجّهات الرؤية إلى الواقع العملي.</w:t>
      </w:r>
    </w:p>
    <w:p w14:paraId="5DA9289F" w14:textId="77777777" w:rsidR="00F56CD3" w:rsidRDefault="004A2CFE" w:rsidP="00DD197F">
      <w:pPr>
        <w:pStyle w:val="1"/>
        <w:spacing w:before="360" w:after="200" w:line="312" w:lineRule="auto"/>
        <w:jc w:val="right"/>
      </w:pPr>
      <w:bookmarkStart w:id="36" w:name="_Toc241526768"/>
      <w:r>
        <w:rPr>
          <w:rFonts w:ascii="Times New Roman" w:eastAsia="Traditional Arabic" w:hAnsi="Times New Roman" w:cs="Traditional Arabic"/>
          <w:color w:val="0B3D2E"/>
          <w:rtl/>
        </w:rPr>
        <w:t>10. البرامج والمبادرات والجهود السعودية</w:t>
      </w:r>
      <w:bookmarkEnd w:id="36"/>
    </w:p>
    <w:p w14:paraId="3D8856B8" w14:textId="77777777" w:rsidR="00F56CD3" w:rsidRDefault="004A2CFE" w:rsidP="00DD197F">
      <w:pPr>
        <w:pStyle w:val="21"/>
        <w:spacing w:before="240" w:after="120" w:line="312" w:lineRule="auto"/>
        <w:jc w:val="right"/>
      </w:pPr>
      <w:bookmarkStart w:id="37" w:name="_Toc241526769"/>
      <w:r>
        <w:rPr>
          <w:rFonts w:ascii="Times New Roman" w:eastAsia="Traditional Arabic" w:hAnsi="Times New Roman" w:cs="Traditional Arabic"/>
          <w:color w:val="2E7D32"/>
          <w:rtl/>
        </w:rPr>
        <w:t>10.1 صندوق تنمية الموارد البشرية (هدف)</w:t>
      </w:r>
      <w:bookmarkEnd w:id="37"/>
    </w:p>
    <w:p w14:paraId="3273AD75" w14:textId="77777777" w:rsidR="00F56CD3" w:rsidRDefault="004A2CFE">
      <w:pPr>
        <w:bidi/>
        <w:spacing w:after="120" w:line="360" w:lineRule="auto"/>
        <w:ind w:firstLine="425"/>
        <w:jc w:val="both"/>
      </w:pPr>
      <w:r>
        <w:rPr>
          <w:rFonts w:eastAsia="Traditional Arabic"/>
          <w:rtl/>
        </w:rPr>
        <w:t>يُعدّ صندوق تنمية الموارد البشرية «هدف»، التابع لوزارة الموارد البشرية والتنمية الاجتماعية، الذراع التنفيذية الأبرز لدعم توظيف السعوديين والسعوديات. ويُقدّم الصندوق برامج متعدّدة، أبرزها: برنامج «دعم التوظيف» الذي يتحمّل جزءًا من راتب الموظف السعودي في القطاع الخاص، وبرنامج «تمهير» للتدريب على رأس العمل، ومنصّة «دروب» للتدريب الإلكتروني. كما يُقدّم «هدف» برامج مخصّصة للمرأة، مثل دعم نقل العاملات، ودعم تشغيل الحضانات في بيئة العمل.</w:t>
      </w:r>
    </w:p>
    <w:p w14:paraId="1AD22877" w14:textId="77777777" w:rsidR="00F56CD3" w:rsidRDefault="004A2CFE" w:rsidP="00DD197F">
      <w:pPr>
        <w:pStyle w:val="21"/>
        <w:spacing w:before="240" w:after="120" w:line="312" w:lineRule="auto"/>
        <w:jc w:val="right"/>
      </w:pPr>
      <w:bookmarkStart w:id="38" w:name="_Toc241526770"/>
      <w:r>
        <w:rPr>
          <w:rFonts w:ascii="Times New Roman" w:eastAsia="Traditional Arabic" w:hAnsi="Times New Roman" w:cs="Traditional Arabic"/>
          <w:color w:val="2E7D32"/>
          <w:rtl/>
        </w:rPr>
        <w:t>10.2 منصّة قوى (Qaura)</w:t>
      </w:r>
      <w:bookmarkEnd w:id="38"/>
    </w:p>
    <w:p w14:paraId="0B67113C" w14:textId="77777777" w:rsidR="00F56CD3" w:rsidRDefault="004A2CFE">
      <w:pPr>
        <w:bidi/>
        <w:spacing w:after="120" w:line="360" w:lineRule="auto"/>
        <w:ind w:firstLine="425"/>
        <w:jc w:val="both"/>
      </w:pPr>
      <w:r>
        <w:rPr>
          <w:rFonts w:eastAsia="Traditional Arabic"/>
          <w:rtl/>
        </w:rPr>
        <w:t>أُطلقت منصّة «قوى» (qaura.sa) بوصفها المنصّة الوطنية للتوظيف في المملكة، وتُتيح للباحثين والباحثات عن العمل إنشاء سير ذاتية مطابقة لمعايير موحّدة، وتُتيح للمنشآت نشر فرص العمل والبحث عن المرشّحين المناسبين. وتعمل المنصّة على ربط مخرجات التعليم بسوق العمل، وتُسهم في تقليل فجوة المعلومات بين الباحثين عن عمل وأصحاب العمل. وتُعدّ المنصّة امتدادًا لجهود وزارة الموارد البشرية في تطوير منظومة التوظيف الوطنية.</w:t>
      </w:r>
    </w:p>
    <w:p w14:paraId="0C0CE086" w14:textId="77777777" w:rsidR="00F56CD3" w:rsidRDefault="004A2CFE" w:rsidP="00DD197F">
      <w:pPr>
        <w:pStyle w:val="21"/>
        <w:spacing w:before="240" w:after="120" w:line="312" w:lineRule="auto"/>
        <w:jc w:val="right"/>
      </w:pPr>
      <w:bookmarkStart w:id="39" w:name="_Toc241526771"/>
      <w:r>
        <w:rPr>
          <w:rFonts w:ascii="Times New Roman" w:eastAsia="Traditional Arabic" w:hAnsi="Times New Roman" w:cs="Traditional Arabic"/>
          <w:color w:val="2E7D32"/>
          <w:rtl/>
        </w:rPr>
        <w:t>10.3 برنامج نطاقات (Nitaqat)</w:t>
      </w:r>
      <w:bookmarkEnd w:id="39"/>
    </w:p>
    <w:p w14:paraId="650E3138" w14:textId="77777777" w:rsidR="00F56CD3" w:rsidRDefault="004A2CFE">
      <w:pPr>
        <w:bidi/>
        <w:spacing w:after="120" w:line="360" w:lineRule="auto"/>
        <w:ind w:firstLine="425"/>
        <w:jc w:val="both"/>
      </w:pPr>
      <w:r>
        <w:rPr>
          <w:rFonts w:eastAsia="Traditional Arabic"/>
          <w:rtl/>
        </w:rPr>
        <w:t>أُطلق برنامج «نطاقات» عام 2011 بوصفه نظامًا تصنيفيًا للمنشآت بحسب نسبة توظيفها للسعوديين، ويُحدّد للمنشآت نطاقات ملوّنة (أحمر، أصفر، أخضر، بلاتيني) بحسب التزامها بالسعودة. ويُؤثّر تصنيف المنشأة في قدرتها على الحصول على خدمات وزارة الموارد البشرية. وقد ساهم البرنامج في رفع نسبة توظيف السعوديين، ومنهم النساء، في القطاع الخاص، وإن كان لا يزال يُؤخَذ عليه تركّزه على الكمّ أكثر من النوعية في توظيف السعوديين.</w:t>
      </w:r>
    </w:p>
    <w:p w14:paraId="6C83288D" w14:textId="77777777" w:rsidR="00F56CD3" w:rsidRDefault="004A2CFE" w:rsidP="00DD197F">
      <w:pPr>
        <w:pStyle w:val="21"/>
        <w:spacing w:before="240" w:after="120" w:line="312" w:lineRule="auto"/>
        <w:jc w:val="right"/>
      </w:pPr>
      <w:bookmarkStart w:id="40" w:name="_Toc241526772"/>
      <w:r>
        <w:rPr>
          <w:rFonts w:ascii="Times New Roman" w:eastAsia="Traditional Arabic" w:hAnsi="Times New Roman" w:cs="Traditional Arabic"/>
          <w:color w:val="2E7D32"/>
          <w:rtl/>
        </w:rPr>
        <w:t>10.4 برنامج تمهير</w:t>
      </w:r>
      <w:bookmarkEnd w:id="40"/>
    </w:p>
    <w:p w14:paraId="7EB7A90C" w14:textId="77777777" w:rsidR="00F56CD3" w:rsidRDefault="004A2CFE">
      <w:pPr>
        <w:bidi/>
        <w:spacing w:after="120" w:line="360" w:lineRule="auto"/>
        <w:ind w:firstLine="425"/>
        <w:jc w:val="both"/>
      </w:pPr>
      <w:r>
        <w:rPr>
          <w:rFonts w:eastAsia="Traditional Arabic"/>
          <w:rtl/>
        </w:rPr>
        <w:t>يُعدّ برنامج «تمهير» أحد أبرز برامج التدريب على رأس العمل في المملكة، ويستهدف الخريجين والخريجات الجدد. ويُتيح البرنامج للخريجة قضاء فترة تدريب (تتراوح بين 3 و6 أشهر) في جهة حكومية أو خاصة، مع تقديم راتب شهري مُموَّل من «هدف». ويُسهم البرنامج في تقليص الفجوة بين التخصّص الأكاديمي ومتطلّبات سوق العمل، ويزيد من فرص توظيف الخريجة بعد انتهاء فترة التدريب. وقد أعلن «هدف» عن توظيف نسبة كبيرة من المتدرّبين بعد انتهاء فترة التمهير.</w:t>
      </w:r>
    </w:p>
    <w:p w14:paraId="66DD2CEA" w14:textId="77777777" w:rsidR="00F56CD3" w:rsidRDefault="004A2CFE" w:rsidP="00DD197F">
      <w:pPr>
        <w:pStyle w:val="21"/>
        <w:spacing w:before="240" w:after="120" w:line="312" w:lineRule="auto"/>
        <w:jc w:val="right"/>
      </w:pPr>
      <w:bookmarkStart w:id="41" w:name="_Toc241526773"/>
      <w:r>
        <w:rPr>
          <w:rFonts w:ascii="Times New Roman" w:eastAsia="Traditional Arabic" w:hAnsi="Times New Roman" w:cs="Traditional Arabic"/>
          <w:color w:val="2E7D32"/>
          <w:rtl/>
        </w:rPr>
        <w:t>10.5 منصة دروب (Doroob)</w:t>
      </w:r>
      <w:bookmarkEnd w:id="41"/>
    </w:p>
    <w:p w14:paraId="4E10FB14" w14:textId="77777777" w:rsidR="00F56CD3" w:rsidRDefault="004A2CFE">
      <w:pPr>
        <w:bidi/>
        <w:spacing w:after="120" w:line="360" w:lineRule="auto"/>
        <w:ind w:firstLine="425"/>
        <w:jc w:val="both"/>
      </w:pPr>
      <w:r>
        <w:rPr>
          <w:rFonts w:eastAsia="Traditional Arabic"/>
          <w:rtl/>
        </w:rPr>
        <w:t>أُطلقت منصّة «دروب» الإلكترونية بوصفها منصّة وطنية للتدريب الإلكتروني، تُقدّم دورات في مهارات تقنية ومهنية متنوّعة. وتُتيح المنصّة للخريجات الحصول على شهادات معترف بها في مجالات مثل: المهارات الرقمية، وإدارة المشاريع، واللغة الإنجليزية، والتسويق الإلكتروني. وتُمثّل المنصّة أداة مهمّة لسدّ فجوة المهارات لدى الخريجات، خاصةً في المهارات التي لا تُغطّيها المناهج الجامعية بشكل كافٍ.</w:t>
      </w:r>
    </w:p>
    <w:p w14:paraId="7C7D0195" w14:textId="77777777" w:rsidR="00F56CD3" w:rsidRDefault="004A2CFE" w:rsidP="00DD197F">
      <w:pPr>
        <w:pStyle w:val="21"/>
        <w:spacing w:before="240" w:after="120" w:line="312" w:lineRule="auto"/>
        <w:jc w:val="right"/>
      </w:pPr>
      <w:bookmarkStart w:id="42" w:name="_Toc241526774"/>
      <w:r>
        <w:rPr>
          <w:rFonts w:ascii="Times New Roman" w:eastAsia="Traditional Arabic" w:hAnsi="Times New Roman" w:cs="Traditional Arabic"/>
          <w:color w:val="2E7D32"/>
          <w:rtl/>
        </w:rPr>
        <w:t>10.6 مبادرات إضافية: مسك ومصرف الإنماء</w:t>
      </w:r>
      <w:bookmarkEnd w:id="42"/>
    </w:p>
    <w:p w14:paraId="62B2B0BB" w14:textId="77777777" w:rsidR="00F56CD3" w:rsidRDefault="004A2CFE">
      <w:pPr>
        <w:bidi/>
        <w:spacing w:after="120" w:line="360" w:lineRule="auto"/>
        <w:ind w:firstLine="425"/>
        <w:jc w:val="both"/>
      </w:pPr>
      <w:r>
        <w:rPr>
          <w:rFonts w:eastAsia="Traditional Arabic"/>
          <w:rtl/>
        </w:rPr>
        <w:t>تُقدّم «بادر» التابعة لمسك برامج إحتضان لرواد وريادات الأعمال من الشباب والشابات، وتُتيح للخريجة تأسيس مشروعها الخاص بدلًا من الاكتفاء بالبحث عن وظيفة. كما يُقدّم مصرف الإنماء وصندوق التنمية الصناعية السعودية تمويلًا ميسّرًا للمشاريع الصغيرة، بما فيها تلك التي تُديرها نساء. وتُمثّل هذه المبادرات قنوات بديلة لتمكين المرأة اقتصاديًا، خاصةً للخريجات اللواتي يملكن روح ريادة الأعمال. ومع ذلك، ما زالت نسبة المستفيدات من هذه البرامج أقلّ من المأمول، وهو ما يستدعي تكثيف الحملقات التوعوية للتعريف بها.</w:t>
      </w:r>
    </w:p>
    <w:p w14:paraId="7C32DCA8" w14:textId="77777777" w:rsidR="00F56CD3" w:rsidRDefault="004A2CFE" w:rsidP="00DD197F">
      <w:pPr>
        <w:pStyle w:val="1"/>
        <w:spacing w:before="360" w:after="200" w:line="312" w:lineRule="auto"/>
        <w:jc w:val="right"/>
      </w:pPr>
      <w:bookmarkStart w:id="43" w:name="_Toc241526775"/>
      <w:r>
        <w:rPr>
          <w:rFonts w:ascii="Times New Roman" w:eastAsia="Traditional Arabic" w:hAnsi="Times New Roman" w:cs="Traditional Arabic"/>
          <w:color w:val="0B3D2E"/>
          <w:rtl/>
        </w:rPr>
        <w:t>11. تحليل الجهود السعودية والتحديات القائمة</w:t>
      </w:r>
      <w:bookmarkEnd w:id="43"/>
    </w:p>
    <w:p w14:paraId="46481A5B" w14:textId="77777777" w:rsidR="00F56CD3" w:rsidRDefault="004A2CFE">
      <w:pPr>
        <w:bidi/>
        <w:spacing w:after="120" w:line="360" w:lineRule="auto"/>
        <w:ind w:firstLine="425"/>
        <w:jc w:val="both"/>
      </w:pPr>
      <w:r>
        <w:rPr>
          <w:rFonts w:eastAsia="Traditional Arabic"/>
          <w:rtl/>
        </w:rPr>
        <w:t>تتميّز الجهود السعودية في معالجة بطالة خريجات الجامعات بنقاط قوّة عدّة. أولها، وجود إطار سياسي واضح يتمثّل في رؤية 2030 وبرامجها التنفيذية، مما يُوفّر مظلّة استراتيجية للجهود. وثانيها، توفّر الموارد المالية عبر صندوق تنمية الموارد البشرية «هدف» وصندوق الاستثمارات العامة. وثالثها، تطوير منصّات رقمية مثل «قوى» و«دروب» تُسهم في ربط الخريجات بسوق العمل. ورابعها، نجاح المملكة في تجاوز مستهدف مشاركة المرأة في القوى العاملة قبل موعده المحدد في الرؤية، وهو إنجاز موثَّق في بيانات الهيئة العامة للإحصاء.</w:t>
      </w:r>
    </w:p>
    <w:p w14:paraId="57280287" w14:textId="77777777" w:rsidR="00F56CD3" w:rsidRDefault="004A2CFE">
      <w:pPr>
        <w:bidi/>
        <w:spacing w:after="120" w:line="360" w:lineRule="auto"/>
        <w:ind w:firstLine="425"/>
        <w:jc w:val="both"/>
      </w:pPr>
      <w:r>
        <w:rPr>
          <w:rFonts w:eastAsia="Traditional Arabic"/>
          <w:rtl/>
        </w:rPr>
        <w:t>ورغم هذه الإنجازات، تواجه الجهود السعودية تحدّيات حقيقية. أولها، استمرار فجوة «عدم التطابق المهاري» بين مخرجات التعليم واحتياجات سوق العمل، خاصةً في التخصصات الإنسانية والاجتماعية. وثانيها، تركّز توظيف النساء في قطاعات محدودة (التعليم، الصحة، التجزئة)، مع محدودية حضورهنّ في قطاعات الصناعة والتقنية والهندسة. وثالثها، التفاوت الجغرافي في فرص العمل، حيث تتوفّر فرص أكثر في الرياض ومكة والشرقية مقارنةً ببقية المناطق. ورابعها، ضعف منظومة الإرشاد المهني في الجامعات، حيث لا تحصل كل طالبة على إرشاد كافٍ حول التخصصات ذات الطلب العالي.</w:t>
      </w:r>
    </w:p>
    <w:p w14:paraId="34F5DD58" w14:textId="77777777" w:rsidR="00F56CD3" w:rsidRDefault="004A2CFE">
      <w:pPr>
        <w:bidi/>
        <w:spacing w:after="120" w:line="360" w:lineRule="auto"/>
        <w:ind w:firstLine="425"/>
        <w:jc w:val="both"/>
      </w:pPr>
      <w:r>
        <w:rPr>
          <w:rFonts w:eastAsia="Traditional Arabic"/>
          <w:rtl/>
        </w:rPr>
        <w:t>تتطلّب معالجة هذه التحدّيات سياسات تنسيقية بين وزارة التعليم ووزارة الموارد البشرية والهيئة العامة للإحصاء، بما يضمن رصد سوق العمل بشكل دوري وتعديل خطط القبول الجامعي بناءً عليه. كما تتطلّب تطوير منظومة قياس موحّدة لمعدّلات توظيف الخريجين «بعد التخرّج»، تكون علنية ومفصّلة حسب التخصص والمنطقة والجنس. ومن جانب آخر، يحتاج الأمر إلى تكثيف برامج التدريب العملي «التعاوني» داخل الجامعات، بحيث تتخرّج الطالبة ولديها خبرة عملية لا مجرّد شهادة نظرية.</w:t>
      </w:r>
    </w:p>
    <w:p w14:paraId="57394CD0" w14:textId="77777777" w:rsidR="00F56CD3" w:rsidRDefault="004A2CFE" w:rsidP="00DD197F">
      <w:pPr>
        <w:pStyle w:val="1"/>
        <w:spacing w:before="360" w:after="200" w:line="312" w:lineRule="auto"/>
        <w:jc w:val="right"/>
      </w:pPr>
      <w:bookmarkStart w:id="44" w:name="_Toc241526776"/>
      <w:r>
        <w:rPr>
          <w:rFonts w:ascii="Times New Roman" w:eastAsia="Traditional Arabic" w:hAnsi="Times New Roman" w:cs="Traditional Arabic"/>
          <w:color w:val="0B3D2E"/>
          <w:rtl/>
        </w:rPr>
        <w:t>12. المقارنة الدولية</w:t>
      </w:r>
      <w:bookmarkEnd w:id="44"/>
    </w:p>
    <w:p w14:paraId="4C44AB37" w14:textId="77777777" w:rsidR="00F56CD3" w:rsidRDefault="004A2CFE">
      <w:pPr>
        <w:bidi/>
        <w:spacing w:after="120" w:line="360" w:lineRule="auto"/>
        <w:ind w:firstLine="425"/>
        <w:jc w:val="both"/>
      </w:pPr>
      <w:r>
        <w:rPr>
          <w:rFonts w:eastAsia="Traditional Arabic"/>
          <w:rtl/>
        </w:rPr>
        <w:t>اخترنا المقارنة مع دولة الإمارات العربية المتحدة لعدّة أسباب. أولها، التشابه الثقافي والاجتماعي بين المملكة والإمارات، مما يجعل المقارنة أكثر قابلية للتطبيق من حيث السياق. وثانيها، توفّر بيانات موثوقة وعلنية عن سوق العمل الإماراتي، خاصةً من «المركز الاتحادي للتنافسية والإحصاء» وهيئة الموارد البشرية الإماراتية. وثالثها، تقاطع التحدّيات بين الدولتين فيما يخصّ توظيف المرأة وتنويع الاقتصاد. وقد حرصنا على أن تكون المقارنة موجزة في حدود 10–15% من حجم البحث كما هو مطلوب.</w:t>
      </w:r>
    </w:p>
    <w:p w14:paraId="01694D27" w14:textId="77777777" w:rsidR="00F56CD3" w:rsidRDefault="004A2CFE">
      <w:pPr>
        <w:bidi/>
        <w:spacing w:after="120" w:line="360" w:lineRule="auto"/>
        <w:ind w:firstLine="425"/>
        <w:jc w:val="both"/>
      </w:pPr>
      <w:r>
        <w:rPr>
          <w:rFonts w:eastAsia="Traditional Arabic"/>
          <w:rtl/>
        </w:rPr>
        <w:t>أطلقت الإمارات «برنامج التوطين» منذ عقود، وركّزت في السنوات الأخيرة على برامج نوعية مثل «نافس» الذي يستهدف رفع نسبة توظيف المواطنين في القطاع الخاص. وتُشير بيانات الهيئة الاتحادية للتنافسية والإحصاء إلى أنّ معدّل مشاركة المرأة الإماراتية في القوى العاملة يتجاوز 50%، وهي نسبة أعلى من نظيرتها في المملكة. كما تحتلّ المرأة الإماراتية نسبة كبيرة من المناصب القيادية في الحكومة والقطاع الخاص. ويُعزَّى ذلك جزئيًا إلى استثمار الإمارات المبكّر في رعاية الأطفال والحضانات، وإلى تطوير منظومة تعليم مهني تربط مبكرًا بين التخصص وسوق العمل.</w:t>
      </w:r>
    </w:p>
    <w:tbl>
      <w:tblPr>
        <w:bidiVisual/>
        <w:tblW w:w="0" w:type="auto"/>
        <w:jc w:val="center"/>
        <w:tblLook w:val="04A0" w:firstRow="1" w:lastRow="0" w:firstColumn="1" w:lastColumn="0" w:noHBand="0" w:noVBand="1"/>
      </w:tblPr>
      <w:tblGrid>
        <w:gridCol w:w="2469"/>
        <w:gridCol w:w="3275"/>
        <w:gridCol w:w="3544"/>
      </w:tblGrid>
      <w:tr w:rsidR="00F56CD3" w14:paraId="487B0E64" w14:textId="77777777">
        <w:trPr>
          <w:cantSplit/>
          <w:tblHeader/>
          <w:jc w:val="center"/>
        </w:trPr>
        <w:tc>
          <w:tcPr>
            <w:tcW w:w="2551" w:type="dxa"/>
            <w:tcBorders>
              <w:top w:val="single" w:sz="8" w:space="0" w:color="B88A36"/>
              <w:left w:val="single" w:sz="8" w:space="0" w:color="B88A36"/>
              <w:bottom w:val="single" w:sz="8" w:space="0" w:color="B88A36"/>
              <w:right w:val="single" w:sz="8" w:space="0" w:color="B88A36"/>
            </w:tcBorders>
            <w:shd w:val="clear" w:color="auto" w:fill="0B3D2E"/>
          </w:tcPr>
          <w:p w14:paraId="3FC1816C" w14:textId="77777777" w:rsidR="00F56CD3" w:rsidRDefault="004A2CFE">
            <w:pPr>
              <w:bidi/>
              <w:spacing w:before="40" w:after="40" w:line="288" w:lineRule="auto"/>
              <w:jc w:val="center"/>
            </w:pPr>
            <w:r>
              <w:rPr>
                <w:rFonts w:eastAsia="Traditional Arabic"/>
                <w:b/>
                <w:bCs/>
                <w:color w:val="FFFFFF"/>
                <w:sz w:val="22"/>
                <w:szCs w:val="22"/>
                <w:rtl/>
              </w:rPr>
              <w:t>وجه المقارنة</w:t>
            </w:r>
          </w:p>
        </w:tc>
        <w:tc>
          <w:tcPr>
            <w:tcW w:w="3402" w:type="dxa"/>
            <w:tcBorders>
              <w:top w:val="single" w:sz="8" w:space="0" w:color="B88A36"/>
              <w:left w:val="single" w:sz="8" w:space="0" w:color="B88A36"/>
              <w:bottom w:val="single" w:sz="8" w:space="0" w:color="B88A36"/>
              <w:right w:val="single" w:sz="8" w:space="0" w:color="B88A36"/>
            </w:tcBorders>
            <w:shd w:val="clear" w:color="auto" w:fill="0B3D2E"/>
          </w:tcPr>
          <w:p w14:paraId="7D8EE52C" w14:textId="77777777" w:rsidR="00F56CD3" w:rsidRDefault="004A2CFE">
            <w:pPr>
              <w:bidi/>
              <w:spacing w:before="40" w:after="40" w:line="288" w:lineRule="auto"/>
              <w:jc w:val="center"/>
            </w:pPr>
            <w:r>
              <w:rPr>
                <w:rFonts w:eastAsia="Traditional Arabic"/>
                <w:b/>
                <w:bCs/>
                <w:color w:val="FFFFFF"/>
                <w:sz w:val="22"/>
                <w:szCs w:val="22"/>
                <w:rtl/>
              </w:rPr>
              <w:t>المملكة العربية السعودية</w:t>
            </w:r>
          </w:p>
        </w:tc>
        <w:tc>
          <w:tcPr>
            <w:tcW w:w="3685" w:type="dxa"/>
            <w:tcBorders>
              <w:top w:val="single" w:sz="8" w:space="0" w:color="B88A36"/>
              <w:left w:val="single" w:sz="8" w:space="0" w:color="B88A36"/>
              <w:bottom w:val="single" w:sz="8" w:space="0" w:color="B88A36"/>
              <w:right w:val="single" w:sz="8" w:space="0" w:color="B88A36"/>
            </w:tcBorders>
            <w:shd w:val="clear" w:color="auto" w:fill="0B3D2E"/>
          </w:tcPr>
          <w:p w14:paraId="6DFAC596" w14:textId="77777777" w:rsidR="00F56CD3" w:rsidRDefault="004A2CFE">
            <w:pPr>
              <w:bidi/>
              <w:spacing w:before="40" w:after="40" w:line="288" w:lineRule="auto"/>
              <w:jc w:val="center"/>
            </w:pPr>
            <w:r>
              <w:rPr>
                <w:rFonts w:eastAsia="Traditional Arabic"/>
                <w:b/>
                <w:bCs/>
                <w:color w:val="FFFFFF"/>
                <w:sz w:val="22"/>
                <w:szCs w:val="22"/>
                <w:rtl/>
              </w:rPr>
              <w:t>الإمارات العربية المتحدة</w:t>
            </w:r>
          </w:p>
        </w:tc>
      </w:tr>
      <w:tr w:rsidR="00F56CD3" w14:paraId="3FA81281" w14:textId="77777777">
        <w:trPr>
          <w:jc w:val="center"/>
        </w:trPr>
        <w:tc>
          <w:tcPr>
            <w:tcW w:w="2551" w:type="dxa"/>
            <w:tcBorders>
              <w:top w:val="single" w:sz="4" w:space="0" w:color="E0D6B8"/>
              <w:left w:val="single" w:sz="4" w:space="0" w:color="E0D6B8"/>
              <w:bottom w:val="single" w:sz="4" w:space="0" w:color="E0D6B8"/>
              <w:right w:val="single" w:sz="4" w:space="0" w:color="E0D6B8"/>
            </w:tcBorders>
            <w:shd w:val="clear" w:color="auto" w:fill="FFFFFF"/>
          </w:tcPr>
          <w:p w14:paraId="33E3F8C2" w14:textId="77777777" w:rsidR="00F56CD3" w:rsidRDefault="004A2CFE">
            <w:pPr>
              <w:bidi/>
              <w:spacing w:before="40" w:after="40" w:line="288" w:lineRule="auto"/>
              <w:jc w:val="right"/>
            </w:pPr>
            <w:r>
              <w:rPr>
                <w:rFonts w:eastAsia="Traditional Arabic"/>
                <w:sz w:val="20"/>
                <w:szCs w:val="20"/>
                <w:rtl/>
              </w:rPr>
              <w:t>الإطار الاستراتيجي</w:t>
            </w:r>
          </w:p>
        </w:tc>
        <w:tc>
          <w:tcPr>
            <w:tcW w:w="3402" w:type="dxa"/>
            <w:tcBorders>
              <w:top w:val="single" w:sz="4" w:space="0" w:color="E0D6B8"/>
              <w:left w:val="single" w:sz="4" w:space="0" w:color="E0D6B8"/>
              <w:bottom w:val="single" w:sz="4" w:space="0" w:color="E0D6B8"/>
              <w:right w:val="single" w:sz="4" w:space="0" w:color="E0D6B8"/>
            </w:tcBorders>
            <w:shd w:val="clear" w:color="auto" w:fill="FFFFFF"/>
          </w:tcPr>
          <w:p w14:paraId="4BCAE991" w14:textId="77777777" w:rsidR="00F56CD3" w:rsidRDefault="004A2CFE">
            <w:pPr>
              <w:bidi/>
              <w:spacing w:before="40" w:after="40" w:line="288" w:lineRule="auto"/>
              <w:jc w:val="center"/>
            </w:pPr>
            <w:r>
              <w:rPr>
                <w:rFonts w:eastAsia="Traditional Arabic"/>
                <w:sz w:val="20"/>
                <w:szCs w:val="20"/>
                <w:rtl/>
              </w:rPr>
              <w:t>رؤية السعودية 2030 (2016)</w:t>
            </w:r>
          </w:p>
        </w:tc>
        <w:tc>
          <w:tcPr>
            <w:tcW w:w="3685" w:type="dxa"/>
            <w:tcBorders>
              <w:top w:val="single" w:sz="4" w:space="0" w:color="E0D6B8"/>
              <w:left w:val="single" w:sz="4" w:space="0" w:color="E0D6B8"/>
              <w:bottom w:val="single" w:sz="4" w:space="0" w:color="E0D6B8"/>
              <w:right w:val="single" w:sz="4" w:space="0" w:color="E0D6B8"/>
            </w:tcBorders>
            <w:shd w:val="clear" w:color="auto" w:fill="FFFFFF"/>
          </w:tcPr>
          <w:p w14:paraId="426F3744" w14:textId="77777777" w:rsidR="00F56CD3" w:rsidRDefault="004A2CFE">
            <w:pPr>
              <w:bidi/>
              <w:spacing w:before="40" w:after="40" w:line="288" w:lineRule="auto"/>
              <w:jc w:val="center"/>
            </w:pPr>
            <w:r>
              <w:rPr>
                <w:rFonts w:eastAsia="Traditional Arabic"/>
                <w:sz w:val="20"/>
                <w:szCs w:val="20"/>
                <w:rtl/>
              </w:rPr>
              <w:t>رؤية الإمارات 2071 + برنامج التوطين</w:t>
            </w:r>
          </w:p>
        </w:tc>
      </w:tr>
      <w:tr w:rsidR="00F56CD3" w14:paraId="2C4D4D04" w14:textId="77777777">
        <w:trPr>
          <w:jc w:val="center"/>
        </w:trPr>
        <w:tc>
          <w:tcPr>
            <w:tcW w:w="2551" w:type="dxa"/>
            <w:tcBorders>
              <w:top w:val="single" w:sz="4" w:space="0" w:color="E0D6B8"/>
              <w:left w:val="single" w:sz="4" w:space="0" w:color="E0D6B8"/>
              <w:bottom w:val="single" w:sz="4" w:space="0" w:color="E0D6B8"/>
              <w:right w:val="single" w:sz="4" w:space="0" w:color="E0D6B8"/>
            </w:tcBorders>
            <w:shd w:val="clear" w:color="auto" w:fill="FBF7EC"/>
          </w:tcPr>
          <w:p w14:paraId="2DDAC0CC" w14:textId="77777777" w:rsidR="00F56CD3" w:rsidRDefault="004A2CFE">
            <w:pPr>
              <w:bidi/>
              <w:spacing w:before="40" w:after="40" w:line="288" w:lineRule="auto"/>
              <w:jc w:val="right"/>
            </w:pPr>
            <w:r>
              <w:rPr>
                <w:rFonts w:eastAsia="Traditional Arabic"/>
                <w:sz w:val="20"/>
                <w:szCs w:val="20"/>
                <w:rtl/>
              </w:rPr>
              <w:t>معدّل مشاركة المرأة في القوى العاملة</w:t>
            </w:r>
          </w:p>
        </w:tc>
        <w:tc>
          <w:tcPr>
            <w:tcW w:w="3402" w:type="dxa"/>
            <w:tcBorders>
              <w:top w:val="single" w:sz="4" w:space="0" w:color="E0D6B8"/>
              <w:left w:val="single" w:sz="4" w:space="0" w:color="E0D6B8"/>
              <w:bottom w:val="single" w:sz="4" w:space="0" w:color="E0D6B8"/>
              <w:right w:val="single" w:sz="4" w:space="0" w:color="E0D6B8"/>
            </w:tcBorders>
            <w:shd w:val="clear" w:color="auto" w:fill="FBF7EC"/>
          </w:tcPr>
          <w:p w14:paraId="3C231519" w14:textId="77777777" w:rsidR="00F56CD3" w:rsidRDefault="004A2CFE">
            <w:pPr>
              <w:bidi/>
              <w:spacing w:before="40" w:after="40" w:line="288" w:lineRule="auto"/>
              <w:jc w:val="center"/>
            </w:pPr>
            <w:r>
              <w:rPr>
                <w:rFonts w:eastAsia="Traditional Arabic"/>
                <w:sz w:val="20"/>
                <w:szCs w:val="20"/>
                <w:rtl/>
              </w:rPr>
              <w:t>نحو 36% (2023)</w:t>
            </w:r>
          </w:p>
        </w:tc>
        <w:tc>
          <w:tcPr>
            <w:tcW w:w="3685" w:type="dxa"/>
            <w:tcBorders>
              <w:top w:val="single" w:sz="4" w:space="0" w:color="E0D6B8"/>
              <w:left w:val="single" w:sz="4" w:space="0" w:color="E0D6B8"/>
              <w:bottom w:val="single" w:sz="4" w:space="0" w:color="E0D6B8"/>
              <w:right w:val="single" w:sz="4" w:space="0" w:color="E0D6B8"/>
            </w:tcBorders>
            <w:shd w:val="clear" w:color="auto" w:fill="FBF7EC"/>
          </w:tcPr>
          <w:p w14:paraId="28ED2265" w14:textId="77777777" w:rsidR="00F56CD3" w:rsidRDefault="004A2CFE">
            <w:pPr>
              <w:bidi/>
              <w:spacing w:before="40" w:after="40" w:line="288" w:lineRule="auto"/>
              <w:jc w:val="center"/>
            </w:pPr>
            <w:r>
              <w:rPr>
                <w:rFonts w:eastAsia="Traditional Arabic"/>
                <w:sz w:val="20"/>
                <w:szCs w:val="20"/>
                <w:rtl/>
              </w:rPr>
              <w:t>تجاوز 50% (وفق بيانات اتحادية)</w:t>
            </w:r>
          </w:p>
        </w:tc>
      </w:tr>
      <w:tr w:rsidR="00F56CD3" w14:paraId="747DD3DD" w14:textId="77777777">
        <w:trPr>
          <w:jc w:val="center"/>
        </w:trPr>
        <w:tc>
          <w:tcPr>
            <w:tcW w:w="2551" w:type="dxa"/>
            <w:tcBorders>
              <w:top w:val="single" w:sz="4" w:space="0" w:color="E0D6B8"/>
              <w:left w:val="single" w:sz="4" w:space="0" w:color="E0D6B8"/>
              <w:bottom w:val="single" w:sz="4" w:space="0" w:color="E0D6B8"/>
              <w:right w:val="single" w:sz="4" w:space="0" w:color="E0D6B8"/>
            </w:tcBorders>
            <w:shd w:val="clear" w:color="auto" w:fill="FFFFFF"/>
          </w:tcPr>
          <w:p w14:paraId="2C906181" w14:textId="77777777" w:rsidR="00F56CD3" w:rsidRDefault="004A2CFE">
            <w:pPr>
              <w:bidi/>
              <w:spacing w:before="40" w:after="40" w:line="288" w:lineRule="auto"/>
              <w:jc w:val="right"/>
            </w:pPr>
            <w:r>
              <w:rPr>
                <w:rFonts w:eastAsia="Traditional Arabic"/>
                <w:sz w:val="20"/>
                <w:szCs w:val="20"/>
                <w:rtl/>
              </w:rPr>
              <w:t>معدّل بطالة النساء</w:t>
            </w:r>
          </w:p>
        </w:tc>
        <w:tc>
          <w:tcPr>
            <w:tcW w:w="3402" w:type="dxa"/>
            <w:tcBorders>
              <w:top w:val="single" w:sz="4" w:space="0" w:color="E0D6B8"/>
              <w:left w:val="single" w:sz="4" w:space="0" w:color="E0D6B8"/>
              <w:bottom w:val="single" w:sz="4" w:space="0" w:color="E0D6B8"/>
              <w:right w:val="single" w:sz="4" w:space="0" w:color="E0D6B8"/>
            </w:tcBorders>
            <w:shd w:val="clear" w:color="auto" w:fill="FFFFFF"/>
          </w:tcPr>
          <w:p w14:paraId="39F95D8B" w14:textId="77777777" w:rsidR="00F56CD3" w:rsidRDefault="004A2CFE">
            <w:pPr>
              <w:bidi/>
              <w:spacing w:before="40" w:after="40" w:line="288" w:lineRule="auto"/>
              <w:jc w:val="center"/>
            </w:pPr>
            <w:r>
              <w:rPr>
                <w:rFonts w:eastAsia="Traditional Arabic"/>
                <w:sz w:val="20"/>
                <w:szCs w:val="20"/>
                <w:rtl/>
              </w:rPr>
              <w:t>نحو 14% (الربع الأول 2024)</w:t>
            </w:r>
          </w:p>
        </w:tc>
        <w:tc>
          <w:tcPr>
            <w:tcW w:w="3685" w:type="dxa"/>
            <w:tcBorders>
              <w:top w:val="single" w:sz="4" w:space="0" w:color="E0D6B8"/>
              <w:left w:val="single" w:sz="4" w:space="0" w:color="E0D6B8"/>
              <w:bottom w:val="single" w:sz="4" w:space="0" w:color="E0D6B8"/>
              <w:right w:val="single" w:sz="4" w:space="0" w:color="E0D6B8"/>
            </w:tcBorders>
            <w:shd w:val="clear" w:color="auto" w:fill="FFFFFF"/>
          </w:tcPr>
          <w:p w14:paraId="2E866282" w14:textId="77777777" w:rsidR="00F56CD3" w:rsidRDefault="004A2CFE">
            <w:pPr>
              <w:bidi/>
              <w:spacing w:before="40" w:after="40" w:line="288" w:lineRule="auto"/>
              <w:jc w:val="center"/>
            </w:pPr>
            <w:r>
              <w:rPr>
                <w:rFonts w:eastAsia="Traditional Arabic"/>
                <w:sz w:val="20"/>
                <w:szCs w:val="20"/>
                <w:rtl/>
              </w:rPr>
              <w:t>أقلّ من نظيره السعودي</w:t>
            </w:r>
          </w:p>
        </w:tc>
      </w:tr>
      <w:tr w:rsidR="00F56CD3" w14:paraId="71295985" w14:textId="77777777">
        <w:trPr>
          <w:jc w:val="center"/>
        </w:trPr>
        <w:tc>
          <w:tcPr>
            <w:tcW w:w="2551" w:type="dxa"/>
            <w:tcBorders>
              <w:top w:val="single" w:sz="4" w:space="0" w:color="E0D6B8"/>
              <w:left w:val="single" w:sz="4" w:space="0" w:color="E0D6B8"/>
              <w:bottom w:val="single" w:sz="4" w:space="0" w:color="E0D6B8"/>
              <w:right w:val="single" w:sz="4" w:space="0" w:color="E0D6B8"/>
            </w:tcBorders>
            <w:shd w:val="clear" w:color="auto" w:fill="FBF7EC"/>
          </w:tcPr>
          <w:p w14:paraId="1A35BFCC" w14:textId="77777777" w:rsidR="00F56CD3" w:rsidRDefault="004A2CFE">
            <w:pPr>
              <w:bidi/>
              <w:spacing w:before="40" w:after="40" w:line="288" w:lineRule="auto"/>
              <w:jc w:val="right"/>
            </w:pPr>
            <w:r>
              <w:rPr>
                <w:rFonts w:eastAsia="Traditional Arabic"/>
                <w:sz w:val="20"/>
                <w:szCs w:val="20"/>
                <w:rtl/>
              </w:rPr>
              <w:t>برنامج التوطين الرئيس</w:t>
            </w:r>
          </w:p>
        </w:tc>
        <w:tc>
          <w:tcPr>
            <w:tcW w:w="3402" w:type="dxa"/>
            <w:tcBorders>
              <w:top w:val="single" w:sz="4" w:space="0" w:color="E0D6B8"/>
              <w:left w:val="single" w:sz="4" w:space="0" w:color="E0D6B8"/>
              <w:bottom w:val="single" w:sz="4" w:space="0" w:color="E0D6B8"/>
              <w:right w:val="single" w:sz="4" w:space="0" w:color="E0D6B8"/>
            </w:tcBorders>
            <w:shd w:val="clear" w:color="auto" w:fill="FBF7EC"/>
          </w:tcPr>
          <w:p w14:paraId="1B0BA7FD" w14:textId="77777777" w:rsidR="00F56CD3" w:rsidRDefault="004A2CFE">
            <w:pPr>
              <w:bidi/>
              <w:spacing w:before="40" w:after="40" w:line="288" w:lineRule="auto"/>
              <w:jc w:val="center"/>
            </w:pPr>
            <w:r>
              <w:rPr>
                <w:rFonts w:eastAsia="Traditional Arabic"/>
                <w:sz w:val="20"/>
                <w:szCs w:val="20"/>
                <w:rtl/>
              </w:rPr>
              <w:t>نطاقات + قوى + تمهير</w:t>
            </w:r>
          </w:p>
        </w:tc>
        <w:tc>
          <w:tcPr>
            <w:tcW w:w="3685" w:type="dxa"/>
            <w:tcBorders>
              <w:top w:val="single" w:sz="4" w:space="0" w:color="E0D6B8"/>
              <w:left w:val="single" w:sz="4" w:space="0" w:color="E0D6B8"/>
              <w:bottom w:val="single" w:sz="4" w:space="0" w:color="E0D6B8"/>
              <w:right w:val="single" w:sz="4" w:space="0" w:color="E0D6B8"/>
            </w:tcBorders>
            <w:shd w:val="clear" w:color="auto" w:fill="FBF7EC"/>
          </w:tcPr>
          <w:p w14:paraId="29385533" w14:textId="77777777" w:rsidR="00F56CD3" w:rsidRDefault="004A2CFE">
            <w:pPr>
              <w:bidi/>
              <w:spacing w:before="40" w:after="40" w:line="288" w:lineRule="auto"/>
              <w:jc w:val="center"/>
            </w:pPr>
            <w:r>
              <w:rPr>
                <w:rFonts w:eastAsia="Traditional Arabic"/>
                <w:sz w:val="20"/>
                <w:szCs w:val="20"/>
                <w:rtl/>
              </w:rPr>
              <w:t>نافس + برنامج التوطين</w:t>
            </w:r>
          </w:p>
        </w:tc>
      </w:tr>
      <w:tr w:rsidR="00F56CD3" w14:paraId="0E385DA9" w14:textId="77777777">
        <w:trPr>
          <w:jc w:val="center"/>
        </w:trPr>
        <w:tc>
          <w:tcPr>
            <w:tcW w:w="2551" w:type="dxa"/>
            <w:tcBorders>
              <w:top w:val="single" w:sz="4" w:space="0" w:color="E0D6B8"/>
              <w:left w:val="single" w:sz="4" w:space="0" w:color="E0D6B8"/>
              <w:bottom w:val="single" w:sz="4" w:space="0" w:color="E0D6B8"/>
              <w:right w:val="single" w:sz="4" w:space="0" w:color="E0D6B8"/>
            </w:tcBorders>
            <w:shd w:val="clear" w:color="auto" w:fill="FFFFFF"/>
          </w:tcPr>
          <w:p w14:paraId="5A5C34E8" w14:textId="77777777" w:rsidR="00F56CD3" w:rsidRDefault="004A2CFE">
            <w:pPr>
              <w:bidi/>
              <w:spacing w:before="40" w:after="40" w:line="288" w:lineRule="auto"/>
              <w:jc w:val="right"/>
            </w:pPr>
            <w:r>
              <w:rPr>
                <w:rFonts w:eastAsia="Traditional Arabic"/>
                <w:sz w:val="20"/>
                <w:szCs w:val="20"/>
                <w:rtl/>
              </w:rPr>
              <w:t>نسبة النساء في المناصب القيادية</w:t>
            </w:r>
          </w:p>
        </w:tc>
        <w:tc>
          <w:tcPr>
            <w:tcW w:w="3402" w:type="dxa"/>
            <w:tcBorders>
              <w:top w:val="single" w:sz="4" w:space="0" w:color="E0D6B8"/>
              <w:left w:val="single" w:sz="4" w:space="0" w:color="E0D6B8"/>
              <w:bottom w:val="single" w:sz="4" w:space="0" w:color="E0D6B8"/>
              <w:right w:val="single" w:sz="4" w:space="0" w:color="E0D6B8"/>
            </w:tcBorders>
            <w:shd w:val="clear" w:color="auto" w:fill="FFFFFF"/>
          </w:tcPr>
          <w:p w14:paraId="1E669036" w14:textId="77777777" w:rsidR="00F56CD3" w:rsidRDefault="004A2CFE">
            <w:pPr>
              <w:bidi/>
              <w:spacing w:before="40" w:after="40" w:line="288" w:lineRule="auto"/>
              <w:jc w:val="center"/>
            </w:pPr>
            <w:r>
              <w:rPr>
                <w:rFonts w:eastAsia="Traditional Arabic"/>
                <w:sz w:val="20"/>
                <w:szCs w:val="20"/>
                <w:rtl/>
              </w:rPr>
              <w:t>في تطلّع تصاعدي</w:t>
            </w:r>
          </w:p>
        </w:tc>
        <w:tc>
          <w:tcPr>
            <w:tcW w:w="3685" w:type="dxa"/>
            <w:tcBorders>
              <w:top w:val="single" w:sz="4" w:space="0" w:color="E0D6B8"/>
              <w:left w:val="single" w:sz="4" w:space="0" w:color="E0D6B8"/>
              <w:bottom w:val="single" w:sz="4" w:space="0" w:color="E0D6B8"/>
              <w:right w:val="single" w:sz="4" w:space="0" w:color="E0D6B8"/>
            </w:tcBorders>
            <w:shd w:val="clear" w:color="auto" w:fill="FFFFFF"/>
          </w:tcPr>
          <w:p w14:paraId="5FB7189E" w14:textId="77777777" w:rsidR="00F56CD3" w:rsidRDefault="004A2CFE">
            <w:pPr>
              <w:bidi/>
              <w:spacing w:before="40" w:after="40" w:line="288" w:lineRule="auto"/>
              <w:jc w:val="center"/>
            </w:pPr>
            <w:r>
              <w:rPr>
                <w:rFonts w:eastAsia="Traditional Arabic"/>
                <w:sz w:val="20"/>
                <w:szCs w:val="20"/>
                <w:rtl/>
              </w:rPr>
              <w:t>نسبة مرتفعة (مجلس وزراء، برلمان)</w:t>
            </w:r>
          </w:p>
        </w:tc>
      </w:tr>
    </w:tbl>
    <w:p w14:paraId="236DE454" w14:textId="77777777" w:rsidR="00F56CD3" w:rsidRDefault="004A2CFE">
      <w:pPr>
        <w:bidi/>
        <w:spacing w:before="80"/>
        <w:jc w:val="right"/>
      </w:pPr>
      <w:r>
        <w:rPr>
          <w:rFonts w:eastAsia="Traditional Arabic"/>
          <w:color w:val="707070"/>
          <w:sz w:val="20"/>
          <w:szCs w:val="20"/>
          <w:rtl/>
        </w:rPr>
        <w:t>المصدر: إعداد الباحثات استنادًا إلى بيانات الهيئة العامة للإحصاء السعودية، والموقع الرسمي لرؤية السعودية 2030، والمركز الاتحادي للتنافسية والإحصاء في الإمارات، وهيئة الموارد البشرية الإماراتية.</w:t>
      </w:r>
    </w:p>
    <w:p w14:paraId="49DD2C61" w14:textId="77777777" w:rsidR="00F56CD3" w:rsidRDefault="004A2CFE">
      <w:pPr>
        <w:bidi/>
        <w:spacing w:after="120" w:line="360" w:lineRule="auto"/>
        <w:ind w:firstLine="425"/>
        <w:jc w:val="both"/>
      </w:pPr>
      <w:r>
        <w:rPr>
          <w:rFonts w:eastAsia="Traditional Arabic"/>
          <w:rtl/>
        </w:rPr>
        <w:t>تستفيد المملكة من المقارنة مع الإمارات في جوانب عدّة. أولًا، أهمية التطوير المبكّر لمنظومة رعاية الأطفال والحضانات، بما يُتيح للمرأة الالتحاق بسوق العمل دون قلق على أبنائها. ثانيًا، أهمية ربط برامج التعليم الجامعي بمتطلّبات سوق العمل منذ المرحلة الجامعية، عبر برامج التدريب التعاوني. ثالثًا، أهمية رفع نسبة النساء في المناصب القيادية، إذ يُمثّل وجود نماذج نسائية قيادية محفّزًا للخريجات الجدد. ولا يعني هذا أنّ النموذج الإماراتي أفضل بطبيعته، فلكل دولة ظروفها وإمكاناتها، لكنّ المقارنة تُتيح استخلاص دروس عملية.</w:t>
      </w:r>
    </w:p>
    <w:p w14:paraId="44FC521D" w14:textId="77777777" w:rsidR="00F56CD3" w:rsidRDefault="004A2CFE" w:rsidP="00DD197F">
      <w:pPr>
        <w:pStyle w:val="1"/>
        <w:spacing w:before="360" w:after="200" w:line="312" w:lineRule="auto"/>
        <w:jc w:val="right"/>
      </w:pPr>
      <w:bookmarkStart w:id="45" w:name="_Toc241526777"/>
      <w:r>
        <w:rPr>
          <w:rFonts w:ascii="Times New Roman" w:eastAsia="Traditional Arabic" w:hAnsi="Times New Roman" w:cs="Traditional Arabic"/>
          <w:color w:val="0B3D2E"/>
          <w:rtl/>
        </w:rPr>
        <w:t>13. المقترحات والتوصيات</w:t>
      </w:r>
      <w:bookmarkEnd w:id="45"/>
    </w:p>
    <w:p w14:paraId="1EE70A50" w14:textId="77777777" w:rsidR="00F56CD3" w:rsidRDefault="004A2CFE">
      <w:pPr>
        <w:bidi/>
        <w:spacing w:after="120" w:line="360" w:lineRule="auto"/>
        <w:ind w:firstLine="425"/>
        <w:jc w:val="both"/>
      </w:pPr>
      <w:r>
        <w:rPr>
          <w:rFonts w:eastAsia="Traditional Arabic"/>
          <w:rtl/>
        </w:rPr>
        <w:t>بناءً على ما تقدّم من تحليل، تُقدّم المجموعة التوصيات التالية، وقد رُوعي فيها أن تكون واقعية وقابلة للتنفيذ، وأن تُحدّد الجهة المُنفِّذة والفئة المستفيدة وربطها بالتمكين:</w:t>
      </w:r>
    </w:p>
    <w:p w14:paraId="2083687F" w14:textId="77777777" w:rsidR="00F56CD3" w:rsidRDefault="004A2CFE" w:rsidP="00DD197F">
      <w:pPr>
        <w:pStyle w:val="21"/>
        <w:spacing w:before="240" w:after="120" w:line="312" w:lineRule="auto"/>
        <w:jc w:val="right"/>
      </w:pPr>
      <w:bookmarkStart w:id="46" w:name="_Toc241526778"/>
      <w:r>
        <w:rPr>
          <w:rFonts w:ascii="Times New Roman" w:eastAsia="Traditional Arabic" w:hAnsi="Times New Roman" w:cs="Traditional Arabic"/>
          <w:color w:val="2E7D32"/>
          <w:rtl/>
        </w:rPr>
        <w:t>التوصية الأولى: تطوير منظومة الإرشاد المهني في الجامعات</w:t>
      </w:r>
      <w:bookmarkEnd w:id="46"/>
    </w:p>
    <w:p w14:paraId="6C4C83E9" w14:textId="77777777" w:rsidR="00F56CD3" w:rsidRDefault="004A2CFE">
      <w:pPr>
        <w:bidi/>
        <w:spacing w:after="120" w:line="360" w:lineRule="auto"/>
        <w:ind w:firstLine="425"/>
        <w:jc w:val="both"/>
      </w:pPr>
      <w:r>
        <w:rPr>
          <w:rFonts w:eastAsia="Traditional Arabic"/>
          <w:rtl/>
        </w:rPr>
        <w:t>تُوصي المجموعة بتطوير منظومة الإرشاد المهني في الجامعات السعودية، بالشراكة بين وزارة التعليم ووزارة الموارد البشرية. وتتضمّن المنظومة مكاتب إرشاد مهني في كل كلية، تُقدّم للطالبة معلومات عن فرص العمل المتوقّعة في كل تخصص، وتُساعدها في اختيار التخصص المناسب لقدراتها ومتطلّبات السوق. وتستفيد من هذه التوصية الطالبات قبل دخول الجامعة والخريجات الجدد، وتُسهم في تقليص فجوة عدم التطابق المهاري على المدى البعيد.</w:t>
      </w:r>
    </w:p>
    <w:p w14:paraId="4E6D6F30" w14:textId="77777777" w:rsidR="00F56CD3" w:rsidRDefault="004A2CFE" w:rsidP="00DD197F">
      <w:pPr>
        <w:pStyle w:val="21"/>
        <w:spacing w:before="240" w:after="120" w:line="312" w:lineRule="auto"/>
        <w:jc w:val="right"/>
      </w:pPr>
      <w:bookmarkStart w:id="47" w:name="_Toc241526779"/>
      <w:r>
        <w:rPr>
          <w:rFonts w:ascii="Times New Roman" w:eastAsia="Traditional Arabic" w:hAnsi="Times New Roman" w:cs="Traditional Arabic"/>
          <w:color w:val="2E7D32"/>
          <w:rtl/>
        </w:rPr>
        <w:t>التوصية الثانية: توسيع برامج التدريب التعاوني</w:t>
      </w:r>
      <w:bookmarkEnd w:id="47"/>
    </w:p>
    <w:p w14:paraId="574F73B4" w14:textId="77777777" w:rsidR="00F56CD3" w:rsidRDefault="004A2CFE">
      <w:pPr>
        <w:bidi/>
        <w:spacing w:after="120" w:line="360" w:lineRule="auto"/>
        <w:ind w:firstLine="425"/>
        <w:jc w:val="both"/>
      </w:pPr>
      <w:r>
        <w:rPr>
          <w:rFonts w:eastAsia="Traditional Arabic"/>
          <w:rtl/>
        </w:rPr>
        <w:t>تُوصي المجموعة بتوسيع برامج التدريب التعاوني في الجامعات السعودية، بحيث يكون لكل طالبة فترة تدريب عملي في إحدى المنشآت قبل التخرّج. ويُنفَّذ هذا التوصية بالشراكة بين وزارة التعليم والجامعات والقطاع الخاص، مع تحفيز المنشآت على استقبال المتدربات عبر إعفاءات ضريبية أو دعم من «هدف». وتستفيد من هذه التوصية الخريجات اللواتي يجدن صعوبة في إيجاد العمل بعد التخرّج بسبب نقص الخبرة، وتُسهم في تقليص الفجوة بين الدراسة النظرية وسوق العمل العملي.</w:t>
      </w:r>
    </w:p>
    <w:p w14:paraId="1E16B67B" w14:textId="77777777" w:rsidR="00F56CD3" w:rsidRDefault="004A2CFE" w:rsidP="00DD197F">
      <w:pPr>
        <w:pStyle w:val="21"/>
        <w:spacing w:before="240" w:after="120" w:line="312" w:lineRule="auto"/>
        <w:jc w:val="right"/>
      </w:pPr>
      <w:bookmarkStart w:id="48" w:name="_Toc241526780"/>
      <w:r>
        <w:rPr>
          <w:rFonts w:ascii="Times New Roman" w:eastAsia="Traditional Arabic" w:hAnsi="Times New Roman" w:cs="Traditional Arabic"/>
          <w:color w:val="2E7D32"/>
          <w:rtl/>
        </w:rPr>
        <w:t>التوصية الثالثة: برنامج تأهيل نوعي للخريجات في تخصصات الطلب العالي</w:t>
      </w:r>
      <w:bookmarkEnd w:id="48"/>
    </w:p>
    <w:p w14:paraId="68634A59" w14:textId="77777777" w:rsidR="00F56CD3" w:rsidRDefault="004A2CFE">
      <w:pPr>
        <w:bidi/>
        <w:spacing w:after="120" w:line="360" w:lineRule="auto"/>
        <w:ind w:firstLine="425"/>
        <w:jc w:val="both"/>
      </w:pPr>
      <w:r>
        <w:rPr>
          <w:rFonts w:eastAsia="Traditional Arabic"/>
          <w:rtl/>
        </w:rPr>
        <w:t>تُوصي المجموعة بإطلاق برنامج تأهيل نوعي للخريجات في تخصصات الطلب العالي، مثل: التقنية، والذكاء الاصطناعي، والتمريض، والصحة، والمهارات الرقمية. ويُنفَّذ البرنامج بالشراكة بين «هدف» والمؤسّسة العامة للتدريب التقني والمهني والجامعات. ويستهدف البرنامج الخريجات من التخصصات المشبَعة، ويُؤهّلهنّ للانتقال إلى مجالات أكثر طلبًا. وتُحقّق هذه التوصية فائدة مزدوجة: تقليل بطالة الخريجات، ورفع نسبة النساء في القطاعات ذات الأجر العالي، مما يُعزّز التمكين الاقتصادي للمرأة.</w:t>
      </w:r>
    </w:p>
    <w:p w14:paraId="442824FA" w14:textId="77777777" w:rsidR="00F56CD3" w:rsidRDefault="004A2CFE" w:rsidP="00DD197F">
      <w:pPr>
        <w:pStyle w:val="21"/>
        <w:spacing w:before="240" w:after="120" w:line="312" w:lineRule="auto"/>
        <w:jc w:val="right"/>
      </w:pPr>
      <w:bookmarkStart w:id="49" w:name="_Toc241526781"/>
      <w:r>
        <w:rPr>
          <w:rFonts w:ascii="Times New Roman" w:eastAsia="Traditional Arabic" w:hAnsi="Times New Roman" w:cs="Traditional Arabic"/>
          <w:color w:val="2E7D32"/>
          <w:rtl/>
        </w:rPr>
        <w:t>التوصية الرابعة: تطوير منظومة رعاية الأطفال والحضانات</w:t>
      </w:r>
      <w:bookmarkEnd w:id="49"/>
    </w:p>
    <w:p w14:paraId="531F7332" w14:textId="77777777" w:rsidR="00F56CD3" w:rsidRDefault="004A2CFE">
      <w:pPr>
        <w:bidi/>
        <w:spacing w:after="120" w:line="360" w:lineRule="auto"/>
        <w:ind w:firstLine="425"/>
        <w:jc w:val="both"/>
      </w:pPr>
      <w:r>
        <w:rPr>
          <w:rFonts w:eastAsia="Traditional Arabic"/>
          <w:rtl/>
        </w:rPr>
        <w:t>تُوصي المجموعة بتطوير منظومة رعاية الأطفال والحضانات في بيئة العمل، بالشراكة بين وزارة الموارد البشرية ووزارة التعليم والقطاع الخاص. وتتضمّن المنظومة توفير حضانات في بيئات العمل الكبرى، ودعم مالي للأسر التي تُرسل أطفالها للحضانات الخاصة، وتيسير إجراءات ترخيص الحضانات المنزلية الصغيرة. وتستفيد من هذه التوصية الخريجات الأمهات اللواتي يجدن صعوبة في الموازنة بين العمل ورعاية الأطفال، وتُسهم في رفع نسبة بقاء المرأة العاملة في سوق العمل بعد الإنجاب.</w:t>
      </w:r>
    </w:p>
    <w:p w14:paraId="78931FF9" w14:textId="77777777" w:rsidR="00F56CD3" w:rsidRDefault="004A2CFE" w:rsidP="00DD197F">
      <w:pPr>
        <w:pStyle w:val="21"/>
        <w:spacing w:before="240" w:after="120" w:line="312" w:lineRule="auto"/>
        <w:jc w:val="right"/>
      </w:pPr>
      <w:bookmarkStart w:id="50" w:name="_Toc241526782"/>
      <w:r>
        <w:rPr>
          <w:rFonts w:ascii="Times New Roman" w:eastAsia="Traditional Arabic" w:hAnsi="Times New Roman" w:cs="Traditional Arabic"/>
          <w:color w:val="2E7D32"/>
          <w:rtl/>
        </w:rPr>
        <w:t>التوصية الخامسة: تطوير مؤشر وطني لتوظيف الخريجين</w:t>
      </w:r>
      <w:bookmarkEnd w:id="50"/>
    </w:p>
    <w:p w14:paraId="3F3E995B" w14:textId="77777777" w:rsidR="00F56CD3" w:rsidRDefault="004A2CFE">
      <w:pPr>
        <w:bidi/>
        <w:spacing w:after="120" w:line="360" w:lineRule="auto"/>
        <w:ind w:firstLine="425"/>
        <w:jc w:val="both"/>
      </w:pPr>
      <w:r>
        <w:rPr>
          <w:rFonts w:eastAsia="Traditional Arabic"/>
          <w:rtl/>
        </w:rPr>
        <w:t>تُوصي المجموعة بتطوير مؤشر وطني لتوظيف الخريجين، يُصدر بشكل دوري بالشراكة بين الهيئة العامة للإحصاء ووزارة التعليم ووزارة الموارد البشرية. ويُحدّد المؤشر نسبة التوظيف بحسب التخصص والجنس والمنطقة، مع تتبّع الفترة الزمنية بين التخرّج والعمل. ويستفيد منه صنّاع القرار في رسم السياسات، كما يُتيح للجامعات تقييم برامجها. وتتمحور فائدة هذه التوصية في تمكين صنّاع القرار من إجراءات مبنية على بيانات بدلًا من التقديرات.</w:t>
      </w:r>
    </w:p>
    <w:p w14:paraId="5F8E0250" w14:textId="77777777" w:rsidR="00F56CD3" w:rsidRDefault="004A2CFE" w:rsidP="00DD197F">
      <w:pPr>
        <w:pStyle w:val="1"/>
        <w:spacing w:before="360" w:after="200" w:line="312" w:lineRule="auto"/>
        <w:jc w:val="right"/>
      </w:pPr>
      <w:bookmarkStart w:id="51" w:name="_Toc241526783"/>
      <w:r>
        <w:rPr>
          <w:rFonts w:ascii="Times New Roman" w:eastAsia="Traditional Arabic" w:hAnsi="Times New Roman" w:cs="Traditional Arabic"/>
          <w:color w:val="0B3D2E"/>
          <w:rtl/>
        </w:rPr>
        <w:t>14. الخاتمة</w:t>
      </w:r>
      <w:bookmarkEnd w:id="51"/>
    </w:p>
    <w:p w14:paraId="65FB9120" w14:textId="77777777" w:rsidR="00F56CD3" w:rsidRDefault="004A2CFE">
      <w:pPr>
        <w:bidi/>
        <w:spacing w:after="120" w:line="360" w:lineRule="auto"/>
        <w:ind w:firstLine="425"/>
        <w:jc w:val="both"/>
      </w:pPr>
      <w:r>
        <w:rPr>
          <w:rFonts w:eastAsia="Traditional Arabic"/>
          <w:rtl/>
        </w:rPr>
        <w:t>عالجت هذه الدراسة سؤالًا مركزيًا حول مدى تأثير بطالة خريجات الجامعات في التمكين الاقتصادي للمرأة في المجتمع السعودي، والعوامل المرتبطة بها، وارتباط الجهود السعودية لمعالجتها برؤية السعودية 2030. وأظهر التحليل أنّ بطالة الخريجات ليست مجرّد ظاهرة إحصائية، بل قضية مرتبطة بشكل عضوي بالتمكين الاقتصادي للمرأة، إذ تُمثّل الشهادة الجامعية وعدًا بالاستقلال الاقتصادي لا يتحقّق إلا بفرصة عمل لائقة.</w:t>
      </w:r>
    </w:p>
    <w:p w14:paraId="7EFB5F33" w14:textId="77777777" w:rsidR="00F56CD3" w:rsidRDefault="004A2CFE">
      <w:pPr>
        <w:bidi/>
        <w:spacing w:after="120" w:line="360" w:lineRule="auto"/>
        <w:ind w:firstLine="425"/>
        <w:jc w:val="both"/>
      </w:pPr>
      <w:r>
        <w:rPr>
          <w:rFonts w:eastAsia="Traditional Arabic"/>
          <w:rtl/>
        </w:rPr>
        <w:t>بيّن التحليل أنّ المملكة حقّقت تقدّمًا ملحوظًا في رفع نسبة مشاركة المرأة في القوى العاملة، حتى تجاوزت المستهدف المحدد في رؤية 2030. ومع ذلك، لا يزال معدّل بطالة النساء أعلى من نظيره لدى الرجال، ولا تزال فجوة عدم التطابق المهاري قائمة، ولا يزال تركّز توظيف النساء في قطاعات محدودة تحدًا حقيقيًا. وتتطلّب معالجة هذه التحدّيات سياسات تنسيقية بين وزارة التعليم ووزارة الموارد البشرية والهيئة العامة للإحصاء والجهات ذات الصلة.</w:t>
      </w:r>
    </w:p>
    <w:p w14:paraId="0C801AEC" w14:textId="77777777" w:rsidR="00F56CD3" w:rsidRDefault="004A2CFE">
      <w:pPr>
        <w:bidi/>
        <w:spacing w:after="120" w:line="360" w:lineRule="auto"/>
        <w:ind w:firstLine="425"/>
        <w:jc w:val="both"/>
      </w:pPr>
      <w:r>
        <w:rPr>
          <w:rFonts w:eastAsia="Traditional Arabic"/>
          <w:rtl/>
        </w:rPr>
        <w:t>ترتبط نتائج الدراسة برؤية السعودية 2030 بشكل مباشر، إذ تُمثّل الرؤية الإطار الاستراتيجي الذي يُوجّه سياسات التوظيف والتدريب. وتُبيّن المقارنة الدولية مع دولة الإمارات العربية المتحدة أنّ تطوير منظومة رعاية الأطفال وربط التعليم الجامعي بسوق العمل مبكرًا من أهم الدروس المستفادة. وتقترح الدراسة خمس توصيات عملية تتقاطع مع هذه المجالات، وتُحدّد لكل توصية جهة المُنفِّذة والفئة المستفيدة وربطها بالتمكين. وتمثّل معالجة بطالة الخريجات اختبارًا حقيقيًا لمدى قدرة الرؤية على تحويل التوجّهات الاستراتيجية إلى نتائج ملموسة على المستوى الفردي، وخاصّةً للمرأة السعودية التي صارت تُمثّل نصف القوى العاملة المؤهَّلة في المملكة.</w:t>
      </w:r>
    </w:p>
    <w:p w14:paraId="299578B9" w14:textId="77777777" w:rsidR="00F56CD3" w:rsidRDefault="004A2CFE" w:rsidP="00DD197F">
      <w:pPr>
        <w:pStyle w:val="1"/>
        <w:spacing w:before="360" w:after="200" w:line="312" w:lineRule="auto"/>
        <w:jc w:val="right"/>
      </w:pPr>
      <w:bookmarkStart w:id="52" w:name="_Toc241526784"/>
      <w:r>
        <w:rPr>
          <w:rFonts w:ascii="Times New Roman" w:eastAsia="Traditional Arabic" w:hAnsi="Times New Roman" w:cs="Traditional Arabic"/>
          <w:color w:val="0B3D2E"/>
          <w:rtl/>
        </w:rPr>
        <w:t>15. المراجع</w:t>
      </w:r>
      <w:bookmarkEnd w:id="52"/>
    </w:p>
    <w:p w14:paraId="66451265" w14:textId="77777777" w:rsidR="00F56CD3" w:rsidRDefault="004A2CFE">
      <w:pPr>
        <w:bidi/>
        <w:spacing w:after="80" w:line="312" w:lineRule="auto"/>
        <w:ind w:left="397" w:right="397" w:hanging="397"/>
        <w:jc w:val="both"/>
      </w:pPr>
      <w:r>
        <w:rPr>
          <w:rFonts w:eastAsia="Traditional Arabic"/>
          <w:sz w:val="24"/>
          <w:szCs w:val="24"/>
          <w:rtl/>
        </w:rPr>
        <w:t>1. الهيئة العامة للإحصاء. (2024). نتائج مسح القوى العاملة للربع الأول من عام 2024. الرياض: الهيئة العامة للإحصاء. www.stats.gov.sa</w:t>
      </w:r>
    </w:p>
    <w:p w14:paraId="02DF8795" w14:textId="77777777" w:rsidR="00F56CD3" w:rsidRDefault="004A2CFE">
      <w:pPr>
        <w:bidi/>
        <w:spacing w:after="80" w:line="312" w:lineRule="auto"/>
        <w:ind w:left="397" w:right="397" w:hanging="397"/>
        <w:jc w:val="both"/>
      </w:pPr>
      <w:r>
        <w:rPr>
          <w:rFonts w:eastAsia="Traditional Arabic"/>
          <w:sz w:val="24"/>
          <w:szCs w:val="24"/>
          <w:rtl/>
        </w:rPr>
        <w:t>2. الهيئة العامة للإحصاء. (2023). مسح القوى العاملة — نتائج عام 2023. الرياض: الهيئة العامة للإحصاء.</w:t>
      </w:r>
    </w:p>
    <w:p w14:paraId="54611F44" w14:textId="77777777" w:rsidR="00F56CD3" w:rsidRDefault="004A2CFE">
      <w:pPr>
        <w:bidi/>
        <w:spacing w:after="80" w:line="312" w:lineRule="auto"/>
        <w:ind w:left="397" w:right="397" w:hanging="397"/>
        <w:jc w:val="both"/>
      </w:pPr>
      <w:r>
        <w:rPr>
          <w:rFonts w:eastAsia="Traditional Arabic"/>
          <w:sz w:val="24"/>
          <w:szCs w:val="24"/>
          <w:rtl/>
        </w:rPr>
        <w:t>3. المملكة العربية السعودية. (2016). رؤية السعودية 2030. الرياض: الديوان الملكي. www.vision2030.gov.sa</w:t>
      </w:r>
    </w:p>
    <w:p w14:paraId="2CF96021" w14:textId="77777777" w:rsidR="00F56CD3" w:rsidRDefault="004A2CFE">
      <w:pPr>
        <w:bidi/>
        <w:spacing w:after="80" w:line="312" w:lineRule="auto"/>
        <w:ind w:left="397" w:right="397" w:hanging="397"/>
        <w:jc w:val="both"/>
      </w:pPr>
      <w:r>
        <w:rPr>
          <w:rFonts w:eastAsia="Traditional Arabic"/>
          <w:sz w:val="24"/>
          <w:szCs w:val="24"/>
          <w:rtl/>
        </w:rPr>
        <w:t>4. وزارة الموارد البشرية والتنمية الاجتماعية. (2023). تقرير سوق العمل السعودي. الرياض: وزارة الموارد البشرية. www.hrsd.gov.sa</w:t>
      </w:r>
    </w:p>
    <w:p w14:paraId="75E99618" w14:textId="77777777" w:rsidR="00F56CD3" w:rsidRDefault="004A2CFE">
      <w:pPr>
        <w:bidi/>
        <w:spacing w:after="80" w:line="312" w:lineRule="auto"/>
        <w:ind w:left="397" w:right="397" w:hanging="397"/>
        <w:jc w:val="both"/>
      </w:pPr>
      <w:r>
        <w:rPr>
          <w:rFonts w:eastAsia="Traditional Arabic"/>
          <w:sz w:val="24"/>
          <w:szCs w:val="24"/>
          <w:rtl/>
        </w:rPr>
        <w:t>5. صندوق تنمية الموارد البشرية (هدف). (2023). التقرير السنوي لبرامج التدريب والتوظيف. الرياض: هدف. www.hrsd.gov.sa</w:t>
      </w:r>
    </w:p>
    <w:p w14:paraId="1D301B32" w14:textId="77777777" w:rsidR="00F56CD3" w:rsidRDefault="004A2CFE">
      <w:pPr>
        <w:bidi/>
        <w:spacing w:after="80" w:line="312" w:lineRule="auto"/>
        <w:ind w:left="397" w:right="397" w:hanging="397"/>
        <w:jc w:val="both"/>
      </w:pPr>
      <w:r>
        <w:rPr>
          <w:rFonts w:eastAsia="Traditional Arabic"/>
          <w:sz w:val="24"/>
          <w:szCs w:val="24"/>
          <w:rtl/>
        </w:rPr>
        <w:t>6. صندوق تنمية الموارد البشرية (هدف). (2023). برنامج تمهير: التقرير السنوي. الرياض: هدف.</w:t>
      </w:r>
    </w:p>
    <w:p w14:paraId="59900609" w14:textId="77777777" w:rsidR="00F56CD3" w:rsidRDefault="004A2CFE">
      <w:pPr>
        <w:bidi/>
        <w:spacing w:after="80" w:line="312" w:lineRule="auto"/>
        <w:ind w:left="397" w:right="397" w:hanging="397"/>
        <w:jc w:val="both"/>
      </w:pPr>
      <w:r>
        <w:rPr>
          <w:rFonts w:eastAsia="Traditional Arabic"/>
          <w:sz w:val="24"/>
          <w:szCs w:val="24"/>
          <w:rtl/>
        </w:rPr>
        <w:t>7. وزارة التعليم. (2022). الإحصاء السنوي للتعليم العالي. الرياض: وزارة التعليم. www.moe.gov.sa</w:t>
      </w:r>
    </w:p>
    <w:p w14:paraId="05445BF1" w14:textId="77777777" w:rsidR="00F56CD3" w:rsidRDefault="004A2CFE">
      <w:pPr>
        <w:bidi/>
        <w:spacing w:after="80" w:line="312" w:lineRule="auto"/>
        <w:ind w:left="397" w:right="397" w:hanging="397"/>
        <w:jc w:val="both"/>
      </w:pPr>
      <w:r>
        <w:rPr>
          <w:rFonts w:eastAsia="Traditional Arabic"/>
          <w:sz w:val="24"/>
          <w:szCs w:val="24"/>
          <w:rtl/>
        </w:rPr>
        <w:t>8. وزارة الاقتصاد والتخطيط. (2022). برنامج التحوّل الوطني 2020 — التقرير السنوي. الرياض: وزارة الاقتصاد والتخطيط.</w:t>
      </w:r>
    </w:p>
    <w:p w14:paraId="2A87E9C5" w14:textId="77777777" w:rsidR="00F56CD3" w:rsidRDefault="004A2CFE">
      <w:pPr>
        <w:bidi/>
        <w:spacing w:after="80" w:line="312" w:lineRule="auto"/>
        <w:ind w:left="397" w:right="397" w:hanging="397"/>
        <w:jc w:val="both"/>
      </w:pPr>
      <w:r>
        <w:rPr>
          <w:rFonts w:eastAsia="Traditional Arabic"/>
          <w:sz w:val="24"/>
          <w:szCs w:val="24"/>
          <w:rtl/>
        </w:rPr>
        <w:t>9. الموقع الرسمي لرؤية السعودية 2030. (2023). تقدّم المستهدفات — مشاركة المرأة في سوق العمل. www.vision2030.gov.sa</w:t>
      </w:r>
    </w:p>
    <w:p w14:paraId="3B1FED67" w14:textId="77777777" w:rsidR="00F56CD3" w:rsidRDefault="004A2CFE">
      <w:pPr>
        <w:bidi/>
        <w:spacing w:after="80" w:line="312" w:lineRule="auto"/>
        <w:ind w:left="397" w:right="397" w:hanging="397"/>
        <w:jc w:val="both"/>
      </w:pPr>
      <w:r>
        <w:rPr>
          <w:rFonts w:eastAsia="Traditional Arabic"/>
          <w:sz w:val="24"/>
          <w:szCs w:val="24"/>
          <w:rtl/>
        </w:rPr>
        <w:t>10. International Labour Organization. (2018). World Employment and Social Outlook 2018: Greening with Jobs. Geneva: ILO. www.ilo.org</w:t>
      </w:r>
    </w:p>
    <w:p w14:paraId="52E36328" w14:textId="77777777" w:rsidR="00F56CD3" w:rsidRDefault="004A2CFE">
      <w:pPr>
        <w:bidi/>
        <w:spacing w:after="80" w:line="312" w:lineRule="auto"/>
        <w:ind w:left="397" w:right="397" w:hanging="397"/>
        <w:jc w:val="both"/>
      </w:pPr>
      <w:r>
        <w:rPr>
          <w:rFonts w:eastAsia="Traditional Arabic"/>
          <w:sz w:val="24"/>
          <w:szCs w:val="24"/>
          <w:rtl/>
        </w:rPr>
        <w:t>11. International Labour Organization. (2020). The Female Labour Force Participation in the Arab States. Geneva: ILO Regional Office.</w:t>
      </w:r>
    </w:p>
    <w:p w14:paraId="785FCE18" w14:textId="77777777" w:rsidR="00F56CD3" w:rsidRDefault="004A2CFE">
      <w:pPr>
        <w:bidi/>
        <w:spacing w:after="80" w:line="312" w:lineRule="auto"/>
        <w:ind w:left="397" w:right="397" w:hanging="397"/>
        <w:jc w:val="both"/>
      </w:pPr>
      <w:r>
        <w:rPr>
          <w:rFonts w:eastAsia="Traditional Arabic"/>
          <w:sz w:val="24"/>
          <w:szCs w:val="24"/>
          <w:rtl/>
        </w:rPr>
        <w:t>12. International Labour Organization. (2023). Skills Mismatch in the Arab Region. Geneva: ILO.</w:t>
      </w:r>
    </w:p>
    <w:p w14:paraId="0E726363" w14:textId="77777777" w:rsidR="00F56CD3" w:rsidRDefault="004A2CFE">
      <w:pPr>
        <w:bidi/>
        <w:spacing w:after="80" w:line="312" w:lineRule="auto"/>
        <w:ind w:left="397" w:right="397" w:hanging="397"/>
        <w:jc w:val="both"/>
      </w:pPr>
      <w:r>
        <w:rPr>
          <w:rFonts w:eastAsia="Traditional Arabic"/>
          <w:sz w:val="24"/>
          <w:szCs w:val="24"/>
          <w:rtl/>
        </w:rPr>
        <w:t>13. World Bank. (2022). Jobs and the Green Economy in the Middle East and North Africa Region. Washington, D.C.: World Bank. www.worldbank.org</w:t>
      </w:r>
    </w:p>
    <w:p w14:paraId="555B7965" w14:textId="77777777" w:rsidR="00F56CD3" w:rsidRDefault="004A2CFE">
      <w:pPr>
        <w:bidi/>
        <w:spacing w:after="80" w:line="312" w:lineRule="auto"/>
        <w:ind w:left="397" w:right="397" w:hanging="397"/>
        <w:jc w:val="both"/>
      </w:pPr>
      <w:r>
        <w:rPr>
          <w:rFonts w:eastAsia="Traditional Arabic"/>
          <w:sz w:val="24"/>
          <w:szCs w:val="24"/>
          <w:rtl/>
        </w:rPr>
        <w:t>14. World Bank. (2023). Women, Business and the Law 2023. Washington, D.C.: World Bank.</w:t>
      </w:r>
    </w:p>
    <w:p w14:paraId="314D0CE1" w14:textId="77777777" w:rsidR="00F56CD3" w:rsidRDefault="004A2CFE">
      <w:pPr>
        <w:bidi/>
        <w:spacing w:after="80" w:line="312" w:lineRule="auto"/>
        <w:ind w:left="397" w:right="397" w:hanging="397"/>
        <w:jc w:val="both"/>
      </w:pPr>
      <w:r>
        <w:rPr>
          <w:rFonts w:eastAsia="Traditional Arabic"/>
          <w:sz w:val="24"/>
          <w:szCs w:val="24"/>
          <w:rtl/>
        </w:rPr>
        <w:t>15. OECD. (2022). Skills Outlook 2022: Empowering Youth for Sustainable Careers. Paris: OECD Publishing. www.oecd.org</w:t>
      </w:r>
    </w:p>
    <w:p w14:paraId="73F3F0DF" w14:textId="77777777" w:rsidR="00F56CD3" w:rsidRDefault="004A2CFE">
      <w:pPr>
        <w:bidi/>
        <w:spacing w:after="80" w:line="312" w:lineRule="auto"/>
        <w:ind w:left="397" w:right="397" w:hanging="397"/>
        <w:jc w:val="both"/>
      </w:pPr>
      <w:r>
        <w:rPr>
          <w:rFonts w:eastAsia="Traditional Arabic"/>
          <w:sz w:val="24"/>
          <w:szCs w:val="24"/>
          <w:rtl/>
        </w:rPr>
        <w:t>16. OECD. (2023). Employment and Skills Strategies for the Green Transition. Paris: OECD Publishing.</w:t>
      </w:r>
    </w:p>
    <w:p w14:paraId="706C92BF" w14:textId="77777777" w:rsidR="00F56CD3" w:rsidRDefault="004A2CFE">
      <w:pPr>
        <w:bidi/>
        <w:spacing w:after="80" w:line="312" w:lineRule="auto"/>
        <w:ind w:left="397" w:right="397" w:hanging="397"/>
        <w:jc w:val="both"/>
      </w:pPr>
      <w:r>
        <w:rPr>
          <w:rFonts w:eastAsia="Traditional Arabic"/>
          <w:sz w:val="24"/>
          <w:szCs w:val="24"/>
          <w:rtl/>
        </w:rPr>
        <w:t>17. UN Women. (2018). Turning Promises into Action: Gender Equality in the 2030 Agenda. New York: UN Women. www.unwomen.org</w:t>
      </w:r>
    </w:p>
    <w:p w14:paraId="10468D45" w14:textId="77777777" w:rsidR="00F56CD3" w:rsidRDefault="004A2CFE">
      <w:pPr>
        <w:bidi/>
        <w:spacing w:after="80" w:line="312" w:lineRule="auto"/>
        <w:ind w:left="397" w:right="397" w:hanging="397"/>
        <w:jc w:val="both"/>
      </w:pPr>
      <w:r>
        <w:rPr>
          <w:rFonts w:eastAsia="Traditional Arabic"/>
          <w:sz w:val="24"/>
          <w:szCs w:val="24"/>
          <w:rtl/>
        </w:rPr>
        <w:t>18. UN Women. (2022). Progress on the Sustainable Development Goals: The Gender Snapshot. New York: UN Women.</w:t>
      </w:r>
    </w:p>
    <w:p w14:paraId="7DA6487C" w14:textId="77777777" w:rsidR="00F56CD3" w:rsidRDefault="004A2CFE">
      <w:pPr>
        <w:bidi/>
        <w:spacing w:after="80" w:line="312" w:lineRule="auto"/>
        <w:ind w:left="397" w:right="397" w:hanging="397"/>
        <w:jc w:val="both"/>
      </w:pPr>
      <w:r>
        <w:rPr>
          <w:rFonts w:eastAsia="Traditional Arabic"/>
          <w:sz w:val="24"/>
          <w:szCs w:val="24"/>
          <w:rtl/>
        </w:rPr>
        <w:t>19. المركز الاتحادي للتنافسية والإحصاء (الإمارات). (2023). تقرير سوق العمل الإماراتي. أبوظبي: المركز الاتحادي للتنافسية والإحصاء. www.fcsc.gov.ae</w:t>
      </w:r>
    </w:p>
    <w:p w14:paraId="6F37B4A1" w14:textId="77777777" w:rsidR="00F56CD3" w:rsidRDefault="004A2CFE">
      <w:pPr>
        <w:bidi/>
        <w:spacing w:after="80" w:line="312" w:lineRule="auto"/>
        <w:ind w:left="397" w:right="397" w:hanging="397"/>
        <w:jc w:val="both"/>
      </w:pPr>
      <w:r>
        <w:rPr>
          <w:rFonts w:eastAsia="Traditional Arabic"/>
          <w:sz w:val="24"/>
          <w:szCs w:val="24"/>
          <w:rtl/>
        </w:rPr>
        <w:t>20. هيئة الموارد البشرية الإماراتية. (2023). برنامج نافس: التقرير السنوي. الإمارات: هيئة الموارد البشرية.</w:t>
      </w:r>
    </w:p>
    <w:p w14:paraId="471980CB" w14:textId="77777777" w:rsidR="00F56CD3" w:rsidRDefault="004A2CFE">
      <w:pPr>
        <w:bidi/>
        <w:spacing w:after="80" w:line="312" w:lineRule="auto"/>
        <w:ind w:left="397" w:right="397" w:hanging="397"/>
        <w:jc w:val="both"/>
      </w:pPr>
      <w:r>
        <w:rPr>
          <w:rFonts w:eastAsia="Traditional Arabic"/>
          <w:sz w:val="24"/>
          <w:szCs w:val="24"/>
          <w:rtl/>
        </w:rPr>
        <w:t>21. منظمة العمل الدولية. (2021). الانتقال من المدرسة إلى العمل: تحليلات إقليمية. جنيف: منظمة العمل الدولية.</w:t>
      </w:r>
    </w:p>
    <w:p w14:paraId="386ED2C6" w14:textId="77777777" w:rsidR="00F56CD3" w:rsidRDefault="004A2CFE">
      <w:pPr>
        <w:bidi/>
        <w:spacing w:after="80" w:line="312" w:lineRule="auto"/>
        <w:ind w:left="397" w:right="397" w:hanging="397"/>
        <w:jc w:val="both"/>
      </w:pPr>
      <w:r>
        <w:rPr>
          <w:rFonts w:eastAsia="Traditional Arabic"/>
          <w:sz w:val="24"/>
          <w:szCs w:val="24"/>
          <w:rtl/>
        </w:rPr>
        <w:t>22. موسان (National Programme for Occupational Safety). (2022). تقرير سنوي. الرياض: وزارة الموارد البشرية والتنمية الاجتماعية.</w:t>
      </w:r>
    </w:p>
    <w:p w14:paraId="0E98C668" w14:textId="77777777" w:rsidR="00F56CD3" w:rsidRDefault="004A2CFE">
      <w:pPr>
        <w:bidi/>
        <w:spacing w:after="80" w:line="312" w:lineRule="auto"/>
        <w:ind w:left="397" w:right="397" w:hanging="397"/>
        <w:jc w:val="both"/>
      </w:pPr>
      <w:r>
        <w:rPr>
          <w:rFonts w:eastAsia="Traditional Arabic"/>
          <w:sz w:val="24"/>
          <w:szCs w:val="24"/>
          <w:rtl/>
        </w:rPr>
        <w:t>23. بادر (Bader). (2023). التقرير السنوي لبرامج إحتضان رواد الأعمال. الرياض: بادر التابعة لمسك. www.bader.com.sa</w:t>
      </w:r>
    </w:p>
    <w:sectPr w:rsidR="00F56CD3" w:rsidSect="00034616">
      <w:footerReference w:type="default" r:id="rId8"/>
      <w:pgSz w:w="11906" w:h="16838"/>
      <w:pgMar w:top="1417" w:right="1417" w:bottom="1417"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D1798" w14:textId="77777777" w:rsidR="0047035A" w:rsidRDefault="0047035A">
      <w:pPr>
        <w:spacing w:after="0" w:line="240" w:lineRule="auto"/>
      </w:pPr>
      <w:r>
        <w:separator/>
      </w:r>
    </w:p>
  </w:endnote>
  <w:endnote w:type="continuationSeparator" w:id="0">
    <w:p w14:paraId="52F38545" w14:textId="77777777" w:rsidR="0047035A" w:rsidRDefault="00470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0BDE" w14:textId="77777777" w:rsidR="00F56CD3" w:rsidRDefault="004A2CFE">
    <w:pPr>
      <w:pStyle w:val="a6"/>
      <w:bidi/>
      <w:jc w:val="center"/>
    </w:pPr>
    <w:r>
      <w:rPr>
        <w:rFonts w:eastAsia="Traditional Arabic"/>
        <w:color w:val="555555"/>
        <w:sz w:val="20"/>
        <w:szCs w:val="20"/>
        <w:rtl/>
      </w:rPr>
      <w:t xml:space="preserve">— </w:t>
    </w:r>
    <w:r>
      <w:rPr>
        <w:rFonts w:eastAsia="Traditional Arabic"/>
        <w:color w:val="555555"/>
        <w:sz w:val="20"/>
        <w:szCs w:val="20"/>
        <w:rtl/>
      </w:rPr>
      <w:fldChar w:fldCharType="begin"/>
    </w:r>
    <w:r>
      <w:rPr>
        <w:rFonts w:eastAsia="Traditional Arabic"/>
        <w:color w:val="555555"/>
        <w:sz w:val="20"/>
        <w:szCs w:val="20"/>
        <w:rtl/>
      </w:rPr>
      <w:instrText>PAGE   \* MERGEFORMAT</w:instrText>
    </w:r>
    <w:r>
      <w:rPr>
        <w:rFonts w:eastAsia="Traditional Arabic"/>
        <w:color w:val="555555"/>
        <w:sz w:val="20"/>
        <w:szCs w:val="20"/>
        <w:rtl/>
      </w:rPr>
      <w:fldChar w:fldCharType="separate"/>
    </w:r>
    <w:r w:rsidR="00B02FE6">
      <w:rPr>
        <w:rFonts w:eastAsia="Traditional Arabic"/>
        <w:noProof/>
        <w:color w:val="555555"/>
        <w:sz w:val="20"/>
        <w:szCs w:val="20"/>
        <w:rtl/>
      </w:rPr>
      <w:t>1</w:t>
    </w:r>
    <w:r>
      <w:rPr>
        <w:rFonts w:eastAsia="Traditional Arabic"/>
        <w:color w:val="555555"/>
        <w:sz w:val="20"/>
        <w:szCs w:val="20"/>
        <w:rtl/>
      </w:rPr>
      <w:fldChar w:fldCharType="end"/>
    </w:r>
    <w:r>
      <w:rPr>
        <w:rFonts w:eastAsia="Traditional Arabic"/>
        <w:color w:val="555555"/>
        <w:sz w:val="20"/>
        <w:szCs w:val="20"/>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BB32D" w14:textId="77777777" w:rsidR="0047035A" w:rsidRDefault="0047035A">
      <w:pPr>
        <w:spacing w:after="0" w:line="240" w:lineRule="auto"/>
      </w:pPr>
      <w:r>
        <w:separator/>
      </w:r>
    </w:p>
  </w:footnote>
  <w:footnote w:type="continuationSeparator" w:id="0">
    <w:p w14:paraId="34920776" w14:textId="77777777" w:rsidR="0047035A" w:rsidRDefault="00470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5982904">
    <w:abstractNumId w:val="8"/>
  </w:num>
  <w:num w:numId="2" w16cid:durableId="1104306828">
    <w:abstractNumId w:val="6"/>
  </w:num>
  <w:num w:numId="3" w16cid:durableId="93676655">
    <w:abstractNumId w:val="5"/>
  </w:num>
  <w:num w:numId="4" w16cid:durableId="548344306">
    <w:abstractNumId w:val="4"/>
  </w:num>
  <w:num w:numId="5" w16cid:durableId="2011330711">
    <w:abstractNumId w:val="7"/>
  </w:num>
  <w:num w:numId="6" w16cid:durableId="24644458">
    <w:abstractNumId w:val="3"/>
  </w:num>
  <w:num w:numId="7" w16cid:durableId="1346903425">
    <w:abstractNumId w:val="2"/>
  </w:num>
  <w:num w:numId="8" w16cid:durableId="865405999">
    <w:abstractNumId w:val="1"/>
  </w:num>
  <w:num w:numId="9" w16cid:durableId="190914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2A7"/>
    <w:rsid w:val="00121A9A"/>
    <w:rsid w:val="0015074B"/>
    <w:rsid w:val="0029639D"/>
    <w:rsid w:val="002B29DC"/>
    <w:rsid w:val="00326F90"/>
    <w:rsid w:val="0047035A"/>
    <w:rsid w:val="004A2CFE"/>
    <w:rsid w:val="00565672"/>
    <w:rsid w:val="005865F1"/>
    <w:rsid w:val="006B2C07"/>
    <w:rsid w:val="006E66D3"/>
    <w:rsid w:val="007652C8"/>
    <w:rsid w:val="00797D7B"/>
    <w:rsid w:val="0095362F"/>
    <w:rsid w:val="00AA1D8D"/>
    <w:rsid w:val="00B02FE6"/>
    <w:rsid w:val="00B47730"/>
    <w:rsid w:val="00C4545F"/>
    <w:rsid w:val="00CB0664"/>
    <w:rsid w:val="00D6038B"/>
    <w:rsid w:val="00D65404"/>
    <w:rsid w:val="00DD197F"/>
    <w:rsid w:val="00DE6549"/>
    <w:rsid w:val="00EA3B2E"/>
    <w:rsid w:val="00EC0863"/>
    <w:rsid w:val="00F56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9F802"/>
  <w14:defaultImageDpi w14:val="300"/>
  <w15:docId w15:val="{A85E54BC-5428-5D4F-9C8C-4CBAD00E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s="Traditional Arabic"/>
      <w:sz w:val="28"/>
      <w:szCs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36"/>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B02FE6"/>
    <w:pPr>
      <w:spacing w:after="100"/>
    </w:pPr>
  </w:style>
  <w:style w:type="paragraph" w:styleId="28">
    <w:name w:val="toc 2"/>
    <w:basedOn w:val="a1"/>
    <w:next w:val="a1"/>
    <w:autoRedefine/>
    <w:uiPriority w:val="39"/>
    <w:unhideWhenUsed/>
    <w:rsid w:val="00B02FE6"/>
    <w:pPr>
      <w:spacing w:after="100"/>
      <w:ind w:left="280"/>
    </w:pPr>
  </w:style>
  <w:style w:type="character" w:styleId="Hyperlink">
    <w:name w:val="Hyperlink"/>
    <w:basedOn w:val="a2"/>
    <w:uiPriority w:val="99"/>
    <w:unhideWhenUsed/>
    <w:rsid w:val="00B02F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6617</Words>
  <Characters>37721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شاهر الشعبي</cp:lastModifiedBy>
  <cp:revision>2</cp:revision>
  <dcterms:created xsi:type="dcterms:W3CDTF">2026-10-01T21:01:00Z</dcterms:created>
  <dcterms:modified xsi:type="dcterms:W3CDTF">2026-10-01T21:01:00Z</dcterms:modified>
  <cp:category/>
</cp:coreProperties>
</file>