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1A107" w14:textId="77777777" w:rsidR="00E61EDC" w:rsidRPr="001F0F43" w:rsidRDefault="00E61EDC" w:rsidP="00E61EDC">
      <w:pPr>
        <w:rPr>
          <w:rFonts w:cstheme="minorHAnsi"/>
          <w:b/>
          <w:bCs/>
        </w:rPr>
      </w:pPr>
      <w:r w:rsidRPr="001F0F43">
        <w:rPr>
          <w:rFonts w:cstheme="minorHAnsi"/>
          <w:b/>
          <w:bCs/>
        </w:rPr>
        <w:t>THE COMPANY</w:t>
      </w:r>
    </w:p>
    <w:p w14:paraId="69D049D2" w14:textId="3E740403" w:rsidR="006155BC" w:rsidRDefault="006155BC" w:rsidP="006155BC">
      <w:pPr>
        <w:jc w:val="both"/>
        <w:rPr>
          <w:rFonts w:ascii="Calibri" w:hAnsi="Calibri" w:cs="Calibri"/>
        </w:rPr>
      </w:pPr>
      <w:r w:rsidRPr="006155BC">
        <w:rPr>
          <w:rFonts w:ascii="Calibri" w:hAnsi="Calibri" w:cs="Calibri"/>
        </w:rPr>
        <w:t>NOV Inc</w:t>
      </w:r>
      <w:r>
        <w:rPr>
          <w:rFonts w:ascii="Calibri" w:hAnsi="Calibri" w:cs="Calibri"/>
        </w:rPr>
        <w:t xml:space="preserve">. </w:t>
      </w:r>
      <w:r w:rsidRPr="006155BC">
        <w:rPr>
          <w:rFonts w:ascii="Calibri" w:hAnsi="Calibri" w:cs="Calibri"/>
        </w:rPr>
        <w:t>is a leading independent equipment and technology provider to the global energy industry. Originally founded in 1862, NOV and its predecessor companies have spent 160 years helping transform oil and gas field development and improving its cost-effectiveness, efficiency, safety, and environmental impact</w:t>
      </w:r>
      <w:r>
        <w:rPr>
          <w:rFonts w:ascii="Calibri" w:hAnsi="Calibri" w:cs="Calibri"/>
        </w:rPr>
        <w:t>.</w:t>
      </w:r>
    </w:p>
    <w:p w14:paraId="125F2B03" w14:textId="04F30C06" w:rsidR="006155BC" w:rsidRPr="006155BC" w:rsidRDefault="006155BC" w:rsidP="006155BC">
      <w:pPr>
        <w:jc w:val="both"/>
        <w:rPr>
          <w:rFonts w:ascii="Calibri" w:hAnsi="Calibri" w:cs="Calibri"/>
        </w:rPr>
      </w:pPr>
      <w:r w:rsidRPr="006155BC">
        <w:rPr>
          <w:rFonts w:ascii="Calibri" w:hAnsi="Calibri" w:cs="Calibri"/>
        </w:rPr>
        <w:t>NOV’s extensive proprietary technology portfolio supports the industry’s full-field drilling, completion, and production needs. NOV serves major-diversified, national, and independent service companies, contractors, and energy producers in 61 countries.</w:t>
      </w:r>
      <w:r>
        <w:rPr>
          <w:rFonts w:ascii="Calibri" w:hAnsi="Calibri" w:cs="Calibri"/>
        </w:rPr>
        <w:t xml:space="preserve"> </w:t>
      </w:r>
      <w:r w:rsidRPr="006155BC">
        <w:rPr>
          <w:rFonts w:ascii="Calibri" w:hAnsi="Calibri" w:cs="Calibri"/>
        </w:rPr>
        <w:t>With unmatched cross segment capabilities, scope, and scale, NOV continues to develop and introduce technologies that further enhance the economics and efficiencies of energy production, with a focus on automation, predictive analytics, and condition-based maintenance.</w:t>
      </w:r>
      <w:r w:rsidRPr="006155BC">
        <w:t xml:space="preserve"> </w:t>
      </w:r>
    </w:p>
    <w:p w14:paraId="6107D02D" w14:textId="341935C2" w:rsidR="006155BC" w:rsidRDefault="009468FB" w:rsidP="00E61EDC">
      <w:pPr>
        <w:rPr>
          <w:rFonts w:ascii="Calibri" w:hAnsi="Calibri" w:cs="Calibri"/>
          <w:b/>
          <w:bCs/>
        </w:rPr>
      </w:pPr>
      <w:hyperlink r:id="rId5" w:history="1">
        <w:r w:rsidR="006155BC" w:rsidRPr="006155BC">
          <w:rPr>
            <w:rStyle w:val="Hyperlink"/>
            <w:rFonts w:ascii="Calibri" w:hAnsi="Calibri" w:cs="Calibri"/>
            <w:b/>
            <w:bCs/>
          </w:rPr>
          <w:t>About Us</w:t>
        </w:r>
      </w:hyperlink>
    </w:p>
    <w:p w14:paraId="7D3B0DB1" w14:textId="77777777" w:rsidR="006155BC" w:rsidRDefault="006155BC" w:rsidP="00E61EDC">
      <w:pPr>
        <w:rPr>
          <w:rFonts w:ascii="Calibri" w:hAnsi="Calibri" w:cs="Calibri"/>
          <w:b/>
          <w:bCs/>
        </w:rPr>
      </w:pPr>
    </w:p>
    <w:p w14:paraId="3BA5581F" w14:textId="03CA26B1" w:rsidR="00E61EDC" w:rsidRDefault="00E61EDC" w:rsidP="00E61EDC">
      <w:pPr>
        <w:rPr>
          <w:rFonts w:ascii="Calibri" w:hAnsi="Calibri" w:cs="Calibri"/>
          <w:b/>
          <w:bCs/>
        </w:rPr>
      </w:pPr>
      <w:r w:rsidRPr="001F0F43">
        <w:rPr>
          <w:rFonts w:ascii="Calibri" w:hAnsi="Calibri" w:cs="Calibri"/>
          <w:b/>
          <w:bCs/>
        </w:rPr>
        <w:t>THE OBJECTIVE</w:t>
      </w:r>
    </w:p>
    <w:p w14:paraId="02C312B1" w14:textId="32743957" w:rsidR="009426F0" w:rsidRDefault="00B90156" w:rsidP="00F65C83">
      <w:pPr>
        <w:jc w:val="both"/>
        <w:rPr>
          <w:rFonts w:ascii="Calibri" w:hAnsi="Calibri" w:cs="Calibri"/>
        </w:rPr>
      </w:pPr>
      <w:r w:rsidRPr="00B90156">
        <w:rPr>
          <w:rFonts w:ascii="Calibri" w:hAnsi="Calibri" w:cs="Calibri"/>
        </w:rPr>
        <w:t>NOV wants to ensure that capital invested from shareholders is deployed into projects that generate the maximum shareholder value</w:t>
      </w:r>
      <w:r w:rsidR="00354362">
        <w:rPr>
          <w:rFonts w:ascii="Calibri" w:hAnsi="Calibri" w:cs="Calibri"/>
        </w:rPr>
        <w:t>.</w:t>
      </w:r>
      <w:r w:rsidR="00354362" w:rsidRPr="00354362">
        <w:t xml:space="preserve"> </w:t>
      </w:r>
      <w:r w:rsidR="00354362" w:rsidRPr="00354362">
        <w:rPr>
          <w:rFonts w:ascii="Calibri" w:hAnsi="Calibri" w:cs="Calibri"/>
        </w:rPr>
        <w:t>NOV is trying to determine where to deploy 2023 capital investment</w:t>
      </w:r>
      <w:r w:rsidR="00354362">
        <w:rPr>
          <w:rFonts w:ascii="Calibri" w:hAnsi="Calibri" w:cs="Calibri"/>
        </w:rPr>
        <w:t xml:space="preserve"> based on past performance and trends. </w:t>
      </w:r>
    </w:p>
    <w:p w14:paraId="2FC88E55" w14:textId="2068DF7B" w:rsidR="00354362" w:rsidRDefault="00354362" w:rsidP="00F65C83">
      <w:pPr>
        <w:jc w:val="both"/>
        <w:rPr>
          <w:rFonts w:ascii="Calibri" w:hAnsi="Calibri" w:cs="Calibri"/>
        </w:rPr>
      </w:pPr>
      <w:r>
        <w:rPr>
          <w:rFonts w:ascii="Calibri" w:hAnsi="Calibri" w:cs="Calibri"/>
        </w:rPr>
        <w:t xml:space="preserve">The data provided contains financials for three divisions within NOV. Analyze the return on capital for each division and </w:t>
      </w:r>
      <w:r w:rsidR="00F65C83">
        <w:rPr>
          <w:rFonts w:ascii="Calibri" w:hAnsi="Calibri" w:cs="Calibri"/>
        </w:rPr>
        <w:t>provide a recommendation for which division NOV should invest into.</w:t>
      </w:r>
    </w:p>
    <w:p w14:paraId="60CF7029" w14:textId="6B93413B" w:rsidR="00B90156" w:rsidRDefault="00B90156" w:rsidP="00F65C83">
      <w:pPr>
        <w:jc w:val="both"/>
        <w:rPr>
          <w:rFonts w:ascii="Calibri" w:hAnsi="Calibri" w:cs="Calibri"/>
        </w:rPr>
      </w:pPr>
      <w:r>
        <w:rPr>
          <w:rFonts w:ascii="Calibri" w:hAnsi="Calibri" w:cs="Calibri"/>
        </w:rPr>
        <w:t>Data Sources:</w:t>
      </w:r>
    </w:p>
    <w:p w14:paraId="0B3A6415" w14:textId="4244E177" w:rsidR="00B90156" w:rsidRDefault="00B90156" w:rsidP="00F65C83">
      <w:pPr>
        <w:pStyle w:val="ListParagraph"/>
        <w:numPr>
          <w:ilvl w:val="0"/>
          <w:numId w:val="1"/>
        </w:numPr>
        <w:jc w:val="both"/>
        <w:rPr>
          <w:rFonts w:ascii="Calibri" w:hAnsi="Calibri" w:cs="Calibri"/>
        </w:rPr>
      </w:pPr>
      <w:r>
        <w:rPr>
          <w:rFonts w:ascii="Calibri" w:hAnsi="Calibri" w:cs="Calibri"/>
        </w:rPr>
        <w:t>Financial Transactions per month</w:t>
      </w:r>
      <w:r w:rsidR="00E71540">
        <w:rPr>
          <w:rFonts w:ascii="Calibri" w:hAnsi="Calibri" w:cs="Calibri"/>
        </w:rPr>
        <w:t xml:space="preserve"> (in local currency)</w:t>
      </w:r>
    </w:p>
    <w:p w14:paraId="12D162FB" w14:textId="374AE23C" w:rsidR="00B90156" w:rsidRDefault="00B90156" w:rsidP="00F65C83">
      <w:pPr>
        <w:pStyle w:val="ListParagraph"/>
        <w:numPr>
          <w:ilvl w:val="0"/>
          <w:numId w:val="1"/>
        </w:numPr>
        <w:jc w:val="both"/>
        <w:rPr>
          <w:rFonts w:ascii="Calibri" w:hAnsi="Calibri" w:cs="Calibri"/>
        </w:rPr>
      </w:pPr>
      <w:r>
        <w:rPr>
          <w:rFonts w:ascii="Calibri" w:hAnsi="Calibri" w:cs="Calibri"/>
        </w:rPr>
        <w:t>Account Description</w:t>
      </w:r>
    </w:p>
    <w:p w14:paraId="4ED5F0D0" w14:textId="1D7C4C9F" w:rsidR="00B90156" w:rsidRDefault="00B90156" w:rsidP="00F65C83">
      <w:pPr>
        <w:pStyle w:val="ListParagraph"/>
        <w:numPr>
          <w:ilvl w:val="0"/>
          <w:numId w:val="1"/>
        </w:numPr>
        <w:jc w:val="both"/>
        <w:rPr>
          <w:rFonts w:ascii="Calibri" w:hAnsi="Calibri" w:cs="Calibri"/>
        </w:rPr>
      </w:pPr>
      <w:r>
        <w:rPr>
          <w:rFonts w:ascii="Calibri" w:hAnsi="Calibri" w:cs="Calibri"/>
        </w:rPr>
        <w:t xml:space="preserve">Account Mapping </w:t>
      </w:r>
    </w:p>
    <w:p w14:paraId="0503F09C" w14:textId="107617D0" w:rsidR="00B90156" w:rsidRDefault="00B90156" w:rsidP="00F65C83">
      <w:pPr>
        <w:pStyle w:val="ListParagraph"/>
        <w:numPr>
          <w:ilvl w:val="0"/>
          <w:numId w:val="1"/>
        </w:numPr>
        <w:jc w:val="both"/>
        <w:rPr>
          <w:rFonts w:ascii="Calibri" w:hAnsi="Calibri" w:cs="Calibri"/>
        </w:rPr>
      </w:pPr>
      <w:r>
        <w:rPr>
          <w:rFonts w:ascii="Calibri" w:hAnsi="Calibri" w:cs="Calibri"/>
        </w:rPr>
        <w:t>Currency by Cost Center</w:t>
      </w:r>
    </w:p>
    <w:p w14:paraId="18A024F3" w14:textId="572DAC78" w:rsidR="00E91D66" w:rsidRPr="00F65C83" w:rsidRDefault="00B90156" w:rsidP="00F65C83">
      <w:pPr>
        <w:pStyle w:val="ListParagraph"/>
        <w:numPr>
          <w:ilvl w:val="0"/>
          <w:numId w:val="1"/>
        </w:numPr>
        <w:jc w:val="both"/>
        <w:rPr>
          <w:rFonts w:ascii="Calibri" w:hAnsi="Calibri" w:cs="Calibri"/>
        </w:rPr>
      </w:pPr>
      <w:r>
        <w:rPr>
          <w:rFonts w:ascii="Calibri" w:hAnsi="Calibri" w:cs="Calibri"/>
        </w:rPr>
        <w:t>Exchange Rates</w:t>
      </w:r>
    </w:p>
    <w:p w14:paraId="1871ADB9" w14:textId="68CCCE41" w:rsidR="00E61EDC" w:rsidRDefault="00E61EDC" w:rsidP="00E61EDC">
      <w:pPr>
        <w:rPr>
          <w:rFonts w:cstheme="minorHAnsi"/>
          <w:b/>
          <w:bCs/>
        </w:rPr>
      </w:pPr>
      <w:r w:rsidRPr="001F0F43">
        <w:rPr>
          <w:rFonts w:cstheme="minorHAnsi"/>
          <w:b/>
          <w:bCs/>
        </w:rPr>
        <w:t>THE SCOPE</w:t>
      </w:r>
    </w:p>
    <w:p w14:paraId="1B0527CC" w14:textId="2B41155D" w:rsidR="00F65C83" w:rsidRDefault="00F65C83" w:rsidP="00F65C83">
      <w:pPr>
        <w:pStyle w:val="ListParagraph"/>
        <w:numPr>
          <w:ilvl w:val="0"/>
          <w:numId w:val="4"/>
        </w:numPr>
        <w:rPr>
          <w:rFonts w:cstheme="minorHAnsi"/>
        </w:rPr>
      </w:pPr>
      <w:r w:rsidRPr="00F65C83">
        <w:rPr>
          <w:rFonts w:cstheme="minorHAnsi"/>
        </w:rPr>
        <w:t xml:space="preserve">Return on capital </w:t>
      </w:r>
      <w:r w:rsidR="00E57302">
        <w:rPr>
          <w:rFonts w:cstheme="minorHAnsi"/>
        </w:rPr>
        <w:t>is</w:t>
      </w:r>
      <w:r w:rsidRPr="00F65C83">
        <w:rPr>
          <w:rFonts w:cstheme="minorHAnsi"/>
        </w:rPr>
        <w:t xml:space="preserve"> driven by various factors. </w:t>
      </w:r>
      <w:r>
        <w:rPr>
          <w:rFonts w:cstheme="minorHAnsi"/>
        </w:rPr>
        <w:t>Analyze drivers like cost (fixed/variable), revenue, assets, liabilities etc.</w:t>
      </w:r>
    </w:p>
    <w:p w14:paraId="4EFA77D9" w14:textId="1C2438E0" w:rsidR="00F65C83" w:rsidRDefault="00F65C83" w:rsidP="00F65C83">
      <w:pPr>
        <w:pStyle w:val="ListParagraph"/>
        <w:numPr>
          <w:ilvl w:val="0"/>
          <w:numId w:val="4"/>
        </w:numPr>
        <w:rPr>
          <w:rFonts w:cstheme="minorHAnsi"/>
        </w:rPr>
      </w:pPr>
      <w:r>
        <w:rPr>
          <w:rFonts w:cstheme="minorHAnsi"/>
        </w:rPr>
        <w:t xml:space="preserve">Focus on trends over time and their weightage in your recommendations. </w:t>
      </w:r>
    </w:p>
    <w:p w14:paraId="53EF4FF2" w14:textId="23A35494" w:rsidR="00BE364E" w:rsidRDefault="00F65C83" w:rsidP="00BE364E">
      <w:pPr>
        <w:pStyle w:val="ListParagraph"/>
        <w:numPr>
          <w:ilvl w:val="0"/>
          <w:numId w:val="4"/>
        </w:numPr>
        <w:rPr>
          <w:rFonts w:cstheme="minorHAnsi"/>
        </w:rPr>
      </w:pPr>
      <w:r>
        <w:rPr>
          <w:rFonts w:cstheme="minorHAnsi"/>
        </w:rPr>
        <w:t xml:space="preserve">Identify metrics that can help </w:t>
      </w:r>
      <w:r w:rsidR="00BE364E">
        <w:rPr>
          <w:rFonts w:cstheme="minorHAnsi"/>
        </w:rPr>
        <w:t xml:space="preserve">summarize performance. </w:t>
      </w:r>
    </w:p>
    <w:p w14:paraId="4BF08769" w14:textId="5F8DC9B4" w:rsidR="00BE364E" w:rsidRDefault="00BE364E" w:rsidP="00BE364E">
      <w:pPr>
        <w:pStyle w:val="ListParagraph"/>
        <w:numPr>
          <w:ilvl w:val="0"/>
          <w:numId w:val="4"/>
        </w:numPr>
        <w:rPr>
          <w:rFonts w:cstheme="minorHAnsi"/>
        </w:rPr>
      </w:pPr>
      <w:r>
        <w:rPr>
          <w:rFonts w:cstheme="minorHAnsi"/>
        </w:rPr>
        <w:t>Identify and interpret trends (if any) for divisional performance in various countries/regions.</w:t>
      </w:r>
    </w:p>
    <w:p w14:paraId="6E5EB55D" w14:textId="77777777" w:rsidR="00BE364E" w:rsidRPr="00BE364E" w:rsidRDefault="00BE364E" w:rsidP="00BE364E">
      <w:pPr>
        <w:pStyle w:val="ListParagraph"/>
        <w:rPr>
          <w:rFonts w:cstheme="minorHAnsi"/>
        </w:rPr>
      </w:pPr>
    </w:p>
    <w:p w14:paraId="2BC68601" w14:textId="0E3E551C" w:rsidR="00E61EDC" w:rsidRDefault="00E61EDC" w:rsidP="00E61EDC">
      <w:pPr>
        <w:rPr>
          <w:b/>
          <w:bCs/>
          <w:sz w:val="20"/>
          <w:szCs w:val="20"/>
        </w:rPr>
      </w:pPr>
      <w:r w:rsidRPr="44DDA57F">
        <w:rPr>
          <w:b/>
          <w:bCs/>
          <w:sz w:val="20"/>
          <w:szCs w:val="20"/>
        </w:rPr>
        <w:t>STEPS</w:t>
      </w:r>
    </w:p>
    <w:p w14:paraId="0853BAAA" w14:textId="29FD54BF" w:rsidR="00F65C83" w:rsidRPr="00E71540" w:rsidRDefault="00E71540" w:rsidP="00F65C83">
      <w:pPr>
        <w:pStyle w:val="ListParagraph"/>
        <w:numPr>
          <w:ilvl w:val="0"/>
          <w:numId w:val="2"/>
        </w:numPr>
        <w:rPr>
          <w:b/>
          <w:bCs/>
        </w:rPr>
      </w:pPr>
      <w:r>
        <w:t xml:space="preserve">All financial transactions </w:t>
      </w:r>
      <w:r w:rsidR="00D308DA">
        <w:t>are in local currency</w:t>
      </w:r>
      <w:r>
        <w:t>.</w:t>
      </w:r>
      <w:r w:rsidR="00D308DA">
        <w:t xml:space="preserve"> Convert the amounts to USD </w:t>
      </w:r>
      <w:r w:rsidR="009468FB">
        <w:t>to</w:t>
      </w:r>
      <w:r w:rsidR="00D308DA">
        <w:t xml:space="preserve"> perform the analysis.</w:t>
      </w:r>
      <w:r>
        <w:t xml:space="preserve"> </w:t>
      </w:r>
    </w:p>
    <w:p w14:paraId="1AC6E440" w14:textId="6B702652" w:rsidR="00E71540" w:rsidRPr="00E71540" w:rsidRDefault="00E71540" w:rsidP="00F65C83">
      <w:pPr>
        <w:pStyle w:val="ListParagraph"/>
        <w:numPr>
          <w:ilvl w:val="0"/>
          <w:numId w:val="2"/>
        </w:numPr>
        <w:rPr>
          <w:b/>
          <w:bCs/>
        </w:rPr>
      </w:pPr>
      <w:r>
        <w:t>Prep and blend the transactional data with Account Mapping and Description to identify buckets (Assets, Liabilities, Revenue, Cost of Goods Sold etc.)</w:t>
      </w:r>
    </w:p>
    <w:p w14:paraId="487B076F" w14:textId="4781DFF1" w:rsidR="00E71540" w:rsidRPr="000E6B76" w:rsidRDefault="00E71540" w:rsidP="00F65C83">
      <w:pPr>
        <w:pStyle w:val="ListParagraph"/>
        <w:numPr>
          <w:ilvl w:val="0"/>
          <w:numId w:val="2"/>
        </w:numPr>
        <w:rPr>
          <w:b/>
          <w:bCs/>
        </w:rPr>
      </w:pPr>
      <w:r>
        <w:lastRenderedPageBreak/>
        <w:t xml:space="preserve">Identify and calculate </w:t>
      </w:r>
      <w:r w:rsidR="000E6B76">
        <w:t>metrics to</w:t>
      </w:r>
      <w:r w:rsidR="00AB1563">
        <w:t xml:space="preserve"> </w:t>
      </w:r>
      <w:r w:rsidR="000E6B76">
        <w:t>analyze the data</w:t>
      </w:r>
      <w:r w:rsidR="00AB1563">
        <w:t>,</w:t>
      </w:r>
      <w:r w:rsidR="000E6B76">
        <w:t xml:space="preserve"> based on the buckets identified in Step 2. </w:t>
      </w:r>
    </w:p>
    <w:p w14:paraId="197DA4DD" w14:textId="6B76D477" w:rsidR="000E6B76" w:rsidRPr="000E6B76" w:rsidRDefault="000E6B76" w:rsidP="00F65C83">
      <w:pPr>
        <w:pStyle w:val="ListParagraph"/>
        <w:numPr>
          <w:ilvl w:val="0"/>
          <w:numId w:val="2"/>
        </w:numPr>
        <w:rPr>
          <w:b/>
          <w:bCs/>
        </w:rPr>
      </w:pPr>
      <w:r>
        <w:t xml:space="preserve">Visualize the data using a tool of your choice and present your recommendations/findings. </w:t>
      </w:r>
    </w:p>
    <w:p w14:paraId="40422C51" w14:textId="77777777" w:rsidR="000E6B76" w:rsidRPr="00E71540" w:rsidRDefault="000E6B76" w:rsidP="000E6B76">
      <w:pPr>
        <w:pStyle w:val="ListParagraph"/>
        <w:rPr>
          <w:b/>
          <w:bCs/>
        </w:rPr>
      </w:pPr>
    </w:p>
    <w:p w14:paraId="4C9F2CE6" w14:textId="6ACDC929" w:rsidR="00E61EDC" w:rsidRDefault="00E61EDC" w:rsidP="00E61EDC">
      <w:pPr>
        <w:rPr>
          <w:b/>
          <w:bCs/>
          <w:sz w:val="20"/>
          <w:szCs w:val="20"/>
        </w:rPr>
      </w:pPr>
      <w:r>
        <w:rPr>
          <w:b/>
          <w:bCs/>
          <w:sz w:val="20"/>
          <w:szCs w:val="20"/>
        </w:rPr>
        <w:t>RUBRIC</w:t>
      </w:r>
    </w:p>
    <w:tbl>
      <w:tblPr>
        <w:tblW w:w="0" w:type="auto"/>
        <w:tblInd w:w="480" w:type="dxa"/>
        <w:tblCellMar>
          <w:left w:w="0" w:type="dxa"/>
          <w:right w:w="0" w:type="dxa"/>
        </w:tblCellMar>
        <w:tblLook w:val="04A0" w:firstRow="1" w:lastRow="0" w:firstColumn="1" w:lastColumn="0" w:noHBand="0" w:noVBand="1"/>
      </w:tblPr>
      <w:tblGrid>
        <w:gridCol w:w="4958"/>
        <w:gridCol w:w="850"/>
      </w:tblGrid>
      <w:tr w:rsidR="00E61EDC" w:rsidRPr="00E61EDC" w14:paraId="4EB5C921" w14:textId="77777777" w:rsidTr="0094327B">
        <w:tc>
          <w:tcPr>
            <w:tcW w:w="49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702D4F" w14:textId="77777777" w:rsidR="00E61EDC" w:rsidRPr="00E61EDC" w:rsidRDefault="00E61EDC" w:rsidP="0094327B">
            <w:pPr>
              <w:rPr>
                <w:sz w:val="16"/>
                <w:szCs w:val="16"/>
              </w:rPr>
            </w:pPr>
            <w:r w:rsidRPr="00E61EDC">
              <w:rPr>
                <w:b/>
                <w:bCs/>
                <w:sz w:val="16"/>
                <w:szCs w:val="16"/>
              </w:rPr>
              <w:t>Category</w:t>
            </w:r>
            <w:r w:rsidRPr="00E61EDC">
              <w:rPr>
                <w:sz w:val="16"/>
                <w:szCs w:val="16"/>
              </w:rPr>
              <w:t> </w:t>
            </w:r>
          </w:p>
        </w:tc>
        <w:tc>
          <w:tcPr>
            <w:tcW w:w="850"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14:paraId="1A872C28" w14:textId="77777777" w:rsidR="00E61EDC" w:rsidRPr="00E61EDC" w:rsidRDefault="00E61EDC" w:rsidP="0094327B">
            <w:pPr>
              <w:rPr>
                <w:sz w:val="16"/>
                <w:szCs w:val="16"/>
              </w:rPr>
            </w:pPr>
            <w:r w:rsidRPr="00E61EDC">
              <w:rPr>
                <w:b/>
                <w:bCs/>
                <w:sz w:val="16"/>
                <w:szCs w:val="16"/>
              </w:rPr>
              <w:t>Points</w:t>
            </w:r>
            <w:r w:rsidRPr="00E61EDC">
              <w:rPr>
                <w:sz w:val="16"/>
                <w:szCs w:val="16"/>
              </w:rPr>
              <w:t> </w:t>
            </w:r>
          </w:p>
        </w:tc>
      </w:tr>
      <w:tr w:rsidR="00E61EDC" w:rsidRPr="00E61EDC" w14:paraId="7D3A9B0A" w14:textId="77777777" w:rsidTr="0094327B">
        <w:tc>
          <w:tcPr>
            <w:tcW w:w="4929"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14:paraId="2EF1E595" w14:textId="77777777" w:rsidR="00E61EDC" w:rsidRPr="00E61EDC" w:rsidRDefault="00E61EDC" w:rsidP="0094327B">
            <w:pPr>
              <w:rPr>
                <w:sz w:val="16"/>
                <w:szCs w:val="16"/>
              </w:rPr>
            </w:pPr>
            <w:r w:rsidRPr="00E61EDC">
              <w:rPr>
                <w:b/>
                <w:bCs/>
                <w:sz w:val="16"/>
                <w:szCs w:val="16"/>
              </w:rPr>
              <w:t>Presentation</w:t>
            </w:r>
            <w:r w:rsidRPr="00E61EDC">
              <w:rPr>
                <w:sz w:val="16"/>
                <w:szCs w:val="16"/>
              </w:rPr>
              <w:t> </w:t>
            </w:r>
          </w:p>
        </w:tc>
        <w:tc>
          <w:tcPr>
            <w:tcW w:w="798" w:type="dxa"/>
            <w:tcBorders>
              <w:top w:val="nil"/>
              <w:left w:val="nil"/>
              <w:bottom w:val="single" w:sz="8" w:space="0" w:color="A3A3A3"/>
              <w:right w:val="single" w:sz="8" w:space="0" w:color="A3A3A3"/>
            </w:tcBorders>
            <w:tcMar>
              <w:top w:w="80" w:type="dxa"/>
              <w:left w:w="80" w:type="dxa"/>
              <w:bottom w:w="80" w:type="dxa"/>
              <w:right w:w="80" w:type="dxa"/>
            </w:tcMar>
            <w:hideMark/>
          </w:tcPr>
          <w:p w14:paraId="110162DE" w14:textId="77777777" w:rsidR="00E61EDC" w:rsidRPr="00E61EDC" w:rsidRDefault="00E61EDC" w:rsidP="0094327B">
            <w:pPr>
              <w:rPr>
                <w:sz w:val="16"/>
                <w:szCs w:val="16"/>
              </w:rPr>
            </w:pPr>
            <w:r w:rsidRPr="00E61EDC">
              <w:rPr>
                <w:sz w:val="16"/>
                <w:szCs w:val="16"/>
              </w:rPr>
              <w:t> </w:t>
            </w:r>
          </w:p>
        </w:tc>
      </w:tr>
      <w:tr w:rsidR="00E61EDC" w:rsidRPr="00E61EDC" w14:paraId="03573E3B" w14:textId="77777777" w:rsidTr="0094327B">
        <w:tc>
          <w:tcPr>
            <w:tcW w:w="4929"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14:paraId="4C5AB7E8" w14:textId="77777777" w:rsidR="00E61EDC" w:rsidRPr="00E61EDC" w:rsidRDefault="00E61EDC" w:rsidP="0094327B">
            <w:pPr>
              <w:rPr>
                <w:sz w:val="16"/>
                <w:szCs w:val="16"/>
              </w:rPr>
            </w:pPr>
            <w:r w:rsidRPr="00E61EDC">
              <w:rPr>
                <w:sz w:val="16"/>
                <w:szCs w:val="16"/>
              </w:rPr>
              <w:t>Presentation is well organized </w:t>
            </w:r>
          </w:p>
        </w:tc>
        <w:tc>
          <w:tcPr>
            <w:tcW w:w="798" w:type="dxa"/>
            <w:tcBorders>
              <w:top w:val="nil"/>
              <w:left w:val="nil"/>
              <w:bottom w:val="single" w:sz="8" w:space="0" w:color="A3A3A3"/>
              <w:right w:val="single" w:sz="8" w:space="0" w:color="A3A3A3"/>
            </w:tcBorders>
            <w:tcMar>
              <w:top w:w="80" w:type="dxa"/>
              <w:left w:w="80" w:type="dxa"/>
              <w:bottom w:w="80" w:type="dxa"/>
              <w:right w:w="80" w:type="dxa"/>
            </w:tcMar>
            <w:hideMark/>
          </w:tcPr>
          <w:p w14:paraId="4F4E2110" w14:textId="77777777" w:rsidR="00E61EDC" w:rsidRPr="00E61EDC" w:rsidRDefault="00E61EDC" w:rsidP="0094327B">
            <w:pPr>
              <w:rPr>
                <w:sz w:val="16"/>
                <w:szCs w:val="16"/>
              </w:rPr>
            </w:pPr>
            <w:r w:rsidRPr="00E61EDC">
              <w:rPr>
                <w:sz w:val="16"/>
                <w:szCs w:val="16"/>
              </w:rPr>
              <w:t>5 </w:t>
            </w:r>
          </w:p>
        </w:tc>
      </w:tr>
      <w:tr w:rsidR="00E61EDC" w:rsidRPr="00E61EDC" w14:paraId="252B771F" w14:textId="77777777" w:rsidTr="0094327B">
        <w:tc>
          <w:tcPr>
            <w:tcW w:w="4929"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14:paraId="44FB01A0" w14:textId="77777777" w:rsidR="00E61EDC" w:rsidRPr="00E61EDC" w:rsidRDefault="00E61EDC" w:rsidP="0094327B">
            <w:pPr>
              <w:rPr>
                <w:sz w:val="16"/>
                <w:szCs w:val="16"/>
              </w:rPr>
            </w:pPr>
            <w:r w:rsidRPr="00E61EDC">
              <w:rPr>
                <w:sz w:val="16"/>
                <w:szCs w:val="16"/>
              </w:rPr>
              <w:t>Team members answered questions well </w:t>
            </w:r>
          </w:p>
        </w:tc>
        <w:tc>
          <w:tcPr>
            <w:tcW w:w="798" w:type="dxa"/>
            <w:tcBorders>
              <w:top w:val="nil"/>
              <w:left w:val="nil"/>
              <w:bottom w:val="single" w:sz="8" w:space="0" w:color="A3A3A3"/>
              <w:right w:val="single" w:sz="8" w:space="0" w:color="A3A3A3"/>
            </w:tcBorders>
            <w:tcMar>
              <w:top w:w="80" w:type="dxa"/>
              <w:left w:w="80" w:type="dxa"/>
              <w:bottom w:w="80" w:type="dxa"/>
              <w:right w:w="80" w:type="dxa"/>
            </w:tcMar>
            <w:hideMark/>
          </w:tcPr>
          <w:p w14:paraId="6C7A26B2" w14:textId="77777777" w:rsidR="00E61EDC" w:rsidRPr="00E61EDC" w:rsidRDefault="00E61EDC" w:rsidP="0094327B">
            <w:pPr>
              <w:rPr>
                <w:sz w:val="16"/>
                <w:szCs w:val="16"/>
              </w:rPr>
            </w:pPr>
            <w:r w:rsidRPr="00E61EDC">
              <w:rPr>
                <w:sz w:val="16"/>
                <w:szCs w:val="16"/>
              </w:rPr>
              <w:t>5 </w:t>
            </w:r>
          </w:p>
        </w:tc>
      </w:tr>
      <w:tr w:rsidR="00E61EDC" w:rsidRPr="00E61EDC" w14:paraId="7E5CD1AF" w14:textId="77777777" w:rsidTr="0094327B">
        <w:tc>
          <w:tcPr>
            <w:tcW w:w="4929"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14:paraId="0F85AEDD" w14:textId="77777777" w:rsidR="00E61EDC" w:rsidRPr="00E61EDC" w:rsidRDefault="00E61EDC" w:rsidP="0094327B">
            <w:pPr>
              <w:rPr>
                <w:sz w:val="16"/>
                <w:szCs w:val="16"/>
              </w:rPr>
            </w:pPr>
            <w:r w:rsidRPr="00E61EDC">
              <w:rPr>
                <w:sz w:val="16"/>
                <w:szCs w:val="16"/>
              </w:rPr>
              <w:t>Timing of presentation </w:t>
            </w:r>
          </w:p>
        </w:tc>
        <w:tc>
          <w:tcPr>
            <w:tcW w:w="798" w:type="dxa"/>
            <w:tcBorders>
              <w:top w:val="nil"/>
              <w:left w:val="nil"/>
              <w:bottom w:val="single" w:sz="8" w:space="0" w:color="A3A3A3"/>
              <w:right w:val="single" w:sz="8" w:space="0" w:color="A3A3A3"/>
            </w:tcBorders>
            <w:tcMar>
              <w:top w:w="80" w:type="dxa"/>
              <w:left w:w="80" w:type="dxa"/>
              <w:bottom w:w="80" w:type="dxa"/>
              <w:right w:w="80" w:type="dxa"/>
            </w:tcMar>
            <w:hideMark/>
          </w:tcPr>
          <w:p w14:paraId="16921C85" w14:textId="77777777" w:rsidR="00E61EDC" w:rsidRPr="00E61EDC" w:rsidRDefault="00E61EDC" w:rsidP="0094327B">
            <w:pPr>
              <w:rPr>
                <w:sz w:val="16"/>
                <w:szCs w:val="16"/>
              </w:rPr>
            </w:pPr>
            <w:r w:rsidRPr="00E61EDC">
              <w:rPr>
                <w:sz w:val="16"/>
                <w:szCs w:val="16"/>
              </w:rPr>
              <w:t>5 </w:t>
            </w:r>
          </w:p>
        </w:tc>
      </w:tr>
      <w:tr w:rsidR="00E61EDC" w:rsidRPr="00E61EDC" w14:paraId="1C9AE2DA" w14:textId="77777777" w:rsidTr="0094327B">
        <w:tc>
          <w:tcPr>
            <w:tcW w:w="4929"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14:paraId="49E52FB1" w14:textId="77777777" w:rsidR="00E61EDC" w:rsidRPr="00E61EDC" w:rsidRDefault="00E61EDC" w:rsidP="0094327B">
            <w:pPr>
              <w:rPr>
                <w:sz w:val="16"/>
                <w:szCs w:val="16"/>
              </w:rPr>
            </w:pPr>
            <w:r w:rsidRPr="00E61EDC">
              <w:rPr>
                <w:sz w:val="16"/>
                <w:szCs w:val="16"/>
              </w:rPr>
              <w:t>Clarity of presentation </w:t>
            </w:r>
          </w:p>
        </w:tc>
        <w:tc>
          <w:tcPr>
            <w:tcW w:w="798" w:type="dxa"/>
            <w:tcBorders>
              <w:top w:val="nil"/>
              <w:left w:val="nil"/>
              <w:bottom w:val="single" w:sz="8" w:space="0" w:color="A3A3A3"/>
              <w:right w:val="single" w:sz="8" w:space="0" w:color="A3A3A3"/>
            </w:tcBorders>
            <w:tcMar>
              <w:top w:w="80" w:type="dxa"/>
              <w:left w:w="80" w:type="dxa"/>
              <w:bottom w:w="80" w:type="dxa"/>
              <w:right w:w="80" w:type="dxa"/>
            </w:tcMar>
            <w:hideMark/>
          </w:tcPr>
          <w:p w14:paraId="786382B9" w14:textId="77777777" w:rsidR="00E61EDC" w:rsidRPr="00E61EDC" w:rsidRDefault="00E61EDC" w:rsidP="0094327B">
            <w:pPr>
              <w:rPr>
                <w:sz w:val="16"/>
                <w:szCs w:val="16"/>
              </w:rPr>
            </w:pPr>
            <w:r w:rsidRPr="00E61EDC">
              <w:rPr>
                <w:sz w:val="16"/>
                <w:szCs w:val="16"/>
              </w:rPr>
              <w:t>5 </w:t>
            </w:r>
          </w:p>
        </w:tc>
      </w:tr>
      <w:tr w:rsidR="00E61EDC" w:rsidRPr="00E61EDC" w14:paraId="02949BC6" w14:textId="77777777" w:rsidTr="0094327B">
        <w:tc>
          <w:tcPr>
            <w:tcW w:w="4929"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14:paraId="7CFD918B" w14:textId="77777777" w:rsidR="00E61EDC" w:rsidRPr="00E61EDC" w:rsidRDefault="00E61EDC" w:rsidP="0094327B">
            <w:pPr>
              <w:rPr>
                <w:sz w:val="16"/>
                <w:szCs w:val="16"/>
              </w:rPr>
            </w:pPr>
            <w:r w:rsidRPr="00E61EDC">
              <w:rPr>
                <w:sz w:val="16"/>
                <w:szCs w:val="16"/>
              </w:rPr>
              <w:t>Originality and innovation </w:t>
            </w:r>
          </w:p>
        </w:tc>
        <w:tc>
          <w:tcPr>
            <w:tcW w:w="798" w:type="dxa"/>
            <w:tcBorders>
              <w:top w:val="nil"/>
              <w:left w:val="nil"/>
              <w:bottom w:val="single" w:sz="8" w:space="0" w:color="A3A3A3"/>
              <w:right w:val="single" w:sz="8" w:space="0" w:color="A3A3A3"/>
            </w:tcBorders>
            <w:tcMar>
              <w:top w:w="80" w:type="dxa"/>
              <w:left w:w="80" w:type="dxa"/>
              <w:bottom w:w="80" w:type="dxa"/>
              <w:right w:w="80" w:type="dxa"/>
            </w:tcMar>
            <w:hideMark/>
          </w:tcPr>
          <w:p w14:paraId="26C58539" w14:textId="77777777" w:rsidR="00E61EDC" w:rsidRPr="00E61EDC" w:rsidRDefault="00E61EDC" w:rsidP="0094327B">
            <w:pPr>
              <w:rPr>
                <w:sz w:val="16"/>
                <w:szCs w:val="16"/>
              </w:rPr>
            </w:pPr>
            <w:r w:rsidRPr="00E61EDC">
              <w:rPr>
                <w:sz w:val="16"/>
                <w:szCs w:val="16"/>
              </w:rPr>
              <w:t>5 </w:t>
            </w:r>
          </w:p>
        </w:tc>
      </w:tr>
      <w:tr w:rsidR="00E61EDC" w:rsidRPr="00E61EDC" w14:paraId="54C27896" w14:textId="77777777" w:rsidTr="0094327B">
        <w:tc>
          <w:tcPr>
            <w:tcW w:w="4929"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14:paraId="1A28BA06" w14:textId="77777777" w:rsidR="00E61EDC" w:rsidRPr="00E61EDC" w:rsidRDefault="00E61EDC" w:rsidP="0094327B">
            <w:pPr>
              <w:rPr>
                <w:sz w:val="16"/>
                <w:szCs w:val="16"/>
              </w:rPr>
            </w:pPr>
            <w:r w:rsidRPr="00E61EDC">
              <w:rPr>
                <w:sz w:val="16"/>
                <w:szCs w:val="16"/>
              </w:rPr>
              <w:t>Unity/Teamwork </w:t>
            </w:r>
          </w:p>
        </w:tc>
        <w:tc>
          <w:tcPr>
            <w:tcW w:w="798" w:type="dxa"/>
            <w:tcBorders>
              <w:top w:val="nil"/>
              <w:left w:val="nil"/>
              <w:bottom w:val="single" w:sz="8" w:space="0" w:color="A3A3A3"/>
              <w:right w:val="single" w:sz="8" w:space="0" w:color="A3A3A3"/>
            </w:tcBorders>
            <w:tcMar>
              <w:top w:w="80" w:type="dxa"/>
              <w:left w:w="80" w:type="dxa"/>
              <w:bottom w:w="80" w:type="dxa"/>
              <w:right w:w="80" w:type="dxa"/>
            </w:tcMar>
            <w:hideMark/>
          </w:tcPr>
          <w:p w14:paraId="27752969" w14:textId="77777777" w:rsidR="00E61EDC" w:rsidRPr="00E61EDC" w:rsidRDefault="00E61EDC" w:rsidP="0094327B">
            <w:pPr>
              <w:rPr>
                <w:sz w:val="16"/>
                <w:szCs w:val="16"/>
              </w:rPr>
            </w:pPr>
            <w:r w:rsidRPr="00E61EDC">
              <w:rPr>
                <w:sz w:val="16"/>
                <w:szCs w:val="16"/>
              </w:rPr>
              <w:t>5 </w:t>
            </w:r>
          </w:p>
        </w:tc>
      </w:tr>
      <w:tr w:rsidR="00E61EDC" w:rsidRPr="00E61EDC" w14:paraId="32387C09" w14:textId="77777777" w:rsidTr="0094327B">
        <w:tc>
          <w:tcPr>
            <w:tcW w:w="4929"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14:paraId="4398EB5B" w14:textId="77777777" w:rsidR="00E61EDC" w:rsidRPr="00E61EDC" w:rsidRDefault="00E61EDC" w:rsidP="0094327B">
            <w:pPr>
              <w:rPr>
                <w:sz w:val="16"/>
                <w:szCs w:val="16"/>
              </w:rPr>
            </w:pPr>
            <w:r w:rsidRPr="00E61EDC">
              <w:rPr>
                <w:b/>
                <w:bCs/>
                <w:sz w:val="16"/>
                <w:szCs w:val="16"/>
              </w:rPr>
              <w:t>Executive Summary</w:t>
            </w:r>
            <w:r w:rsidRPr="00E61EDC">
              <w:rPr>
                <w:sz w:val="16"/>
                <w:szCs w:val="16"/>
              </w:rPr>
              <w:t> </w:t>
            </w:r>
          </w:p>
        </w:tc>
        <w:tc>
          <w:tcPr>
            <w:tcW w:w="798" w:type="dxa"/>
            <w:tcBorders>
              <w:top w:val="nil"/>
              <w:left w:val="nil"/>
              <w:bottom w:val="single" w:sz="8" w:space="0" w:color="A3A3A3"/>
              <w:right w:val="single" w:sz="8" w:space="0" w:color="A3A3A3"/>
            </w:tcBorders>
            <w:tcMar>
              <w:top w:w="80" w:type="dxa"/>
              <w:left w:w="80" w:type="dxa"/>
              <w:bottom w:w="80" w:type="dxa"/>
              <w:right w:w="80" w:type="dxa"/>
            </w:tcMar>
            <w:hideMark/>
          </w:tcPr>
          <w:p w14:paraId="5C89EC3B" w14:textId="77777777" w:rsidR="00E61EDC" w:rsidRPr="00E61EDC" w:rsidRDefault="00E61EDC" w:rsidP="0094327B">
            <w:pPr>
              <w:rPr>
                <w:sz w:val="16"/>
                <w:szCs w:val="16"/>
              </w:rPr>
            </w:pPr>
            <w:r w:rsidRPr="00E61EDC">
              <w:rPr>
                <w:sz w:val="16"/>
                <w:szCs w:val="16"/>
              </w:rPr>
              <w:t> </w:t>
            </w:r>
          </w:p>
        </w:tc>
      </w:tr>
      <w:tr w:rsidR="00E61EDC" w:rsidRPr="00E61EDC" w14:paraId="4911C5E9" w14:textId="77777777" w:rsidTr="0094327B">
        <w:tc>
          <w:tcPr>
            <w:tcW w:w="4929"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14:paraId="3BFB2EA0" w14:textId="77777777" w:rsidR="00E61EDC" w:rsidRPr="00E61EDC" w:rsidRDefault="00E61EDC" w:rsidP="0094327B">
            <w:pPr>
              <w:rPr>
                <w:sz w:val="16"/>
                <w:szCs w:val="16"/>
              </w:rPr>
            </w:pPr>
            <w:r w:rsidRPr="00E61EDC">
              <w:rPr>
                <w:sz w:val="16"/>
                <w:szCs w:val="16"/>
              </w:rPr>
              <w:t>Cleary states premise and defines purpose </w:t>
            </w:r>
          </w:p>
        </w:tc>
        <w:tc>
          <w:tcPr>
            <w:tcW w:w="798" w:type="dxa"/>
            <w:tcBorders>
              <w:top w:val="nil"/>
              <w:left w:val="nil"/>
              <w:bottom w:val="single" w:sz="8" w:space="0" w:color="A3A3A3"/>
              <w:right w:val="single" w:sz="8" w:space="0" w:color="A3A3A3"/>
            </w:tcBorders>
            <w:tcMar>
              <w:top w:w="80" w:type="dxa"/>
              <w:left w:w="80" w:type="dxa"/>
              <w:bottom w:w="80" w:type="dxa"/>
              <w:right w:w="80" w:type="dxa"/>
            </w:tcMar>
            <w:hideMark/>
          </w:tcPr>
          <w:p w14:paraId="2E38834C" w14:textId="77777777" w:rsidR="00E61EDC" w:rsidRPr="00E61EDC" w:rsidRDefault="00E61EDC" w:rsidP="0094327B">
            <w:pPr>
              <w:rPr>
                <w:sz w:val="16"/>
                <w:szCs w:val="16"/>
              </w:rPr>
            </w:pPr>
            <w:r w:rsidRPr="00E61EDC">
              <w:rPr>
                <w:sz w:val="16"/>
                <w:szCs w:val="16"/>
              </w:rPr>
              <w:t>5 </w:t>
            </w:r>
          </w:p>
        </w:tc>
      </w:tr>
      <w:tr w:rsidR="00E61EDC" w:rsidRPr="00E61EDC" w14:paraId="30747283" w14:textId="77777777" w:rsidTr="0094327B">
        <w:tc>
          <w:tcPr>
            <w:tcW w:w="4929"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14:paraId="49E26A8A" w14:textId="48E88F5F" w:rsidR="00E61EDC" w:rsidRPr="00E61EDC" w:rsidRDefault="00E61EDC" w:rsidP="0094327B">
            <w:pPr>
              <w:rPr>
                <w:sz w:val="16"/>
                <w:szCs w:val="16"/>
              </w:rPr>
            </w:pPr>
            <w:r w:rsidRPr="00E61EDC">
              <w:rPr>
                <w:sz w:val="16"/>
                <w:szCs w:val="16"/>
              </w:rPr>
              <w:t xml:space="preserve">Stands alone as a complete </w:t>
            </w:r>
            <w:r w:rsidR="00BB527C" w:rsidRPr="00E61EDC">
              <w:rPr>
                <w:sz w:val="16"/>
                <w:szCs w:val="16"/>
              </w:rPr>
              <w:t>high-level</w:t>
            </w:r>
            <w:r w:rsidRPr="00E61EDC">
              <w:rPr>
                <w:sz w:val="16"/>
                <w:szCs w:val="16"/>
              </w:rPr>
              <w:t xml:space="preserve"> report </w:t>
            </w:r>
          </w:p>
        </w:tc>
        <w:tc>
          <w:tcPr>
            <w:tcW w:w="798" w:type="dxa"/>
            <w:tcBorders>
              <w:top w:val="nil"/>
              <w:left w:val="nil"/>
              <w:bottom w:val="single" w:sz="8" w:space="0" w:color="A3A3A3"/>
              <w:right w:val="single" w:sz="8" w:space="0" w:color="A3A3A3"/>
            </w:tcBorders>
            <w:tcMar>
              <w:top w:w="80" w:type="dxa"/>
              <w:left w:w="80" w:type="dxa"/>
              <w:bottom w:w="80" w:type="dxa"/>
              <w:right w:w="80" w:type="dxa"/>
            </w:tcMar>
            <w:hideMark/>
          </w:tcPr>
          <w:p w14:paraId="0E1E0362" w14:textId="77777777" w:rsidR="00E61EDC" w:rsidRPr="00E61EDC" w:rsidRDefault="00E61EDC" w:rsidP="0094327B">
            <w:pPr>
              <w:rPr>
                <w:sz w:val="16"/>
                <w:szCs w:val="16"/>
              </w:rPr>
            </w:pPr>
            <w:r w:rsidRPr="00E61EDC">
              <w:rPr>
                <w:sz w:val="16"/>
                <w:szCs w:val="16"/>
              </w:rPr>
              <w:t>5 </w:t>
            </w:r>
          </w:p>
        </w:tc>
      </w:tr>
      <w:tr w:rsidR="00E61EDC" w:rsidRPr="00E61EDC" w14:paraId="09339984" w14:textId="77777777" w:rsidTr="0094327B">
        <w:tc>
          <w:tcPr>
            <w:tcW w:w="4929"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14:paraId="7E59CFFF" w14:textId="77777777" w:rsidR="00E61EDC" w:rsidRPr="00E61EDC" w:rsidRDefault="00E61EDC" w:rsidP="0094327B">
            <w:pPr>
              <w:rPr>
                <w:sz w:val="16"/>
                <w:szCs w:val="16"/>
              </w:rPr>
            </w:pPr>
            <w:r w:rsidRPr="00E61EDC">
              <w:rPr>
                <w:sz w:val="16"/>
                <w:szCs w:val="16"/>
              </w:rPr>
              <w:t>Writing quality </w:t>
            </w:r>
          </w:p>
        </w:tc>
        <w:tc>
          <w:tcPr>
            <w:tcW w:w="798" w:type="dxa"/>
            <w:tcBorders>
              <w:top w:val="nil"/>
              <w:left w:val="nil"/>
              <w:bottom w:val="single" w:sz="8" w:space="0" w:color="A3A3A3"/>
              <w:right w:val="single" w:sz="8" w:space="0" w:color="A3A3A3"/>
            </w:tcBorders>
            <w:tcMar>
              <w:top w:w="80" w:type="dxa"/>
              <w:left w:w="80" w:type="dxa"/>
              <w:bottom w:w="80" w:type="dxa"/>
              <w:right w:w="80" w:type="dxa"/>
            </w:tcMar>
            <w:hideMark/>
          </w:tcPr>
          <w:p w14:paraId="568D639E" w14:textId="77777777" w:rsidR="00E61EDC" w:rsidRPr="00E61EDC" w:rsidRDefault="00E61EDC" w:rsidP="0094327B">
            <w:pPr>
              <w:rPr>
                <w:sz w:val="16"/>
                <w:szCs w:val="16"/>
              </w:rPr>
            </w:pPr>
            <w:r w:rsidRPr="00E61EDC">
              <w:rPr>
                <w:sz w:val="16"/>
                <w:szCs w:val="16"/>
              </w:rPr>
              <w:t>5 </w:t>
            </w:r>
          </w:p>
        </w:tc>
      </w:tr>
      <w:tr w:rsidR="00E61EDC" w:rsidRPr="00E61EDC" w14:paraId="57976499" w14:textId="77777777" w:rsidTr="0094327B">
        <w:tc>
          <w:tcPr>
            <w:tcW w:w="4929"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14:paraId="1B950CC3" w14:textId="77777777" w:rsidR="00E61EDC" w:rsidRPr="00E61EDC" w:rsidRDefault="00E61EDC" w:rsidP="0094327B">
            <w:pPr>
              <w:rPr>
                <w:sz w:val="16"/>
                <w:szCs w:val="16"/>
              </w:rPr>
            </w:pPr>
            <w:r w:rsidRPr="00E61EDC">
              <w:rPr>
                <w:b/>
                <w:bCs/>
                <w:sz w:val="16"/>
                <w:szCs w:val="16"/>
              </w:rPr>
              <w:t>Infographic/Visual</w:t>
            </w:r>
            <w:r w:rsidRPr="00E61EDC">
              <w:rPr>
                <w:sz w:val="16"/>
                <w:szCs w:val="16"/>
              </w:rPr>
              <w:t> </w:t>
            </w:r>
          </w:p>
        </w:tc>
        <w:tc>
          <w:tcPr>
            <w:tcW w:w="798" w:type="dxa"/>
            <w:tcBorders>
              <w:top w:val="nil"/>
              <w:left w:val="nil"/>
              <w:bottom w:val="single" w:sz="8" w:space="0" w:color="A3A3A3"/>
              <w:right w:val="single" w:sz="8" w:space="0" w:color="A3A3A3"/>
            </w:tcBorders>
            <w:tcMar>
              <w:top w:w="80" w:type="dxa"/>
              <w:left w:w="80" w:type="dxa"/>
              <w:bottom w:w="80" w:type="dxa"/>
              <w:right w:w="80" w:type="dxa"/>
            </w:tcMar>
            <w:hideMark/>
          </w:tcPr>
          <w:p w14:paraId="401743F8" w14:textId="77777777" w:rsidR="00E61EDC" w:rsidRPr="00E61EDC" w:rsidRDefault="00E61EDC" w:rsidP="0094327B">
            <w:pPr>
              <w:rPr>
                <w:sz w:val="16"/>
                <w:szCs w:val="16"/>
              </w:rPr>
            </w:pPr>
            <w:r w:rsidRPr="00E61EDC">
              <w:rPr>
                <w:sz w:val="16"/>
                <w:szCs w:val="16"/>
              </w:rPr>
              <w:t> </w:t>
            </w:r>
          </w:p>
        </w:tc>
      </w:tr>
      <w:tr w:rsidR="00E61EDC" w:rsidRPr="00E61EDC" w14:paraId="1B9E246D" w14:textId="77777777" w:rsidTr="0094327B">
        <w:tc>
          <w:tcPr>
            <w:tcW w:w="4958"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14:paraId="65FB23D0" w14:textId="77777777" w:rsidR="00E61EDC" w:rsidRPr="00E61EDC" w:rsidRDefault="00E61EDC" w:rsidP="0094327B">
            <w:pPr>
              <w:rPr>
                <w:sz w:val="16"/>
                <w:szCs w:val="16"/>
              </w:rPr>
            </w:pPr>
            <w:r w:rsidRPr="00E61EDC">
              <w:rPr>
                <w:sz w:val="16"/>
                <w:szCs w:val="16"/>
              </w:rPr>
              <w:t>Charts/graphs are helpful in portraying information </w:t>
            </w:r>
          </w:p>
        </w:tc>
        <w:tc>
          <w:tcPr>
            <w:tcW w:w="770" w:type="dxa"/>
            <w:tcBorders>
              <w:top w:val="nil"/>
              <w:left w:val="nil"/>
              <w:bottom w:val="single" w:sz="8" w:space="0" w:color="A3A3A3"/>
              <w:right w:val="single" w:sz="8" w:space="0" w:color="A3A3A3"/>
            </w:tcBorders>
            <w:tcMar>
              <w:top w:w="80" w:type="dxa"/>
              <w:left w:w="80" w:type="dxa"/>
              <w:bottom w:w="80" w:type="dxa"/>
              <w:right w:w="80" w:type="dxa"/>
            </w:tcMar>
            <w:hideMark/>
          </w:tcPr>
          <w:p w14:paraId="6E99C16B" w14:textId="77777777" w:rsidR="00E61EDC" w:rsidRPr="00E61EDC" w:rsidRDefault="00E61EDC" w:rsidP="0094327B">
            <w:pPr>
              <w:rPr>
                <w:sz w:val="16"/>
                <w:szCs w:val="16"/>
              </w:rPr>
            </w:pPr>
            <w:r w:rsidRPr="00E61EDC">
              <w:rPr>
                <w:sz w:val="16"/>
                <w:szCs w:val="16"/>
              </w:rPr>
              <w:t>5 </w:t>
            </w:r>
          </w:p>
        </w:tc>
      </w:tr>
      <w:tr w:rsidR="00E61EDC" w:rsidRPr="00E61EDC" w14:paraId="59635766" w14:textId="77777777" w:rsidTr="0094327B">
        <w:tc>
          <w:tcPr>
            <w:tcW w:w="4929"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14:paraId="1CE83B7F" w14:textId="77777777" w:rsidR="00E61EDC" w:rsidRPr="00E61EDC" w:rsidRDefault="00E61EDC" w:rsidP="0094327B">
            <w:pPr>
              <w:rPr>
                <w:sz w:val="16"/>
                <w:szCs w:val="16"/>
              </w:rPr>
            </w:pPr>
            <w:r w:rsidRPr="00E61EDC">
              <w:rPr>
                <w:sz w:val="16"/>
                <w:szCs w:val="16"/>
              </w:rPr>
              <w:t>Insights are valuable </w:t>
            </w:r>
          </w:p>
        </w:tc>
        <w:tc>
          <w:tcPr>
            <w:tcW w:w="798" w:type="dxa"/>
            <w:tcBorders>
              <w:top w:val="nil"/>
              <w:left w:val="nil"/>
              <w:bottom w:val="single" w:sz="8" w:space="0" w:color="A3A3A3"/>
              <w:right w:val="single" w:sz="8" w:space="0" w:color="A3A3A3"/>
            </w:tcBorders>
            <w:tcMar>
              <w:top w:w="80" w:type="dxa"/>
              <w:left w:w="80" w:type="dxa"/>
              <w:bottom w:w="80" w:type="dxa"/>
              <w:right w:w="80" w:type="dxa"/>
            </w:tcMar>
            <w:hideMark/>
          </w:tcPr>
          <w:p w14:paraId="143F3F12" w14:textId="77777777" w:rsidR="00E61EDC" w:rsidRPr="00E61EDC" w:rsidRDefault="00E61EDC" w:rsidP="0094327B">
            <w:pPr>
              <w:rPr>
                <w:sz w:val="16"/>
                <w:szCs w:val="16"/>
              </w:rPr>
            </w:pPr>
            <w:r w:rsidRPr="00E61EDC">
              <w:rPr>
                <w:sz w:val="16"/>
                <w:szCs w:val="16"/>
              </w:rPr>
              <w:t>5 </w:t>
            </w:r>
          </w:p>
        </w:tc>
      </w:tr>
      <w:tr w:rsidR="00E61EDC" w:rsidRPr="00E61EDC" w14:paraId="7DB0EF9B" w14:textId="77777777" w:rsidTr="0094327B">
        <w:tc>
          <w:tcPr>
            <w:tcW w:w="4929"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14:paraId="531CD74B" w14:textId="77777777" w:rsidR="00E61EDC" w:rsidRPr="00E61EDC" w:rsidRDefault="00E61EDC" w:rsidP="0094327B">
            <w:pPr>
              <w:rPr>
                <w:sz w:val="16"/>
                <w:szCs w:val="16"/>
              </w:rPr>
            </w:pPr>
            <w:r w:rsidRPr="00E61EDC">
              <w:rPr>
                <w:sz w:val="16"/>
                <w:szCs w:val="16"/>
              </w:rPr>
              <w:t>Depth of analysis </w:t>
            </w:r>
          </w:p>
        </w:tc>
        <w:tc>
          <w:tcPr>
            <w:tcW w:w="798" w:type="dxa"/>
            <w:tcBorders>
              <w:top w:val="nil"/>
              <w:left w:val="nil"/>
              <w:bottom w:val="single" w:sz="8" w:space="0" w:color="A3A3A3"/>
              <w:right w:val="single" w:sz="8" w:space="0" w:color="A3A3A3"/>
            </w:tcBorders>
            <w:tcMar>
              <w:top w:w="80" w:type="dxa"/>
              <w:left w:w="80" w:type="dxa"/>
              <w:bottom w:w="80" w:type="dxa"/>
              <w:right w:w="80" w:type="dxa"/>
            </w:tcMar>
            <w:hideMark/>
          </w:tcPr>
          <w:p w14:paraId="147C4006" w14:textId="77777777" w:rsidR="00E61EDC" w:rsidRPr="00E61EDC" w:rsidRDefault="00E61EDC" w:rsidP="0094327B">
            <w:pPr>
              <w:rPr>
                <w:sz w:val="16"/>
                <w:szCs w:val="16"/>
              </w:rPr>
            </w:pPr>
            <w:r w:rsidRPr="00E61EDC">
              <w:rPr>
                <w:sz w:val="16"/>
                <w:szCs w:val="16"/>
              </w:rPr>
              <w:t>5 </w:t>
            </w:r>
          </w:p>
        </w:tc>
      </w:tr>
      <w:tr w:rsidR="00E61EDC" w:rsidRPr="00E61EDC" w14:paraId="007F672B" w14:textId="77777777" w:rsidTr="0094327B">
        <w:tc>
          <w:tcPr>
            <w:tcW w:w="4929"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14:paraId="07E50DD0" w14:textId="77777777" w:rsidR="00E61EDC" w:rsidRPr="00E61EDC" w:rsidRDefault="00E61EDC" w:rsidP="0094327B">
            <w:pPr>
              <w:rPr>
                <w:sz w:val="16"/>
                <w:szCs w:val="16"/>
              </w:rPr>
            </w:pPr>
            <w:r w:rsidRPr="00E61EDC">
              <w:rPr>
                <w:sz w:val="16"/>
                <w:szCs w:val="16"/>
              </w:rPr>
              <w:t>Variety of analysis </w:t>
            </w:r>
          </w:p>
        </w:tc>
        <w:tc>
          <w:tcPr>
            <w:tcW w:w="798" w:type="dxa"/>
            <w:tcBorders>
              <w:top w:val="nil"/>
              <w:left w:val="nil"/>
              <w:bottom w:val="single" w:sz="8" w:space="0" w:color="A3A3A3"/>
              <w:right w:val="single" w:sz="8" w:space="0" w:color="A3A3A3"/>
            </w:tcBorders>
            <w:tcMar>
              <w:top w:w="80" w:type="dxa"/>
              <w:left w:w="80" w:type="dxa"/>
              <w:bottom w:w="80" w:type="dxa"/>
              <w:right w:w="80" w:type="dxa"/>
            </w:tcMar>
            <w:hideMark/>
          </w:tcPr>
          <w:p w14:paraId="794FABD1" w14:textId="77777777" w:rsidR="00E61EDC" w:rsidRPr="00E61EDC" w:rsidRDefault="00E61EDC" w:rsidP="0094327B">
            <w:pPr>
              <w:rPr>
                <w:sz w:val="16"/>
                <w:szCs w:val="16"/>
              </w:rPr>
            </w:pPr>
            <w:r w:rsidRPr="00E61EDC">
              <w:rPr>
                <w:sz w:val="16"/>
                <w:szCs w:val="16"/>
              </w:rPr>
              <w:t>5 </w:t>
            </w:r>
          </w:p>
        </w:tc>
      </w:tr>
      <w:tr w:rsidR="00E61EDC" w:rsidRPr="00E61EDC" w14:paraId="59266D8F" w14:textId="77777777" w:rsidTr="0094327B">
        <w:tc>
          <w:tcPr>
            <w:tcW w:w="4929"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14:paraId="32A58203" w14:textId="77777777" w:rsidR="00E61EDC" w:rsidRPr="00E61EDC" w:rsidRDefault="00E61EDC" w:rsidP="0094327B">
            <w:pPr>
              <w:rPr>
                <w:sz w:val="16"/>
                <w:szCs w:val="16"/>
              </w:rPr>
            </w:pPr>
            <w:r w:rsidRPr="00E61EDC">
              <w:rPr>
                <w:sz w:val="16"/>
                <w:szCs w:val="16"/>
              </w:rPr>
              <w:t>Easy to understand and not repetitive </w:t>
            </w:r>
          </w:p>
        </w:tc>
        <w:tc>
          <w:tcPr>
            <w:tcW w:w="798" w:type="dxa"/>
            <w:tcBorders>
              <w:top w:val="nil"/>
              <w:left w:val="nil"/>
              <w:bottom w:val="single" w:sz="8" w:space="0" w:color="A3A3A3"/>
              <w:right w:val="single" w:sz="8" w:space="0" w:color="A3A3A3"/>
            </w:tcBorders>
            <w:tcMar>
              <w:top w:w="80" w:type="dxa"/>
              <w:left w:w="80" w:type="dxa"/>
              <w:bottom w:w="80" w:type="dxa"/>
              <w:right w:w="80" w:type="dxa"/>
            </w:tcMar>
            <w:hideMark/>
          </w:tcPr>
          <w:p w14:paraId="12797912" w14:textId="77777777" w:rsidR="00E61EDC" w:rsidRPr="00E61EDC" w:rsidRDefault="00E61EDC" w:rsidP="0094327B">
            <w:pPr>
              <w:rPr>
                <w:sz w:val="16"/>
                <w:szCs w:val="16"/>
              </w:rPr>
            </w:pPr>
            <w:r w:rsidRPr="00E61EDC">
              <w:rPr>
                <w:sz w:val="16"/>
                <w:szCs w:val="16"/>
              </w:rPr>
              <w:t>5 </w:t>
            </w:r>
          </w:p>
        </w:tc>
      </w:tr>
      <w:tr w:rsidR="00E61EDC" w:rsidRPr="00E61EDC" w14:paraId="2F9A3CEE" w14:textId="77777777" w:rsidTr="0094327B">
        <w:tc>
          <w:tcPr>
            <w:tcW w:w="4929"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14:paraId="3245EA1E" w14:textId="77777777" w:rsidR="00E61EDC" w:rsidRPr="00E61EDC" w:rsidRDefault="00E61EDC" w:rsidP="0094327B">
            <w:pPr>
              <w:rPr>
                <w:sz w:val="16"/>
                <w:szCs w:val="16"/>
              </w:rPr>
            </w:pPr>
            <w:r w:rsidRPr="00E61EDC">
              <w:rPr>
                <w:sz w:val="16"/>
                <w:szCs w:val="16"/>
              </w:rPr>
              <w:t>Scalability </w:t>
            </w:r>
          </w:p>
        </w:tc>
        <w:tc>
          <w:tcPr>
            <w:tcW w:w="798" w:type="dxa"/>
            <w:tcBorders>
              <w:top w:val="nil"/>
              <w:left w:val="nil"/>
              <w:bottom w:val="single" w:sz="8" w:space="0" w:color="A3A3A3"/>
              <w:right w:val="single" w:sz="8" w:space="0" w:color="A3A3A3"/>
            </w:tcBorders>
            <w:tcMar>
              <w:top w:w="80" w:type="dxa"/>
              <w:left w:w="80" w:type="dxa"/>
              <w:bottom w:w="80" w:type="dxa"/>
              <w:right w:w="80" w:type="dxa"/>
            </w:tcMar>
            <w:hideMark/>
          </w:tcPr>
          <w:p w14:paraId="3F3356EB" w14:textId="77777777" w:rsidR="00E61EDC" w:rsidRPr="00E61EDC" w:rsidRDefault="00E61EDC" w:rsidP="0094327B">
            <w:pPr>
              <w:rPr>
                <w:sz w:val="16"/>
                <w:szCs w:val="16"/>
              </w:rPr>
            </w:pPr>
            <w:r w:rsidRPr="00E61EDC">
              <w:rPr>
                <w:sz w:val="16"/>
                <w:szCs w:val="16"/>
              </w:rPr>
              <w:t>5 </w:t>
            </w:r>
          </w:p>
        </w:tc>
      </w:tr>
      <w:tr w:rsidR="00E61EDC" w:rsidRPr="00E61EDC" w14:paraId="7ED8862D" w14:textId="77777777" w:rsidTr="0094327B">
        <w:tc>
          <w:tcPr>
            <w:tcW w:w="4929"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14:paraId="4B203BD8" w14:textId="77777777" w:rsidR="00E61EDC" w:rsidRPr="00E61EDC" w:rsidRDefault="00E61EDC" w:rsidP="0094327B">
            <w:pPr>
              <w:rPr>
                <w:sz w:val="16"/>
                <w:szCs w:val="16"/>
              </w:rPr>
            </w:pPr>
            <w:r w:rsidRPr="00E61EDC">
              <w:rPr>
                <w:b/>
                <w:bCs/>
                <w:sz w:val="16"/>
                <w:szCs w:val="16"/>
              </w:rPr>
              <w:t>Total Available Points</w:t>
            </w:r>
            <w:r w:rsidRPr="00E61EDC">
              <w:rPr>
                <w:sz w:val="16"/>
                <w:szCs w:val="16"/>
              </w:rPr>
              <w:t> </w:t>
            </w:r>
          </w:p>
        </w:tc>
        <w:tc>
          <w:tcPr>
            <w:tcW w:w="798" w:type="dxa"/>
            <w:tcBorders>
              <w:top w:val="nil"/>
              <w:left w:val="nil"/>
              <w:bottom w:val="single" w:sz="8" w:space="0" w:color="A3A3A3"/>
              <w:right w:val="single" w:sz="8" w:space="0" w:color="A3A3A3"/>
            </w:tcBorders>
            <w:tcMar>
              <w:top w:w="80" w:type="dxa"/>
              <w:left w:w="80" w:type="dxa"/>
              <w:bottom w:w="80" w:type="dxa"/>
              <w:right w:w="80" w:type="dxa"/>
            </w:tcMar>
            <w:hideMark/>
          </w:tcPr>
          <w:p w14:paraId="2EA4AEF4" w14:textId="77777777" w:rsidR="00E61EDC" w:rsidRPr="00E61EDC" w:rsidRDefault="00E61EDC" w:rsidP="0094327B">
            <w:pPr>
              <w:rPr>
                <w:sz w:val="16"/>
                <w:szCs w:val="16"/>
              </w:rPr>
            </w:pPr>
            <w:r w:rsidRPr="00E61EDC">
              <w:rPr>
                <w:b/>
                <w:bCs/>
                <w:sz w:val="16"/>
                <w:szCs w:val="16"/>
              </w:rPr>
              <w:t>75</w:t>
            </w:r>
            <w:r w:rsidRPr="00E61EDC">
              <w:rPr>
                <w:sz w:val="16"/>
                <w:szCs w:val="16"/>
              </w:rPr>
              <w:t> </w:t>
            </w:r>
          </w:p>
        </w:tc>
      </w:tr>
    </w:tbl>
    <w:p w14:paraId="377C33D1" w14:textId="77777777" w:rsidR="002209C8" w:rsidRDefault="002209C8"/>
    <w:sectPr w:rsidR="00220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9471F"/>
    <w:multiLevelType w:val="hybridMultilevel"/>
    <w:tmpl w:val="6DE2D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53305"/>
    <w:multiLevelType w:val="hybridMultilevel"/>
    <w:tmpl w:val="08340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E40FDE"/>
    <w:multiLevelType w:val="hybridMultilevel"/>
    <w:tmpl w:val="CBB44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DD0126"/>
    <w:multiLevelType w:val="hybridMultilevel"/>
    <w:tmpl w:val="96C6A4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018713">
    <w:abstractNumId w:val="2"/>
  </w:num>
  <w:num w:numId="2" w16cid:durableId="1304189797">
    <w:abstractNumId w:val="3"/>
  </w:num>
  <w:num w:numId="3" w16cid:durableId="1983457924">
    <w:abstractNumId w:val="0"/>
  </w:num>
  <w:num w:numId="4" w16cid:durableId="612828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EDC"/>
    <w:rsid w:val="000E6B76"/>
    <w:rsid w:val="002209C8"/>
    <w:rsid w:val="00354362"/>
    <w:rsid w:val="003B6813"/>
    <w:rsid w:val="006155BC"/>
    <w:rsid w:val="00641631"/>
    <w:rsid w:val="009426F0"/>
    <w:rsid w:val="009468FB"/>
    <w:rsid w:val="00AB1563"/>
    <w:rsid w:val="00B90156"/>
    <w:rsid w:val="00BB527C"/>
    <w:rsid w:val="00BE364E"/>
    <w:rsid w:val="00D308DA"/>
    <w:rsid w:val="00E57302"/>
    <w:rsid w:val="00E61EDC"/>
    <w:rsid w:val="00E71540"/>
    <w:rsid w:val="00E91D66"/>
    <w:rsid w:val="00F65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F0CA6"/>
  <w15:chartTrackingRefBased/>
  <w15:docId w15:val="{58A06F5F-BBCC-41EA-BE90-7106ED21C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E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55BC"/>
    <w:rPr>
      <w:color w:val="0563C1" w:themeColor="hyperlink"/>
      <w:u w:val="single"/>
    </w:rPr>
  </w:style>
  <w:style w:type="character" w:styleId="UnresolvedMention">
    <w:name w:val="Unresolved Mention"/>
    <w:basedOn w:val="DefaultParagraphFont"/>
    <w:uiPriority w:val="99"/>
    <w:semiHidden/>
    <w:unhideWhenUsed/>
    <w:rsid w:val="006155BC"/>
    <w:rPr>
      <w:color w:val="605E5C"/>
      <w:shd w:val="clear" w:color="auto" w:fill="E1DFDD"/>
    </w:rPr>
  </w:style>
  <w:style w:type="character" w:styleId="FollowedHyperlink">
    <w:name w:val="FollowedHyperlink"/>
    <w:basedOn w:val="DefaultParagraphFont"/>
    <w:uiPriority w:val="99"/>
    <w:semiHidden/>
    <w:unhideWhenUsed/>
    <w:rsid w:val="006155BC"/>
    <w:rPr>
      <w:color w:val="954F72" w:themeColor="followedHyperlink"/>
      <w:u w:val="single"/>
    </w:rPr>
  </w:style>
  <w:style w:type="paragraph" w:styleId="ListParagraph">
    <w:name w:val="List Paragraph"/>
    <w:basedOn w:val="Normal"/>
    <w:uiPriority w:val="34"/>
    <w:qFormat/>
    <w:rsid w:val="00B901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ov.com/abou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Patel</dc:creator>
  <cp:keywords/>
  <dc:description/>
  <cp:lastModifiedBy>Varkey, Jayson K</cp:lastModifiedBy>
  <cp:revision>10</cp:revision>
  <dcterms:created xsi:type="dcterms:W3CDTF">2023-02-09T16:41:00Z</dcterms:created>
  <dcterms:modified xsi:type="dcterms:W3CDTF">2023-02-09T17:40:00Z</dcterms:modified>
</cp:coreProperties>
</file>