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55596" w14:textId="411B2E5C" w:rsidR="0023440A" w:rsidRDefault="000C3D59">
      <w:pPr>
        <w:pStyle w:val="Heading1"/>
        <w:jc w:val="center"/>
      </w:pPr>
      <w:r>
        <w:t>End-to-</w:t>
      </w:r>
      <w:proofErr w:type="gramStart"/>
      <w:r>
        <w:t xml:space="preserve">End </w:t>
      </w:r>
      <w:r>
        <w:t xml:space="preserve"> Churn</w:t>
      </w:r>
      <w:proofErr w:type="gramEnd"/>
      <w:r>
        <w:t xml:space="preserve"> &amp; Revenue Impact Analysis</w:t>
      </w:r>
    </w:p>
    <w:p w14:paraId="5F413BB3" w14:textId="7E356E1B" w:rsidR="0023440A" w:rsidRPr="000C3D59" w:rsidRDefault="000C3D59">
      <w:pPr>
        <w:jc w:val="center"/>
        <w:rPr>
          <w:b/>
          <w:bCs/>
        </w:rPr>
      </w:pPr>
      <w:r>
        <w:t xml:space="preserve"> </w:t>
      </w:r>
      <w:r>
        <w:rPr>
          <w:b/>
          <w:bCs/>
        </w:rPr>
        <w:t xml:space="preserve"> </w:t>
      </w:r>
    </w:p>
    <w:p w14:paraId="649C248E" w14:textId="77777777" w:rsidR="0023440A" w:rsidRDefault="000C3D59">
      <w:pPr>
        <w:pStyle w:val="Heading2"/>
      </w:pPr>
      <w:r>
        <w:t>1. Business Problem</w:t>
      </w:r>
    </w:p>
    <w:p w14:paraId="55335651" w14:textId="77777777" w:rsidR="0023440A" w:rsidRDefault="000C3D59">
      <w:r>
        <w:t xml:space="preserve">The company is experiencing increasing customer churn, leading to slower recurring revenue growth and reduced customer lifetime value. As a </w:t>
      </w:r>
      <w:r>
        <w:t>Product Analyst, the objective is to identify churn drivers, determine high-risk customer segments, and understand the financial impact of churn to support a data-driven retention strategy.</w:t>
      </w:r>
    </w:p>
    <w:p w14:paraId="2D834F7F" w14:textId="77777777" w:rsidR="0023440A" w:rsidRDefault="000C3D59">
      <w:pPr>
        <w:pStyle w:val="Heading2"/>
      </w:pPr>
      <w:r>
        <w:t>2. Overall Churn Overview</w:t>
      </w:r>
    </w:p>
    <w:p w14:paraId="218D8E76" w14:textId="77777777" w:rsidR="0023440A" w:rsidRDefault="000C3D59">
      <w:r>
        <w:t>Overall Churn Rate: ~26–27%</w:t>
      </w:r>
    </w:p>
    <w:p w14:paraId="4E9EF7BE" w14:textId="77777777" w:rsidR="0023440A" w:rsidRDefault="000C3D59">
      <w:r>
        <w:t>Approximatel</w:t>
      </w:r>
      <w:r>
        <w:t>y one in four customers have churned. This indicates a significant retention challenge that directly impacts recurring revenue and long-term business sustainability.</w:t>
      </w:r>
    </w:p>
    <w:p w14:paraId="43931AAD" w14:textId="77777777" w:rsidR="0023440A" w:rsidRDefault="000C3D59">
      <w:pPr>
        <w:pStyle w:val="Heading2"/>
      </w:pPr>
      <w:r>
        <w:t>3. Churn by Contract Type</w:t>
      </w:r>
    </w:p>
    <w:p w14:paraId="7D7332D7" w14:textId="77777777" w:rsidR="0023440A" w:rsidRDefault="000C3D59">
      <w:r>
        <w:t>Month-to-month customers show significantly higher churn compare</w:t>
      </w:r>
      <w:r>
        <w:t>d to one-year and two-year contracts. Long-term contracts demonstrate strong retention performance.</w:t>
      </w:r>
    </w:p>
    <w:p w14:paraId="477253B2" w14:textId="77777777" w:rsidR="0023440A" w:rsidRDefault="000C3D59">
      <w:r>
        <w:t>Business Interpretation: Flexible contracts reduce switching barriers, while longer-term commitments improve customer retention and revenue stability.</w:t>
      </w:r>
    </w:p>
    <w:p w14:paraId="0801BB98" w14:textId="77777777" w:rsidR="0023440A" w:rsidRDefault="000C3D59">
      <w:pPr>
        <w:pStyle w:val="Heading2"/>
      </w:pPr>
      <w:r>
        <w:t>4. Ch</w:t>
      </w:r>
      <w:r>
        <w:t>urn by Tenure Group (Lifecycle Analysis)</w:t>
      </w:r>
    </w:p>
    <w:p w14:paraId="45866739" w14:textId="77777777" w:rsidR="0023440A" w:rsidRDefault="000C3D59">
      <w:r>
        <w:t>Early-stage customers (0–6 months) exhibit the highest churn rates, while long-term customers (24+ months) are significantly more stable.</w:t>
      </w:r>
    </w:p>
    <w:p w14:paraId="5032C79A" w14:textId="77777777" w:rsidR="0023440A" w:rsidRDefault="000C3D59">
      <w:r>
        <w:t>Business Interpretation: This suggests potential onboarding gaps and weak ear</w:t>
      </w:r>
      <w:r>
        <w:t>ly engagement. Retention efforts should prioritize early lifecycle experience.</w:t>
      </w:r>
    </w:p>
    <w:p w14:paraId="47204D3D" w14:textId="77777777" w:rsidR="0023440A" w:rsidRDefault="000C3D59">
      <w:pPr>
        <w:pStyle w:val="Heading2"/>
      </w:pPr>
      <w:r>
        <w:t>5. Churn by Revenue Segment</w:t>
      </w:r>
    </w:p>
    <w:p w14:paraId="3D400563" w14:textId="77777777" w:rsidR="0023440A" w:rsidRDefault="000C3D59">
      <w:r>
        <w:t>High-value customers also show meaningful churn rates, increasing the financial impact of customer loss.</w:t>
      </w:r>
    </w:p>
    <w:p w14:paraId="5C1B73D7" w14:textId="77777777" w:rsidR="0023440A" w:rsidRDefault="000C3D59">
      <w:r>
        <w:t>Business Interpretation: Revenue churn is co</w:t>
      </w:r>
      <w:r>
        <w:t>ncentrated in premium segments, making protection of high-paying customers strategically critical.</w:t>
      </w:r>
    </w:p>
    <w:p w14:paraId="2437E6E2" w14:textId="77777777" w:rsidR="0023440A" w:rsidRDefault="000C3D59">
      <w:pPr>
        <w:pStyle w:val="Heading2"/>
      </w:pPr>
      <w:r>
        <w:t>6. High-Risk Customer Segments</w:t>
      </w:r>
    </w:p>
    <w:p w14:paraId="0FA13589" w14:textId="77777777" w:rsidR="0023440A" w:rsidRDefault="000C3D59">
      <w:r>
        <w:t>The most critical churn risk segments identified are:</w:t>
      </w:r>
      <w:r>
        <w:br/>
        <w:t>1. Early-tenure (0–6 months) customers</w:t>
      </w:r>
      <w:r>
        <w:br/>
        <w:t>2. Month-to-month contract users</w:t>
      </w:r>
      <w:r>
        <w:br/>
      </w:r>
      <w:r>
        <w:t>3. High monthly charge customers</w:t>
      </w:r>
      <w:r>
        <w:br/>
      </w:r>
    </w:p>
    <w:p w14:paraId="368F7C8C" w14:textId="77777777" w:rsidR="0023440A" w:rsidRDefault="000C3D59">
      <w:r>
        <w:t>These segments collectively drive the majority of churn and revenue risk.</w:t>
      </w:r>
    </w:p>
    <w:p w14:paraId="39A9CE0B" w14:textId="77777777" w:rsidR="0023440A" w:rsidRDefault="000C3D59">
      <w:pPr>
        <w:pStyle w:val="Heading2"/>
      </w:pPr>
      <w:r>
        <w:lastRenderedPageBreak/>
        <w:t>7. Executive-Level Summary</w:t>
      </w:r>
    </w:p>
    <w:p w14:paraId="425244E7" w14:textId="77777777" w:rsidR="0023440A" w:rsidRDefault="000C3D59">
      <w:r>
        <w:t>Customer churn is concentrated among early lifecycle users and flexible contract holders. The primary risk drivers appear</w:t>
      </w:r>
      <w:r>
        <w:t xml:space="preserve"> to be onboarding inefficiencies, low switching barriers, and potential pricing-value misalignment in premium segments.</w:t>
      </w:r>
    </w:p>
    <w:p w14:paraId="692A21A4" w14:textId="77777777" w:rsidR="0023440A" w:rsidRDefault="000C3D59">
      <w:r>
        <w:t>Strategic focus areas should include early engagement improvement, migration to longer-term contracts, and value reinforcement for high-</w:t>
      </w:r>
      <w:r>
        <w:t>revenue customers.</w:t>
      </w:r>
    </w:p>
    <w:sectPr w:rsidR="002344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D59"/>
    <w:rsid w:val="0015074B"/>
    <w:rsid w:val="0023440A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B4AF4"/>
  <w14:defaultImageDpi w14:val="300"/>
  <w15:docId w15:val="{D4070595-5B7C-407E-84D9-688F883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shahana n</cp:lastModifiedBy>
  <cp:revision>2</cp:revision>
  <dcterms:created xsi:type="dcterms:W3CDTF">2013-12-23T23:15:00Z</dcterms:created>
  <dcterms:modified xsi:type="dcterms:W3CDTF">2026-02-14T06:15:00Z</dcterms:modified>
  <cp:category/>
</cp:coreProperties>
</file>