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36"/>
        </w:rPr>
        <w:t>RetailNova Pty Ltd</w:t>
        <w:br/>
        <w:t>Cybersecurity Risk Assessment Report</w:t>
      </w:r>
    </w:p>
    <w:p>
      <w:pPr>
        <w:jc w:val="center"/>
      </w:pPr>
      <w:r>
        <w:rPr>
          <w:rFonts w:ascii="Aptos" w:hAnsi="Aptos"/>
          <w:b w:val="0"/>
          <w:sz w:val="22"/>
        </w:rPr>
        <w:t>Assessment Date: 5 October 2026</w:t>
        <w:br/>
        <w:t>Review Date: 5 January 2027</w:t>
      </w:r>
    </w:p>
    <w:p>
      <w:pPr>
        <w:pStyle w:val="Heading1"/>
      </w:pPr>
      <w:r>
        <w:t>1. Organisation Overview</w:t>
      </w:r>
    </w:p>
    <w:p>
      <w:r>
        <w:rPr>
          <w:rFonts w:ascii="Aptos" w:hAnsi="Aptos"/>
          <w:b w:val="0"/>
          <w:sz w:val="22"/>
        </w:rPr>
        <w:t>RetailNova Pty Ltd is a retail company headquartered in Melbourne, Australia. The company was established in 2012 and has approximately 1,200 employees, with annual revenue of around $450 million.</w:t>
      </w:r>
    </w:p>
    <w:p>
      <w:r>
        <w:rPr>
          <w:rFonts w:ascii="Aptos" w:hAnsi="Aptos"/>
          <w:b w:val="0"/>
          <w:sz w:val="22"/>
        </w:rPr>
        <w:t>The company sells consumer electronics, home appliances and lifestyle products through physical stores and online channels. RetailNova operates 85 stores and also provides customers with an e-commerce website and mobile application.</w:t>
      </w:r>
    </w:p>
    <w:p>
      <w:r>
        <w:rPr>
          <w:rFonts w:ascii="Aptos" w:hAnsi="Aptos"/>
          <w:b w:val="0"/>
          <w:sz w:val="22"/>
        </w:rPr>
        <w:t>The company depends on several digital systems, including AWS hosting, Salesforce CRM, SAP ERP, cloud-connected point-of-sale systems, payment gateways and third-party services. Customer information includes names, contact details, addresses, purchase history, loyalty information, behavioural data and tokenised payment details.</w:t>
      </w:r>
    </w:p>
    <w:p>
      <w:r>
        <w:rPr>
          <w:rFonts w:ascii="Aptos" w:hAnsi="Aptos"/>
          <w:b w:val="0"/>
          <w:sz w:val="22"/>
        </w:rPr>
        <w:t>RetailNova also allows corporate employees to use their own devices for some business activities and provides remote access through a VPN. Internal communication is carried out through Microsoft Teams and Slack.</w:t>
      </w:r>
    </w:p>
    <w:p>
      <w:pPr>
        <w:pStyle w:val="Heading1"/>
      </w:pPr>
      <w:r>
        <w:t>2. Existing Security Environment</w:t>
      </w:r>
    </w:p>
    <w:p>
      <w:r>
        <w:rPr>
          <w:rFonts w:ascii="Aptos" w:hAnsi="Aptos"/>
          <w:b w:val="0"/>
          <w:sz w:val="22"/>
        </w:rPr>
        <w:t>RetailNova currently has some basic security controls in place. These include:</w:t>
      </w:r>
    </w:p>
    <w:p>
      <w:pPr>
        <w:pStyle w:val="ListBullet"/>
        <w:spacing w:after="60"/>
      </w:pPr>
      <w:r>
        <w:t>Security awareness training</w:t>
      </w:r>
    </w:p>
    <w:p>
      <w:pPr>
        <w:pStyle w:val="ListBullet"/>
        <w:spacing w:after="60"/>
      </w:pPr>
      <w:r>
        <w:t>Firewalls</w:t>
      </w:r>
    </w:p>
    <w:p>
      <w:pPr>
        <w:pStyle w:val="ListBullet"/>
        <w:spacing w:after="60"/>
      </w:pPr>
      <w:r>
        <w:t>Antivirus protection</w:t>
      </w:r>
    </w:p>
    <w:p>
      <w:pPr>
        <w:pStyle w:val="ListBullet"/>
        <w:spacing w:after="60"/>
      </w:pPr>
      <w:r>
        <w:t>Role-based access control</w:t>
      </w:r>
    </w:p>
    <w:p>
      <w:pPr>
        <w:pStyle w:val="ListBullet"/>
        <w:spacing w:after="60"/>
      </w:pPr>
      <w:r>
        <w:t>VPN access for remote users</w:t>
      </w:r>
    </w:p>
    <w:p>
      <w:pPr>
        <w:pStyle w:val="ListBullet"/>
        <w:spacing w:after="60"/>
      </w:pPr>
      <w:r>
        <w:t>Endpoint protection</w:t>
      </w:r>
    </w:p>
    <w:p>
      <w:r>
        <w:rPr>
          <w:rFonts w:ascii="Aptos" w:hAnsi="Aptos"/>
          <w:b w:val="0"/>
          <w:sz w:val="22"/>
        </w:rPr>
        <w:t>However, the organisation has experienced several security incidents in recent years. In 2023, a phishing attack resulted in the compromise of customer service employee credentials. In 2024, a ransomware attempt was stopped by endpoint protection but still caused approximately two hours of downtime. In 2025, a third-party marketing vendor experienced a data leak that exposed the email addresses of approximately 5,000 customers.</w:t>
      </w:r>
    </w:p>
    <w:p>
      <w:r>
        <w:rPr>
          <w:rFonts w:ascii="Aptos" w:hAnsi="Aptos"/>
          <w:b w:val="0"/>
          <w:sz w:val="22"/>
        </w:rPr>
        <w:t>These previous incidents are important when assessing the current risks because they show that phishing, ransomware and third-party security issues are realistic threats to the organisation.</w:t>
      </w:r>
    </w:p>
    <w:p>
      <w:pPr>
        <w:pStyle w:val="Heading1"/>
      </w:pPr>
      <w:r>
        <w:t>3. Risk Assessment Method</w:t>
      </w:r>
    </w:p>
    <w:p>
      <w:r>
        <w:rPr>
          <w:rFonts w:ascii="Aptos" w:hAnsi="Aptos"/>
          <w:b w:val="0"/>
          <w:sz w:val="22"/>
        </w:rPr>
        <w:t>The assessment considers the following areas for each identified risk:</w:t>
      </w:r>
    </w:p>
    <w:p>
      <w:pPr>
        <w:pStyle w:val="ListBullet"/>
        <w:spacing w:after="60"/>
      </w:pPr>
      <w:r>
        <w:t>Risk Description</w:t>
      </w:r>
    </w:p>
    <w:p>
      <w:pPr>
        <w:pStyle w:val="ListBullet"/>
        <w:spacing w:after="60"/>
      </w:pPr>
      <w:r>
        <w:t>Assets at Risk</w:t>
      </w:r>
    </w:p>
    <w:p>
      <w:pPr>
        <w:pStyle w:val="ListBullet"/>
        <w:spacing w:after="60"/>
      </w:pPr>
      <w:r>
        <w:t>Threat</w:t>
      </w:r>
    </w:p>
    <w:p>
      <w:pPr>
        <w:pStyle w:val="ListBullet"/>
        <w:spacing w:after="60"/>
      </w:pPr>
      <w:r>
        <w:t>Vulnerability</w:t>
      </w:r>
    </w:p>
    <w:p>
      <w:pPr>
        <w:pStyle w:val="ListBullet"/>
        <w:spacing w:after="60"/>
      </w:pPr>
      <w:r>
        <w:t>Existing Controls</w:t>
      </w:r>
    </w:p>
    <w:p>
      <w:pPr>
        <w:pStyle w:val="ListBullet"/>
        <w:spacing w:after="60"/>
      </w:pPr>
      <w:r>
        <w:t>Inherent Risk Rating</w:t>
      </w:r>
    </w:p>
    <w:p>
      <w:pPr>
        <w:pStyle w:val="ListBullet"/>
        <w:spacing w:after="60"/>
      </w:pPr>
      <w:r>
        <w:t>Residual Risk Rating</w:t>
      </w:r>
    </w:p>
    <w:p>
      <w:pPr>
        <w:pStyle w:val="ListBullet"/>
        <w:spacing w:after="60"/>
      </w:pPr>
      <w:r>
        <w:t>Likelihood</w:t>
      </w:r>
    </w:p>
    <w:p>
      <w:pPr>
        <w:pStyle w:val="ListBullet"/>
        <w:spacing w:after="60"/>
      </w:pPr>
      <w:r>
        <w:t>Consequence</w:t>
      </w:r>
    </w:p>
    <w:p>
      <w:pPr>
        <w:pStyle w:val="ListBullet"/>
        <w:spacing w:after="60"/>
      </w:pPr>
      <w:r>
        <w:t>Mitigations</w:t>
      </w:r>
    </w:p>
    <w:p>
      <w:pPr>
        <w:pStyle w:val="ListBullet"/>
        <w:spacing w:after="60"/>
      </w:pPr>
      <w:r>
        <w:t>Risk Owner</w:t>
      </w:r>
    </w:p>
    <w:p>
      <w:r>
        <w:rPr>
          <w:rFonts w:ascii="Aptos" w:hAnsi="Aptos"/>
          <w:b w:val="0"/>
          <w:sz w:val="22"/>
        </w:rPr>
        <w:t>The risk rating is based on the likelihood of the event occurring and the potential consequence if the event occurs.</w:t>
      </w:r>
    </w:p>
    <w:p>
      <w:r>
        <w:rPr>
          <w:rFonts w:ascii="Aptos" w:hAnsi="Aptos"/>
          <w:b w:val="0"/>
          <w:sz w:val="22"/>
        </w:rPr>
        <w:t>Likelihood: 1 Rare, 2 Unlikely, 3 Possible, 4 Likely, 5 Almost Certain.</w:t>
      </w:r>
    </w:p>
    <w:p>
      <w:r>
        <w:rPr>
          <w:rFonts w:ascii="Aptos" w:hAnsi="Aptos"/>
          <w:b w:val="0"/>
          <w:sz w:val="22"/>
        </w:rPr>
        <w:t>Consequence: 1 Insignificant, 2 Minor, 3 Moderate, 4 Major, 5 Extreme.</w:t>
      </w:r>
    </w:p>
    <w:p>
      <w:r>
        <w:rPr>
          <w:rFonts w:ascii="Aptos" w:hAnsi="Aptos"/>
          <w:b w:val="0"/>
          <w:sz w:val="22"/>
        </w:rPr>
        <w:t>The overall risk level is determined using the risk matrix provided in the assessment template.</w:t>
      </w:r>
    </w:p>
    <w:p>
      <w:pPr>
        <w:pStyle w:val="Heading1"/>
      </w:pPr>
      <w:r>
        <w:t>4.1 Risk RN-R01 – Phishing and Credential Compromise</w:t>
      </w:r>
    </w:p>
    <w:p>
      <w:r>
        <w:rPr>
          <w:rFonts w:ascii="Aptos" w:hAnsi="Aptos"/>
          <w:b w:val="0"/>
          <w:sz w:val="22"/>
        </w:rPr>
        <w:t>Date Identified: 5 October 2026</w:t>
      </w:r>
    </w:p>
    <w:p>
      <w:r>
        <w:rPr>
          <w:rFonts w:ascii="Aptos" w:hAnsi="Aptos"/>
          <w:b w:val="0"/>
          <w:sz w:val="22"/>
        </w:rPr>
        <w:t>Review Date: 5 January 2027</w:t>
      </w:r>
    </w:p>
    <w:p>
      <w:pPr>
        <w:pStyle w:val="Heading2"/>
      </w:pPr>
      <w:r>
        <w:t>Risk Description</w:t>
      </w:r>
    </w:p>
    <w:p>
      <w:r>
        <w:rPr>
          <w:rFonts w:ascii="Aptos" w:hAnsi="Aptos"/>
          <w:b w:val="0"/>
          <w:sz w:val="22"/>
        </w:rPr>
        <w:t>RetailNova may experience a successful phishing attack in which an employee is tricked into providing login credentials or opening a malicious attachment or link. A compromised account could then be used to access internal systems, cloud services, business applications or remote access services. This risk is considered significant because RetailNova has already experienced a phishing incident in 2023 that resulted in employee credential compromise.</w:t>
      </w:r>
    </w:p>
    <w:p>
      <w:pPr>
        <w:pStyle w:val="Heading2"/>
      </w:pPr>
      <w:r>
        <w:t>Assets at Risk</w:t>
      </w:r>
    </w:p>
    <w:p>
      <w:pPr>
        <w:pStyle w:val="ListBullet"/>
        <w:spacing w:after="60"/>
      </w:pPr>
      <w:r>
        <w:t>Employee accounts</w:t>
      </w:r>
    </w:p>
    <w:p>
      <w:pPr>
        <w:pStyle w:val="ListBullet"/>
        <w:spacing w:after="60"/>
      </w:pPr>
      <w:r>
        <w:t>VPN access</w:t>
      </w:r>
    </w:p>
    <w:p>
      <w:pPr>
        <w:pStyle w:val="ListBullet"/>
        <w:spacing w:after="60"/>
      </w:pPr>
      <w:r>
        <w:t>Salesforce CRM</w:t>
      </w:r>
    </w:p>
    <w:p>
      <w:pPr>
        <w:pStyle w:val="ListBullet"/>
        <w:spacing w:after="60"/>
      </w:pPr>
      <w:r>
        <w:t>SAP ERP</w:t>
      </w:r>
    </w:p>
    <w:p>
      <w:pPr>
        <w:pStyle w:val="ListBullet"/>
        <w:spacing w:after="60"/>
      </w:pPr>
      <w:r>
        <w:t>AWS resources</w:t>
      </w:r>
    </w:p>
    <w:p>
      <w:pPr>
        <w:pStyle w:val="ListBullet"/>
        <w:spacing w:after="60"/>
      </w:pPr>
      <w:r>
        <w:t>Microsoft Teams</w:t>
      </w:r>
    </w:p>
    <w:p>
      <w:pPr>
        <w:pStyle w:val="ListBullet"/>
        <w:spacing w:after="60"/>
      </w:pPr>
      <w:r>
        <w:t>Slack</w:t>
      </w:r>
    </w:p>
    <w:p>
      <w:pPr>
        <w:pStyle w:val="ListBullet"/>
        <w:spacing w:after="60"/>
      </w:pPr>
      <w:r>
        <w:t>Internal business information</w:t>
      </w:r>
    </w:p>
    <w:p>
      <w:pPr>
        <w:pStyle w:val="ListBullet"/>
        <w:spacing w:after="60"/>
      </w:pPr>
      <w:r>
        <w:t>Customer information</w:t>
      </w:r>
    </w:p>
    <w:p>
      <w:pPr>
        <w:pStyle w:val="Heading2"/>
      </w:pPr>
      <w:r>
        <w:t>Threat</w:t>
      </w:r>
    </w:p>
    <w:p>
      <w:r>
        <w:rPr>
          <w:rFonts w:ascii="Aptos" w:hAnsi="Aptos"/>
          <w:b w:val="0"/>
          <w:sz w:val="22"/>
        </w:rPr>
        <w:t>Cybercriminals may use phishing emails, social engineering and stolen credentials to gain unauthorised access to RetailNova systems.</w:t>
      </w:r>
    </w:p>
    <w:p>
      <w:pPr>
        <w:pStyle w:val="Heading2"/>
      </w:pPr>
      <w:r>
        <w:t>Vulnerability</w:t>
      </w:r>
    </w:p>
    <w:p>
      <w:r>
        <w:rPr>
          <w:rFonts w:ascii="Aptos" w:hAnsi="Aptos"/>
          <w:b w:val="0"/>
          <w:sz w:val="22"/>
        </w:rPr>
        <w:t>The organisation relies on employees to identify suspicious messages, while existing security awareness training is described as basic. Remote VPN access also increases the importance of protecting employee accounts. The previous phishing incident shows that this type of attack has already affected the organisation.</w:t>
      </w:r>
    </w:p>
    <w:p>
      <w:pPr>
        <w:pStyle w:val="Heading2"/>
      </w:pPr>
      <w:r>
        <w:t>Existing Controls</w:t>
      </w:r>
    </w:p>
    <w:p>
      <w:pPr>
        <w:pStyle w:val="ListBullet"/>
        <w:spacing w:after="60"/>
      </w:pPr>
      <w:r>
        <w:t>Basic security awareness training</w:t>
      </w:r>
    </w:p>
    <w:p>
      <w:pPr>
        <w:pStyle w:val="ListBullet"/>
        <w:spacing w:after="60"/>
      </w:pPr>
      <w:r>
        <w:t>Firewalls</w:t>
      </w:r>
    </w:p>
    <w:p>
      <w:pPr>
        <w:pStyle w:val="ListBullet"/>
        <w:spacing w:after="60"/>
      </w:pPr>
      <w:r>
        <w:t>Antivirus</w:t>
      </w:r>
    </w:p>
    <w:p>
      <w:pPr>
        <w:pStyle w:val="ListBullet"/>
        <w:spacing w:after="60"/>
      </w:pPr>
      <w:r>
        <w:t>Role-based access control</w:t>
      </w:r>
    </w:p>
    <w:p>
      <w:pPr>
        <w:pStyle w:val="ListBullet"/>
        <w:spacing w:after="60"/>
      </w:pPr>
      <w:r>
        <w:t>VPN access</w:t>
      </w:r>
    </w:p>
    <w:p>
      <w:pPr>
        <w:pStyle w:val="Heading2"/>
      </w:pPr>
      <w:r>
        <w:t>Inherent Risk Rating</w:t>
      </w:r>
    </w:p>
    <w:tbl>
      <w:tblPr>
        <w:tblStyle w:val="TableGrid"/>
        <w:tblW w:type="auto" w:w="0"/>
        <w:jc w:val="center"/>
        <w:tblLook w:firstColumn="1" w:firstRow="1" w:lastColumn="0" w:lastRow="0" w:noHBand="0" w:noVBand="1" w:val="04A0"/>
      </w:tblPr>
      <w:tblGrid>
        <w:gridCol w:w="4514"/>
        <w:gridCol w:w="4514"/>
      </w:tblGrid>
      <w:tr>
        <w:tc>
          <w:tcPr>
            <w:tcW w:type="dxa" w:w="4514"/>
            <w:vAlign w:val="center"/>
            <w:shd w:fill="D9EAF7"/>
          </w:tcPr>
          <w:p>
            <w:pPr>
              <w:spacing w:after="0"/>
            </w:pPr>
            <w:r/>
            <w:r>
              <w:rPr>
                <w:rFonts w:ascii="Aptos" w:hAnsi="Aptos"/>
                <w:b/>
                <w:sz w:val="20"/>
              </w:rPr>
              <w:t>Likelihood</w:t>
            </w:r>
          </w:p>
        </w:tc>
        <w:tc>
          <w:tcPr>
            <w:tcW w:type="dxa" w:w="4514"/>
            <w:vAlign w:val="center"/>
          </w:tcPr>
          <w:p>
            <w:pPr>
              <w:spacing w:after="0"/>
            </w:pPr>
            <w:r/>
            <w:r>
              <w:rPr>
                <w:rFonts w:ascii="Aptos" w:hAnsi="Aptos"/>
                <w:b w:val="0"/>
                <w:sz w:val="20"/>
              </w:rPr>
              <w:t>4 – Likely</w:t>
            </w:r>
          </w:p>
        </w:tc>
      </w:tr>
      <w:tr>
        <w:tc>
          <w:tcPr>
            <w:tcW w:type="dxa" w:w="4514"/>
            <w:vAlign w:val="center"/>
            <w:shd w:fill="D9EAF7"/>
          </w:tcPr>
          <w:p>
            <w:pPr>
              <w:spacing w:after="0"/>
            </w:pPr>
            <w:r/>
            <w:r>
              <w:rPr>
                <w:rFonts w:ascii="Aptos" w:hAnsi="Aptos"/>
                <w:b/>
                <w:sz w:val="20"/>
              </w:rPr>
              <w:t>Consequence</w:t>
            </w:r>
          </w:p>
        </w:tc>
        <w:tc>
          <w:tcPr>
            <w:tcW w:type="dxa" w:w="4514"/>
            <w:vAlign w:val="center"/>
          </w:tcPr>
          <w:p>
            <w:pPr>
              <w:spacing w:after="0"/>
            </w:pPr>
            <w:r/>
            <w:r>
              <w:rPr>
                <w:rFonts w:ascii="Aptos" w:hAnsi="Aptos"/>
                <w:b w:val="0"/>
                <w:sz w:val="20"/>
              </w:rPr>
              <w:t>4 – Major</w:t>
            </w:r>
          </w:p>
        </w:tc>
      </w:tr>
      <w:tr>
        <w:tc>
          <w:tcPr>
            <w:tcW w:type="dxa" w:w="4514"/>
            <w:vAlign w:val="center"/>
            <w:shd w:fill="D9EAF7"/>
          </w:tcPr>
          <w:p>
            <w:pPr>
              <w:spacing w:after="0"/>
            </w:pPr>
            <w:r/>
            <w:r>
              <w:rPr>
                <w:rFonts w:ascii="Aptos" w:hAnsi="Aptos"/>
                <w:b/>
                <w:sz w:val="20"/>
              </w:rPr>
              <w:t>Risk Rating</w:t>
            </w:r>
          </w:p>
        </w:tc>
        <w:tc>
          <w:tcPr>
            <w:tcW w:type="dxa" w:w="4514"/>
            <w:vAlign w:val="center"/>
          </w:tcPr>
          <w:p>
            <w:pPr>
              <w:spacing w:after="0"/>
            </w:pPr>
            <w:r/>
            <w:r>
              <w:rPr>
                <w:rFonts w:ascii="Aptos" w:hAnsi="Aptos"/>
                <w:b w:val="0"/>
                <w:sz w:val="20"/>
              </w:rPr>
              <w:t>High</w:t>
            </w:r>
          </w:p>
        </w:tc>
      </w:tr>
    </w:tbl>
    <w:p>
      <w:pPr>
        <w:pStyle w:val="Heading2"/>
      </w:pPr>
      <w:r>
        <w:t>Residual Risk Rating</w:t>
      </w:r>
    </w:p>
    <w:tbl>
      <w:tblPr>
        <w:tblStyle w:val="TableGrid"/>
        <w:tblW w:type="auto" w:w="0"/>
        <w:jc w:val="center"/>
        <w:tblLook w:firstColumn="1" w:firstRow="1" w:lastColumn="0" w:lastRow="0" w:noHBand="0" w:noVBand="1" w:val="04A0"/>
      </w:tblPr>
      <w:tblGrid>
        <w:gridCol w:w="4514"/>
        <w:gridCol w:w="4514"/>
      </w:tblGrid>
      <w:tr>
        <w:tc>
          <w:tcPr>
            <w:tcW w:type="dxa" w:w="4514"/>
            <w:vAlign w:val="center"/>
            <w:shd w:fill="D9EAF7"/>
          </w:tcPr>
          <w:p>
            <w:pPr>
              <w:spacing w:after="0"/>
            </w:pPr>
            <w:r/>
            <w:r>
              <w:rPr>
                <w:rFonts w:ascii="Aptos" w:hAnsi="Aptos"/>
                <w:b/>
                <w:sz w:val="20"/>
              </w:rPr>
              <w:t>Likelihood</w:t>
            </w:r>
          </w:p>
        </w:tc>
        <w:tc>
          <w:tcPr>
            <w:tcW w:type="dxa" w:w="4514"/>
            <w:vAlign w:val="center"/>
          </w:tcPr>
          <w:p>
            <w:pPr>
              <w:spacing w:after="0"/>
            </w:pPr>
            <w:r/>
            <w:r>
              <w:rPr>
                <w:rFonts w:ascii="Aptos" w:hAnsi="Aptos"/>
                <w:b w:val="0"/>
                <w:sz w:val="20"/>
              </w:rPr>
              <w:t>3 – Possible</w:t>
            </w:r>
          </w:p>
        </w:tc>
      </w:tr>
      <w:tr>
        <w:tc>
          <w:tcPr>
            <w:tcW w:type="dxa" w:w="4514"/>
            <w:vAlign w:val="center"/>
            <w:shd w:fill="D9EAF7"/>
          </w:tcPr>
          <w:p>
            <w:pPr>
              <w:spacing w:after="0"/>
            </w:pPr>
            <w:r/>
            <w:r>
              <w:rPr>
                <w:rFonts w:ascii="Aptos" w:hAnsi="Aptos"/>
                <w:b/>
                <w:sz w:val="20"/>
              </w:rPr>
              <w:t>Consequence</w:t>
            </w:r>
          </w:p>
        </w:tc>
        <w:tc>
          <w:tcPr>
            <w:tcW w:type="dxa" w:w="4514"/>
            <w:vAlign w:val="center"/>
          </w:tcPr>
          <w:p>
            <w:pPr>
              <w:spacing w:after="0"/>
            </w:pPr>
            <w:r/>
            <w:r>
              <w:rPr>
                <w:rFonts w:ascii="Aptos" w:hAnsi="Aptos"/>
                <w:b w:val="0"/>
                <w:sz w:val="20"/>
              </w:rPr>
              <w:t>4 – Major</w:t>
            </w:r>
          </w:p>
        </w:tc>
      </w:tr>
      <w:tr>
        <w:tc>
          <w:tcPr>
            <w:tcW w:type="dxa" w:w="4514"/>
            <w:vAlign w:val="center"/>
            <w:shd w:fill="D9EAF7"/>
          </w:tcPr>
          <w:p>
            <w:pPr>
              <w:spacing w:after="0"/>
            </w:pPr>
            <w:r/>
            <w:r>
              <w:rPr>
                <w:rFonts w:ascii="Aptos" w:hAnsi="Aptos"/>
                <w:b/>
                <w:sz w:val="20"/>
              </w:rPr>
              <w:t>Risk Rating</w:t>
            </w:r>
          </w:p>
        </w:tc>
        <w:tc>
          <w:tcPr>
            <w:tcW w:type="dxa" w:w="4514"/>
            <w:vAlign w:val="center"/>
          </w:tcPr>
          <w:p>
            <w:pPr>
              <w:spacing w:after="0"/>
            </w:pPr>
            <w:r/>
            <w:r>
              <w:rPr>
                <w:rFonts w:ascii="Aptos" w:hAnsi="Aptos"/>
                <w:b w:val="0"/>
                <w:sz w:val="20"/>
              </w:rPr>
              <w:t>High</w:t>
            </w:r>
          </w:p>
        </w:tc>
      </w:tr>
    </w:tbl>
    <w:p>
      <w:pPr>
        <w:pStyle w:val="Heading2"/>
      </w:pPr>
      <w:r>
        <w:t>Mitigations</w:t>
      </w:r>
    </w:p>
    <w:p>
      <w:pPr>
        <w:pStyle w:val="ListBullet"/>
        <w:spacing w:after="60"/>
      </w:pPr>
      <w:r>
        <w:t>Introduce stronger multi-factor authentication for important accounts.</w:t>
      </w:r>
    </w:p>
    <w:p>
      <w:pPr>
        <w:pStyle w:val="ListBullet"/>
        <w:spacing w:after="60"/>
      </w:pPr>
      <w:r>
        <w:t>Provide regular phishing awareness training.</w:t>
      </w:r>
    </w:p>
    <w:p>
      <w:pPr>
        <w:pStyle w:val="ListBullet"/>
        <w:spacing w:after="60"/>
      </w:pPr>
      <w:r>
        <w:t>Conduct simulated phishing exercises.</w:t>
      </w:r>
    </w:p>
    <w:p>
      <w:pPr>
        <w:pStyle w:val="ListBullet"/>
        <w:spacing w:after="60"/>
      </w:pPr>
      <w:r>
        <w:t>Improve email filtering for suspicious messages and attachments.</w:t>
      </w:r>
    </w:p>
    <w:p>
      <w:pPr>
        <w:pStyle w:val="ListBullet"/>
        <w:spacing w:after="60"/>
      </w:pPr>
      <w:r>
        <w:t>Monitor unusual login activity.</w:t>
      </w:r>
    </w:p>
    <w:p>
      <w:pPr>
        <w:pStyle w:val="ListBullet"/>
        <w:spacing w:after="60"/>
      </w:pPr>
      <w:r>
        <w:t>Apply least-privilege access to employee accounts.</w:t>
      </w:r>
    </w:p>
    <w:p>
      <w:pPr>
        <w:pStyle w:val="ListBullet"/>
        <w:spacing w:after="60"/>
      </w:pPr>
      <w:r>
        <w:t>Review remote access permissions regularly.</w:t>
      </w:r>
    </w:p>
    <w:p>
      <w:pPr>
        <w:pStyle w:val="Heading2"/>
      </w:pPr>
      <w:r>
        <w:t>Monitoring</w:t>
      </w:r>
    </w:p>
    <w:p>
      <w:r>
        <w:rPr>
          <w:rFonts w:ascii="Aptos" w:hAnsi="Aptos"/>
          <w:b w:val="0"/>
          <w:sz w:val="22"/>
        </w:rPr>
        <w:t>Authentication events, suspicious login activity, employee phishing reports, phishing simulation results and compromised-account alerts.</w:t>
      </w:r>
    </w:p>
    <w:p>
      <w:pPr>
        <w:pStyle w:val="Heading2"/>
      </w:pPr>
      <w:r>
        <w:t>Risk Owner</w:t>
      </w:r>
    </w:p>
    <w:p>
      <w:r>
        <w:rPr>
          <w:rFonts w:ascii="Aptos" w:hAnsi="Aptos"/>
          <w:b w:val="0"/>
          <w:sz w:val="22"/>
        </w:rPr>
        <w:t>Head of Information Security</w:t>
      </w:r>
    </w:p>
    <w:p>
      <w:pPr>
        <w:pStyle w:val="Heading1"/>
      </w:pPr>
      <w:r>
        <w:t>4.2 Risk RN-R02 – Third-Party Security Failure and Customer Data Exposure</w:t>
      </w:r>
    </w:p>
    <w:p>
      <w:r>
        <w:rPr>
          <w:rFonts w:ascii="Aptos" w:hAnsi="Aptos"/>
          <w:b w:val="0"/>
          <w:sz w:val="22"/>
        </w:rPr>
        <w:t>Date Identified: 5 October 2026</w:t>
      </w:r>
    </w:p>
    <w:p>
      <w:r>
        <w:rPr>
          <w:rFonts w:ascii="Aptos" w:hAnsi="Aptos"/>
          <w:b w:val="0"/>
          <w:sz w:val="22"/>
        </w:rPr>
        <w:t>Review Date: 5 January 2027</w:t>
      </w:r>
    </w:p>
    <w:p>
      <w:pPr>
        <w:pStyle w:val="Heading2"/>
      </w:pPr>
      <w:r>
        <w:t>Risk Description</w:t>
      </w:r>
    </w:p>
    <w:p>
      <w:r>
        <w:rPr>
          <w:rFonts w:ascii="Aptos" w:hAnsi="Aptos"/>
          <w:b w:val="0"/>
          <w:sz w:val="22"/>
        </w:rPr>
        <w:t>RetailNova works with several third-party organisations for logistics, marketing, loyalty services and other business activities. A security incident involving one of these suppliers could expose customer information or provide an indirect route into RetailNova's systems. This risk is supported by the 2025 incident involving a marketing vendor, where the email addresses of approximately 5,000 customers were exposed.</w:t>
      </w:r>
    </w:p>
    <w:p>
      <w:pPr>
        <w:pStyle w:val="Heading2"/>
      </w:pPr>
      <w:r>
        <w:t>Assets at Risk</w:t>
      </w:r>
    </w:p>
    <w:p>
      <w:pPr>
        <w:pStyle w:val="ListBullet"/>
        <w:spacing w:after="60"/>
      </w:pPr>
      <w:r>
        <w:t>Customer names</w:t>
      </w:r>
    </w:p>
    <w:p>
      <w:pPr>
        <w:pStyle w:val="ListBullet"/>
        <w:spacing w:after="60"/>
      </w:pPr>
      <w:r>
        <w:t>Email addresses</w:t>
      </w:r>
    </w:p>
    <w:p>
      <w:pPr>
        <w:pStyle w:val="ListBullet"/>
        <w:spacing w:after="60"/>
      </w:pPr>
      <w:r>
        <w:t>Telephone numbers</w:t>
      </w:r>
    </w:p>
    <w:p>
      <w:pPr>
        <w:pStyle w:val="ListBullet"/>
        <w:spacing w:after="60"/>
      </w:pPr>
      <w:r>
        <w:t>Customer addresses</w:t>
      </w:r>
    </w:p>
    <w:p>
      <w:pPr>
        <w:pStyle w:val="ListBullet"/>
        <w:spacing w:after="60"/>
      </w:pPr>
      <w:r>
        <w:t>Tokenised payment details</w:t>
      </w:r>
    </w:p>
    <w:p>
      <w:pPr>
        <w:pStyle w:val="ListBullet"/>
        <w:spacing w:after="60"/>
      </w:pPr>
      <w:r>
        <w:t>Purchase history</w:t>
      </w:r>
    </w:p>
    <w:p>
      <w:pPr>
        <w:pStyle w:val="ListBullet"/>
        <w:spacing w:after="60"/>
      </w:pPr>
      <w:r>
        <w:t>Behavioural analytics</w:t>
      </w:r>
    </w:p>
    <w:p>
      <w:pPr>
        <w:pStyle w:val="ListBullet"/>
        <w:spacing w:after="60"/>
      </w:pPr>
      <w:r>
        <w:t>Loyalty data</w:t>
      </w:r>
    </w:p>
    <w:p>
      <w:pPr>
        <w:pStyle w:val="ListBullet"/>
        <w:spacing w:after="60"/>
      </w:pPr>
      <w:r>
        <w:t>Third-party system connections</w:t>
      </w:r>
    </w:p>
    <w:p>
      <w:pPr>
        <w:pStyle w:val="Heading2"/>
      </w:pPr>
      <w:r>
        <w:t>Threat</w:t>
      </w:r>
    </w:p>
    <w:p>
      <w:r>
        <w:rPr>
          <w:rFonts w:ascii="Aptos" w:hAnsi="Aptos"/>
          <w:b w:val="0"/>
          <w:sz w:val="22"/>
        </w:rPr>
        <w:t>Threats include cybercriminals targeting suppliers, compromised third-party systems, malicious insiders and security weaknesses within supplier environments.</w:t>
      </w:r>
    </w:p>
    <w:p>
      <w:pPr>
        <w:pStyle w:val="Heading2"/>
      </w:pPr>
      <w:r>
        <w:t>Vulnerability</w:t>
      </w:r>
    </w:p>
    <w:p>
      <w:r>
        <w:rPr>
          <w:rFonts w:ascii="Aptos" w:hAnsi="Aptos"/>
          <w:b w:val="0"/>
          <w:sz w:val="22"/>
        </w:rPr>
        <w:t>RetailNova depends on a number of third-party providers and exchanges information with external services. The previous marketing vendor data leak demonstrates that a supplier security failure can directly affect RetailNova customers.</w:t>
      </w:r>
    </w:p>
    <w:p>
      <w:pPr>
        <w:pStyle w:val="Heading2"/>
      </w:pPr>
      <w:r>
        <w:t>Existing Controls</w:t>
      </w:r>
    </w:p>
    <w:p>
      <w:pPr>
        <w:pStyle w:val="ListBullet"/>
        <w:spacing w:after="60"/>
      </w:pPr>
      <w:r>
        <w:t>Role-based access control</w:t>
      </w:r>
    </w:p>
    <w:p>
      <w:pPr>
        <w:pStyle w:val="ListBullet"/>
        <w:spacing w:after="60"/>
      </w:pPr>
      <w:r>
        <w:t>Firewalls</w:t>
      </w:r>
    </w:p>
    <w:p>
      <w:pPr>
        <w:pStyle w:val="ListBullet"/>
        <w:spacing w:after="60"/>
      </w:pPr>
      <w:r>
        <w:t>Antivirus</w:t>
      </w:r>
    </w:p>
    <w:p>
      <w:pPr>
        <w:pStyle w:val="ListBullet"/>
        <w:spacing w:after="60"/>
      </w:pPr>
      <w:r>
        <w:t>Access controls for business systems</w:t>
      </w:r>
    </w:p>
    <w:p>
      <w:pPr>
        <w:pStyle w:val="ListBullet"/>
        <w:spacing w:after="60"/>
      </w:pPr>
      <w:r>
        <w:t>Existing security controls around connected systems</w:t>
      </w:r>
    </w:p>
    <w:p>
      <w:pPr>
        <w:pStyle w:val="Heading2"/>
      </w:pPr>
      <w:r>
        <w:t>Inherent Risk Rating</w:t>
      </w:r>
    </w:p>
    <w:tbl>
      <w:tblPr>
        <w:tblStyle w:val="TableGrid"/>
        <w:tblW w:type="auto" w:w="0"/>
        <w:jc w:val="center"/>
        <w:tblLook w:firstColumn="1" w:firstRow="1" w:lastColumn="0" w:lastRow="0" w:noHBand="0" w:noVBand="1" w:val="04A0"/>
      </w:tblPr>
      <w:tblGrid>
        <w:gridCol w:w="4514"/>
        <w:gridCol w:w="4514"/>
      </w:tblGrid>
      <w:tr>
        <w:tc>
          <w:tcPr>
            <w:tcW w:type="dxa" w:w="4514"/>
            <w:vAlign w:val="center"/>
            <w:shd w:fill="D9EAF7"/>
          </w:tcPr>
          <w:p>
            <w:pPr>
              <w:spacing w:after="0"/>
            </w:pPr>
            <w:r/>
            <w:r>
              <w:rPr>
                <w:rFonts w:ascii="Aptos" w:hAnsi="Aptos"/>
                <w:b/>
                <w:sz w:val="20"/>
              </w:rPr>
              <w:t>Likelihood</w:t>
            </w:r>
          </w:p>
        </w:tc>
        <w:tc>
          <w:tcPr>
            <w:tcW w:type="dxa" w:w="4514"/>
            <w:vAlign w:val="center"/>
          </w:tcPr>
          <w:p>
            <w:pPr>
              <w:spacing w:after="0"/>
            </w:pPr>
            <w:r/>
            <w:r>
              <w:rPr>
                <w:rFonts w:ascii="Aptos" w:hAnsi="Aptos"/>
                <w:b w:val="0"/>
                <w:sz w:val="20"/>
              </w:rPr>
              <w:t>4 – Likely</w:t>
            </w:r>
          </w:p>
        </w:tc>
      </w:tr>
      <w:tr>
        <w:tc>
          <w:tcPr>
            <w:tcW w:type="dxa" w:w="4514"/>
            <w:vAlign w:val="center"/>
            <w:shd w:fill="D9EAF7"/>
          </w:tcPr>
          <w:p>
            <w:pPr>
              <w:spacing w:after="0"/>
            </w:pPr>
            <w:r/>
            <w:r>
              <w:rPr>
                <w:rFonts w:ascii="Aptos" w:hAnsi="Aptos"/>
                <w:b/>
                <w:sz w:val="20"/>
              </w:rPr>
              <w:t>Consequence</w:t>
            </w:r>
          </w:p>
        </w:tc>
        <w:tc>
          <w:tcPr>
            <w:tcW w:type="dxa" w:w="4514"/>
            <w:vAlign w:val="center"/>
          </w:tcPr>
          <w:p>
            <w:pPr>
              <w:spacing w:after="0"/>
            </w:pPr>
            <w:r/>
            <w:r>
              <w:rPr>
                <w:rFonts w:ascii="Aptos" w:hAnsi="Aptos"/>
                <w:b w:val="0"/>
                <w:sz w:val="20"/>
              </w:rPr>
              <w:t>4 – Major</w:t>
            </w:r>
          </w:p>
        </w:tc>
      </w:tr>
      <w:tr>
        <w:tc>
          <w:tcPr>
            <w:tcW w:type="dxa" w:w="4514"/>
            <w:vAlign w:val="center"/>
            <w:shd w:fill="D9EAF7"/>
          </w:tcPr>
          <w:p>
            <w:pPr>
              <w:spacing w:after="0"/>
            </w:pPr>
            <w:r/>
            <w:r>
              <w:rPr>
                <w:rFonts w:ascii="Aptos" w:hAnsi="Aptos"/>
                <w:b/>
                <w:sz w:val="20"/>
              </w:rPr>
              <w:t>Risk Rating</w:t>
            </w:r>
          </w:p>
        </w:tc>
        <w:tc>
          <w:tcPr>
            <w:tcW w:type="dxa" w:w="4514"/>
            <w:vAlign w:val="center"/>
          </w:tcPr>
          <w:p>
            <w:pPr>
              <w:spacing w:after="0"/>
            </w:pPr>
            <w:r/>
            <w:r>
              <w:rPr>
                <w:rFonts w:ascii="Aptos" w:hAnsi="Aptos"/>
                <w:b w:val="0"/>
                <w:sz w:val="20"/>
              </w:rPr>
              <w:t>High</w:t>
            </w:r>
          </w:p>
        </w:tc>
      </w:tr>
    </w:tbl>
    <w:p>
      <w:pPr>
        <w:pStyle w:val="Heading2"/>
      </w:pPr>
      <w:r>
        <w:t>Residual Risk Rating</w:t>
      </w:r>
    </w:p>
    <w:tbl>
      <w:tblPr>
        <w:tblStyle w:val="TableGrid"/>
        <w:tblW w:type="auto" w:w="0"/>
        <w:jc w:val="center"/>
        <w:tblLook w:firstColumn="1" w:firstRow="1" w:lastColumn="0" w:lastRow="0" w:noHBand="0" w:noVBand="1" w:val="04A0"/>
      </w:tblPr>
      <w:tblGrid>
        <w:gridCol w:w="4514"/>
        <w:gridCol w:w="4514"/>
      </w:tblGrid>
      <w:tr>
        <w:tc>
          <w:tcPr>
            <w:tcW w:type="dxa" w:w="4514"/>
            <w:vAlign w:val="center"/>
            <w:shd w:fill="D9EAF7"/>
          </w:tcPr>
          <w:p>
            <w:pPr>
              <w:spacing w:after="0"/>
            </w:pPr>
            <w:r/>
            <w:r>
              <w:rPr>
                <w:rFonts w:ascii="Aptos" w:hAnsi="Aptos"/>
                <w:b/>
                <w:sz w:val="20"/>
              </w:rPr>
              <w:t>Likelihood</w:t>
            </w:r>
          </w:p>
        </w:tc>
        <w:tc>
          <w:tcPr>
            <w:tcW w:type="dxa" w:w="4514"/>
            <w:vAlign w:val="center"/>
          </w:tcPr>
          <w:p>
            <w:pPr>
              <w:spacing w:after="0"/>
            </w:pPr>
            <w:r/>
            <w:r>
              <w:rPr>
                <w:rFonts w:ascii="Aptos" w:hAnsi="Aptos"/>
                <w:b w:val="0"/>
                <w:sz w:val="20"/>
              </w:rPr>
              <w:t>3 – Possible</w:t>
            </w:r>
          </w:p>
        </w:tc>
      </w:tr>
      <w:tr>
        <w:tc>
          <w:tcPr>
            <w:tcW w:type="dxa" w:w="4514"/>
            <w:vAlign w:val="center"/>
            <w:shd w:fill="D9EAF7"/>
          </w:tcPr>
          <w:p>
            <w:pPr>
              <w:spacing w:after="0"/>
            </w:pPr>
            <w:r/>
            <w:r>
              <w:rPr>
                <w:rFonts w:ascii="Aptos" w:hAnsi="Aptos"/>
                <w:b/>
                <w:sz w:val="20"/>
              </w:rPr>
              <w:t>Consequence</w:t>
            </w:r>
          </w:p>
        </w:tc>
        <w:tc>
          <w:tcPr>
            <w:tcW w:type="dxa" w:w="4514"/>
            <w:vAlign w:val="center"/>
          </w:tcPr>
          <w:p>
            <w:pPr>
              <w:spacing w:after="0"/>
            </w:pPr>
            <w:r/>
            <w:r>
              <w:rPr>
                <w:rFonts w:ascii="Aptos" w:hAnsi="Aptos"/>
                <w:b w:val="0"/>
                <w:sz w:val="20"/>
              </w:rPr>
              <w:t>4 – Major</w:t>
            </w:r>
          </w:p>
        </w:tc>
      </w:tr>
      <w:tr>
        <w:tc>
          <w:tcPr>
            <w:tcW w:type="dxa" w:w="4514"/>
            <w:vAlign w:val="center"/>
            <w:shd w:fill="D9EAF7"/>
          </w:tcPr>
          <w:p>
            <w:pPr>
              <w:spacing w:after="0"/>
            </w:pPr>
            <w:r/>
            <w:r>
              <w:rPr>
                <w:rFonts w:ascii="Aptos" w:hAnsi="Aptos"/>
                <w:b/>
                <w:sz w:val="20"/>
              </w:rPr>
              <w:t>Risk Rating</w:t>
            </w:r>
          </w:p>
        </w:tc>
        <w:tc>
          <w:tcPr>
            <w:tcW w:type="dxa" w:w="4514"/>
            <w:vAlign w:val="center"/>
          </w:tcPr>
          <w:p>
            <w:pPr>
              <w:spacing w:after="0"/>
            </w:pPr>
            <w:r/>
            <w:r>
              <w:rPr>
                <w:rFonts w:ascii="Aptos" w:hAnsi="Aptos"/>
                <w:b w:val="0"/>
                <w:sz w:val="20"/>
              </w:rPr>
              <w:t>High</w:t>
            </w:r>
          </w:p>
        </w:tc>
      </w:tr>
    </w:tbl>
    <w:p>
      <w:pPr>
        <w:pStyle w:val="Heading2"/>
      </w:pPr>
      <w:r>
        <w:t>Mitigations</w:t>
      </w:r>
    </w:p>
    <w:p>
      <w:pPr>
        <w:pStyle w:val="ListBullet"/>
        <w:spacing w:after="60"/>
      </w:pPr>
      <w:r>
        <w:t>Carry out security assessments of important third-party suppliers.</w:t>
      </w:r>
    </w:p>
    <w:p>
      <w:pPr>
        <w:pStyle w:val="ListBullet"/>
        <w:spacing w:after="60"/>
      </w:pPr>
      <w:r>
        <w:t>Classify suppliers according to the level of risk they present.</w:t>
      </w:r>
    </w:p>
    <w:p>
      <w:pPr>
        <w:pStyle w:val="ListBullet"/>
        <w:spacing w:after="60"/>
      </w:pPr>
      <w:r>
        <w:t>Review the access provided to third-party organisations.</w:t>
      </w:r>
    </w:p>
    <w:p>
      <w:pPr>
        <w:pStyle w:val="ListBullet"/>
        <w:spacing w:after="60"/>
      </w:pPr>
      <w:r>
        <w:t>Include security requirements in supplier agreements.</w:t>
      </w:r>
    </w:p>
    <w:p>
      <w:pPr>
        <w:pStyle w:val="ListBullet"/>
        <w:spacing w:after="60"/>
      </w:pPr>
      <w:r>
        <w:t>Require suppliers to report security incidents within an agreed timeframe.</w:t>
      </w:r>
    </w:p>
    <w:p>
      <w:pPr>
        <w:pStyle w:val="ListBullet"/>
        <w:spacing w:after="60"/>
      </w:pPr>
      <w:r>
        <w:t>Review third-party access regularly.</w:t>
      </w:r>
    </w:p>
    <w:p>
      <w:pPr>
        <w:pStyle w:val="ListBullet"/>
        <w:spacing w:after="60"/>
      </w:pPr>
      <w:r>
        <w:t>Conduct assurance reviews for suppliers handling sensitive customer information.</w:t>
      </w:r>
    </w:p>
    <w:p>
      <w:pPr>
        <w:pStyle w:val="Heading2"/>
      </w:pPr>
      <w:r>
        <w:t>Monitoring</w:t>
      </w:r>
    </w:p>
    <w:p>
      <w:r>
        <w:rPr>
          <w:rFonts w:ascii="Aptos" w:hAnsi="Aptos"/>
          <w:b w:val="0"/>
          <w:sz w:val="22"/>
        </w:rPr>
        <w:t>Supplier security assessments, third-party incidents, access reviews, supplier compliance and breach notifications.</w:t>
      </w:r>
    </w:p>
    <w:p>
      <w:pPr>
        <w:pStyle w:val="Heading2"/>
      </w:pPr>
      <w:r>
        <w:t>Risk Owner</w:t>
      </w:r>
    </w:p>
    <w:p>
      <w:r>
        <w:rPr>
          <w:rFonts w:ascii="Aptos" w:hAnsi="Aptos"/>
          <w:b w:val="0"/>
          <w:sz w:val="22"/>
        </w:rPr>
        <w:t>Third-Party Risk Manager</w:t>
      </w:r>
    </w:p>
    <w:p>
      <w:pPr>
        <w:pStyle w:val="Heading1"/>
      </w:pPr>
      <w:r>
        <w:t>4.3 Risk RN-R03 – Disruption to E-Commerce and Payment Services</w:t>
      </w:r>
    </w:p>
    <w:p>
      <w:r>
        <w:rPr>
          <w:rFonts w:ascii="Aptos" w:hAnsi="Aptos"/>
          <w:b w:val="0"/>
          <w:sz w:val="22"/>
        </w:rPr>
        <w:t>Date Identified: 5 October 2026</w:t>
      </w:r>
    </w:p>
    <w:p>
      <w:r>
        <w:rPr>
          <w:rFonts w:ascii="Aptos" w:hAnsi="Aptos"/>
          <w:b w:val="0"/>
          <w:sz w:val="22"/>
        </w:rPr>
        <w:t>Review Date: 5 January 2027</w:t>
      </w:r>
    </w:p>
    <w:p>
      <w:pPr>
        <w:pStyle w:val="Heading2"/>
      </w:pPr>
      <w:r>
        <w:t>Risk Description</w:t>
      </w:r>
    </w:p>
    <w:p>
      <w:r>
        <w:rPr>
          <w:rFonts w:ascii="Aptos" w:hAnsi="Aptos"/>
          <w:b w:val="0"/>
          <w:sz w:val="22"/>
        </w:rPr>
        <w:t>A cyberattack, technical failure or service disruption could affect RetailNova's e-commerce website, mobile application, AWS environment or payment services. If these services become unavailable, customers may be unable to complete purchases and the company could experience disruption to its normal revenue operations. The previous ransomware attempt in 2024, which caused two hours of downtime, demonstrates that a security incident can affect business availability.</w:t>
      </w:r>
    </w:p>
    <w:p>
      <w:pPr>
        <w:pStyle w:val="Heading2"/>
      </w:pPr>
      <w:r>
        <w:t>Assets at Risk</w:t>
      </w:r>
    </w:p>
    <w:p>
      <w:pPr>
        <w:pStyle w:val="ListBullet"/>
        <w:spacing w:after="60"/>
      </w:pPr>
      <w:r>
        <w:t>E-commerce website</w:t>
      </w:r>
    </w:p>
    <w:p>
      <w:pPr>
        <w:pStyle w:val="ListBullet"/>
        <w:spacing w:after="60"/>
      </w:pPr>
      <w:r>
        <w:t>Mobile application</w:t>
      </w:r>
    </w:p>
    <w:p>
      <w:pPr>
        <w:pStyle w:val="ListBullet"/>
        <w:spacing w:after="60"/>
      </w:pPr>
      <w:r>
        <w:t>AWS hosting environment</w:t>
      </w:r>
    </w:p>
    <w:p>
      <w:pPr>
        <w:pStyle w:val="ListBullet"/>
        <w:spacing w:after="60"/>
      </w:pPr>
      <w:r>
        <w:t>PayPal integration</w:t>
      </w:r>
    </w:p>
    <w:p>
      <w:pPr>
        <w:pStyle w:val="ListBullet"/>
        <w:spacing w:after="60"/>
      </w:pPr>
      <w:r>
        <w:t>Afterpay integration</w:t>
      </w:r>
    </w:p>
    <w:p>
      <w:pPr>
        <w:pStyle w:val="ListBullet"/>
        <w:spacing w:after="60"/>
      </w:pPr>
      <w:r>
        <w:t>Customer transactions</w:t>
      </w:r>
    </w:p>
    <w:p>
      <w:pPr>
        <w:pStyle w:val="ListBullet"/>
        <w:spacing w:after="60"/>
      </w:pPr>
      <w:r>
        <w:t>Online sales</w:t>
      </w:r>
    </w:p>
    <w:p>
      <w:pPr>
        <w:pStyle w:val="ListBullet"/>
        <w:spacing w:after="60"/>
      </w:pPr>
      <w:r>
        <w:t>Business operations</w:t>
      </w:r>
    </w:p>
    <w:p>
      <w:pPr>
        <w:pStyle w:val="Heading2"/>
      </w:pPr>
      <w:r>
        <w:t>Threat</w:t>
      </w:r>
    </w:p>
    <w:p>
      <w:r>
        <w:rPr>
          <w:rFonts w:ascii="Aptos" w:hAnsi="Aptos"/>
          <w:b w:val="0"/>
          <w:sz w:val="22"/>
        </w:rPr>
        <w:t>Potential threats include cybercriminals, ransomware operators, denial-of-service attackers, malicious actors and technical or service failures affecting connected systems.</w:t>
      </w:r>
    </w:p>
    <w:p>
      <w:pPr>
        <w:pStyle w:val="Heading2"/>
      </w:pPr>
      <w:r>
        <w:t>Vulnerability</w:t>
      </w:r>
    </w:p>
    <w:p>
      <w:r>
        <w:rPr>
          <w:rFonts w:ascii="Aptos" w:hAnsi="Aptos"/>
          <w:b w:val="0"/>
          <w:sz w:val="22"/>
        </w:rPr>
        <w:t>RetailNova relies heavily on online services, cloud infrastructure and external payment services. A disruption to any important part of this environment could affect customers and business operations.</w:t>
      </w:r>
    </w:p>
    <w:p>
      <w:pPr>
        <w:pStyle w:val="Heading2"/>
      </w:pPr>
      <w:r>
        <w:t>Existing Controls</w:t>
      </w:r>
    </w:p>
    <w:p>
      <w:pPr>
        <w:pStyle w:val="ListBullet"/>
        <w:spacing w:after="60"/>
      </w:pPr>
      <w:r>
        <w:t>Firewalls</w:t>
      </w:r>
    </w:p>
    <w:p>
      <w:pPr>
        <w:pStyle w:val="ListBullet"/>
        <w:spacing w:after="60"/>
      </w:pPr>
      <w:r>
        <w:t>Antivirus</w:t>
      </w:r>
    </w:p>
    <w:p>
      <w:pPr>
        <w:pStyle w:val="ListBullet"/>
        <w:spacing w:after="60"/>
      </w:pPr>
      <w:r>
        <w:t>Endpoint protection</w:t>
      </w:r>
    </w:p>
    <w:p>
      <w:pPr>
        <w:pStyle w:val="ListBullet"/>
        <w:spacing w:after="60"/>
      </w:pPr>
      <w:r>
        <w:t>AWS cloud hosting</w:t>
      </w:r>
    </w:p>
    <w:p>
      <w:pPr>
        <w:pStyle w:val="ListBullet"/>
        <w:spacing w:after="60"/>
      </w:pPr>
      <w:r>
        <w:t>Existing security controls around business systems</w:t>
      </w:r>
    </w:p>
    <w:p>
      <w:pPr>
        <w:pStyle w:val="Heading2"/>
      </w:pPr>
      <w:r>
        <w:t>Inherent Risk Rating</w:t>
      </w:r>
    </w:p>
    <w:tbl>
      <w:tblPr>
        <w:tblStyle w:val="TableGrid"/>
        <w:tblW w:type="auto" w:w="0"/>
        <w:jc w:val="center"/>
        <w:tblLook w:firstColumn="1" w:firstRow="1" w:lastColumn="0" w:lastRow="0" w:noHBand="0" w:noVBand="1" w:val="04A0"/>
      </w:tblPr>
      <w:tblGrid>
        <w:gridCol w:w="4514"/>
        <w:gridCol w:w="4514"/>
      </w:tblGrid>
      <w:tr>
        <w:tc>
          <w:tcPr>
            <w:tcW w:type="dxa" w:w="4514"/>
            <w:vAlign w:val="center"/>
            <w:shd w:fill="D9EAF7"/>
          </w:tcPr>
          <w:p>
            <w:pPr>
              <w:spacing w:after="0"/>
            </w:pPr>
            <w:r/>
            <w:r>
              <w:rPr>
                <w:rFonts w:ascii="Aptos" w:hAnsi="Aptos"/>
                <w:b/>
                <w:sz w:val="20"/>
              </w:rPr>
              <w:t>Likelihood</w:t>
            </w:r>
          </w:p>
        </w:tc>
        <w:tc>
          <w:tcPr>
            <w:tcW w:type="dxa" w:w="4514"/>
            <w:vAlign w:val="center"/>
          </w:tcPr>
          <w:p>
            <w:pPr>
              <w:spacing w:after="0"/>
            </w:pPr>
            <w:r/>
            <w:r>
              <w:rPr>
                <w:rFonts w:ascii="Aptos" w:hAnsi="Aptos"/>
                <w:b w:val="0"/>
                <w:sz w:val="20"/>
              </w:rPr>
              <w:t>3 – Possible</w:t>
            </w:r>
          </w:p>
        </w:tc>
      </w:tr>
      <w:tr>
        <w:tc>
          <w:tcPr>
            <w:tcW w:type="dxa" w:w="4514"/>
            <w:vAlign w:val="center"/>
            <w:shd w:fill="D9EAF7"/>
          </w:tcPr>
          <w:p>
            <w:pPr>
              <w:spacing w:after="0"/>
            </w:pPr>
            <w:r/>
            <w:r>
              <w:rPr>
                <w:rFonts w:ascii="Aptos" w:hAnsi="Aptos"/>
                <w:b/>
                <w:sz w:val="20"/>
              </w:rPr>
              <w:t>Consequence</w:t>
            </w:r>
          </w:p>
        </w:tc>
        <w:tc>
          <w:tcPr>
            <w:tcW w:type="dxa" w:w="4514"/>
            <w:vAlign w:val="center"/>
          </w:tcPr>
          <w:p>
            <w:pPr>
              <w:spacing w:after="0"/>
            </w:pPr>
            <w:r/>
            <w:r>
              <w:rPr>
                <w:rFonts w:ascii="Aptos" w:hAnsi="Aptos"/>
                <w:b w:val="0"/>
                <w:sz w:val="20"/>
              </w:rPr>
              <w:t>5 – Extreme</w:t>
            </w:r>
          </w:p>
        </w:tc>
      </w:tr>
      <w:tr>
        <w:tc>
          <w:tcPr>
            <w:tcW w:type="dxa" w:w="4514"/>
            <w:vAlign w:val="center"/>
            <w:shd w:fill="D9EAF7"/>
          </w:tcPr>
          <w:p>
            <w:pPr>
              <w:spacing w:after="0"/>
            </w:pPr>
            <w:r/>
            <w:r>
              <w:rPr>
                <w:rFonts w:ascii="Aptos" w:hAnsi="Aptos"/>
                <w:b/>
                <w:sz w:val="20"/>
              </w:rPr>
              <w:t>Risk Rating</w:t>
            </w:r>
          </w:p>
        </w:tc>
        <w:tc>
          <w:tcPr>
            <w:tcW w:type="dxa" w:w="4514"/>
            <w:vAlign w:val="center"/>
          </w:tcPr>
          <w:p>
            <w:pPr>
              <w:spacing w:after="0"/>
            </w:pPr>
            <w:r/>
            <w:r>
              <w:rPr>
                <w:rFonts w:ascii="Aptos" w:hAnsi="Aptos"/>
                <w:b w:val="0"/>
                <w:sz w:val="20"/>
              </w:rPr>
              <w:t>High</w:t>
            </w:r>
          </w:p>
        </w:tc>
      </w:tr>
    </w:tbl>
    <w:p>
      <w:pPr>
        <w:pStyle w:val="Heading2"/>
      </w:pPr>
      <w:r>
        <w:t>Residual Risk Rating</w:t>
      </w:r>
    </w:p>
    <w:tbl>
      <w:tblPr>
        <w:tblStyle w:val="TableGrid"/>
        <w:tblW w:type="auto" w:w="0"/>
        <w:jc w:val="center"/>
        <w:tblLook w:firstColumn="1" w:firstRow="1" w:lastColumn="0" w:lastRow="0" w:noHBand="0" w:noVBand="1" w:val="04A0"/>
      </w:tblPr>
      <w:tblGrid>
        <w:gridCol w:w="4514"/>
        <w:gridCol w:w="4514"/>
      </w:tblGrid>
      <w:tr>
        <w:tc>
          <w:tcPr>
            <w:tcW w:type="dxa" w:w="4514"/>
            <w:vAlign w:val="center"/>
            <w:shd w:fill="D9EAF7"/>
          </w:tcPr>
          <w:p>
            <w:pPr>
              <w:spacing w:after="0"/>
            </w:pPr>
            <w:r/>
            <w:r>
              <w:rPr>
                <w:rFonts w:ascii="Aptos" w:hAnsi="Aptos"/>
                <w:b/>
                <w:sz w:val="20"/>
              </w:rPr>
              <w:t>Likelihood</w:t>
            </w:r>
          </w:p>
        </w:tc>
        <w:tc>
          <w:tcPr>
            <w:tcW w:type="dxa" w:w="4514"/>
            <w:vAlign w:val="center"/>
          </w:tcPr>
          <w:p>
            <w:pPr>
              <w:spacing w:after="0"/>
            </w:pPr>
            <w:r/>
            <w:r>
              <w:rPr>
                <w:rFonts w:ascii="Aptos" w:hAnsi="Aptos"/>
                <w:b w:val="0"/>
                <w:sz w:val="20"/>
              </w:rPr>
              <w:t>3 – Possible</w:t>
            </w:r>
          </w:p>
        </w:tc>
      </w:tr>
      <w:tr>
        <w:tc>
          <w:tcPr>
            <w:tcW w:type="dxa" w:w="4514"/>
            <w:vAlign w:val="center"/>
            <w:shd w:fill="D9EAF7"/>
          </w:tcPr>
          <w:p>
            <w:pPr>
              <w:spacing w:after="0"/>
            </w:pPr>
            <w:r/>
            <w:r>
              <w:rPr>
                <w:rFonts w:ascii="Aptos" w:hAnsi="Aptos"/>
                <w:b/>
                <w:sz w:val="20"/>
              </w:rPr>
              <w:t>Consequence</w:t>
            </w:r>
          </w:p>
        </w:tc>
        <w:tc>
          <w:tcPr>
            <w:tcW w:type="dxa" w:w="4514"/>
            <w:vAlign w:val="center"/>
          </w:tcPr>
          <w:p>
            <w:pPr>
              <w:spacing w:after="0"/>
            </w:pPr>
            <w:r/>
            <w:r>
              <w:rPr>
                <w:rFonts w:ascii="Aptos" w:hAnsi="Aptos"/>
                <w:b w:val="0"/>
                <w:sz w:val="20"/>
              </w:rPr>
              <w:t>4 – Major</w:t>
            </w:r>
          </w:p>
        </w:tc>
      </w:tr>
      <w:tr>
        <w:tc>
          <w:tcPr>
            <w:tcW w:type="dxa" w:w="4514"/>
            <w:vAlign w:val="center"/>
            <w:shd w:fill="D9EAF7"/>
          </w:tcPr>
          <w:p>
            <w:pPr>
              <w:spacing w:after="0"/>
            </w:pPr>
            <w:r/>
            <w:r>
              <w:rPr>
                <w:rFonts w:ascii="Aptos" w:hAnsi="Aptos"/>
                <w:b/>
                <w:sz w:val="20"/>
              </w:rPr>
              <w:t>Risk Rating</w:t>
            </w:r>
          </w:p>
        </w:tc>
        <w:tc>
          <w:tcPr>
            <w:tcW w:type="dxa" w:w="4514"/>
            <w:vAlign w:val="center"/>
          </w:tcPr>
          <w:p>
            <w:pPr>
              <w:spacing w:after="0"/>
            </w:pPr>
            <w:r/>
            <w:r>
              <w:rPr>
                <w:rFonts w:ascii="Aptos" w:hAnsi="Aptos"/>
                <w:b w:val="0"/>
                <w:sz w:val="20"/>
              </w:rPr>
              <w:t>High</w:t>
            </w:r>
          </w:p>
        </w:tc>
      </w:tr>
    </w:tbl>
    <w:p>
      <w:pPr>
        <w:pStyle w:val="Heading2"/>
      </w:pPr>
      <w:r>
        <w:t>Mitigations</w:t>
      </w:r>
    </w:p>
    <w:p>
      <w:pPr>
        <w:pStyle w:val="ListBullet"/>
        <w:spacing w:after="60"/>
      </w:pPr>
      <w:r>
        <w:t>Implement continuous monitoring of important online services.</w:t>
      </w:r>
    </w:p>
    <w:p>
      <w:pPr>
        <w:pStyle w:val="ListBullet"/>
        <w:spacing w:after="60"/>
      </w:pPr>
      <w:r>
        <w:t>Maintain tested backup and recovery procedures.</w:t>
      </w:r>
    </w:p>
    <w:p>
      <w:pPr>
        <w:pStyle w:val="ListBullet"/>
        <w:spacing w:after="60"/>
      </w:pPr>
      <w:r>
        <w:t>Test business continuity and disaster recovery arrangements.</w:t>
      </w:r>
    </w:p>
    <w:p>
      <w:pPr>
        <w:pStyle w:val="ListBullet"/>
        <w:spacing w:after="60"/>
      </w:pPr>
      <w:r>
        <w:t>Monitor AWS services and important application components.</w:t>
      </w:r>
    </w:p>
    <w:p>
      <w:pPr>
        <w:pStyle w:val="ListBullet"/>
        <w:spacing w:after="60"/>
      </w:pPr>
      <w:r>
        <w:t>Conduct regular application security testing.</w:t>
      </w:r>
    </w:p>
    <w:p>
      <w:pPr>
        <w:pStyle w:val="ListBullet"/>
        <w:spacing w:after="60"/>
      </w:pPr>
      <w:r>
        <w:t>Monitor payment service availability.</w:t>
      </w:r>
    </w:p>
    <w:p>
      <w:pPr>
        <w:pStyle w:val="ListBullet"/>
        <w:spacing w:after="60"/>
      </w:pPr>
      <w:r>
        <w:t>Maintain an incident response process for e-commerce and payment disruptions.</w:t>
      </w:r>
    </w:p>
    <w:p>
      <w:pPr>
        <w:pStyle w:val="ListBullet"/>
        <w:spacing w:after="60"/>
      </w:pPr>
      <w:r>
        <w:t>Review recovery procedures after major incidents.</w:t>
      </w:r>
    </w:p>
    <w:p>
      <w:pPr>
        <w:pStyle w:val="Heading2"/>
      </w:pPr>
      <w:r>
        <w:t>Monitoring</w:t>
      </w:r>
    </w:p>
    <w:p>
      <w:r>
        <w:rPr>
          <w:rFonts w:ascii="Aptos" w:hAnsi="Aptos"/>
          <w:b w:val="0"/>
          <w:sz w:val="22"/>
        </w:rPr>
        <w:t>Website and mobile application availability, AWS alerts, payment service incidents, endpoint security alerts, security testing results and recovery test results.</w:t>
      </w:r>
    </w:p>
    <w:p>
      <w:pPr>
        <w:pStyle w:val="Heading2"/>
      </w:pPr>
      <w:r>
        <w:t>Risk Owner</w:t>
      </w:r>
    </w:p>
    <w:p>
      <w:r>
        <w:rPr>
          <w:rFonts w:ascii="Aptos" w:hAnsi="Aptos"/>
          <w:b w:val="0"/>
          <w:sz w:val="22"/>
        </w:rPr>
        <w:t>Chief Technology Officer</w:t>
      </w:r>
    </w:p>
    <w:p>
      <w:pPr>
        <w:pStyle w:val="Heading1"/>
      </w:pPr>
      <w:r>
        <w:t>4.4 Risk RN-R04 – Security Risk from Employee-Owned Devices</w:t>
      </w:r>
    </w:p>
    <w:p>
      <w:r>
        <w:rPr>
          <w:rFonts w:ascii="Aptos" w:hAnsi="Aptos"/>
          <w:b w:val="0"/>
          <w:sz w:val="22"/>
        </w:rPr>
        <w:t>Date Identified: 5 October 2026</w:t>
      </w:r>
    </w:p>
    <w:p>
      <w:r>
        <w:rPr>
          <w:rFonts w:ascii="Aptos" w:hAnsi="Aptos"/>
          <w:b w:val="0"/>
          <w:sz w:val="22"/>
        </w:rPr>
        <w:t>Review Date: 5 January 2027</w:t>
      </w:r>
    </w:p>
    <w:p>
      <w:pPr>
        <w:pStyle w:val="Heading2"/>
      </w:pPr>
      <w:r>
        <w:t>Risk Description</w:t>
      </w:r>
    </w:p>
    <w:p>
      <w:r>
        <w:rPr>
          <w:rFonts w:ascii="Aptos" w:hAnsi="Aptos"/>
          <w:b w:val="0"/>
          <w:sz w:val="22"/>
        </w:rPr>
        <w:t>RetailNova allows corporate employees to use their own devices for business activities. If an employee-owned device becomes infected with malware or is not properly secured, an attacker may use the device or stolen credentials to access company systems through remote services such as the VPN.</w:t>
      </w:r>
    </w:p>
    <w:p>
      <w:pPr>
        <w:pStyle w:val="Heading2"/>
      </w:pPr>
      <w:r>
        <w:t>Assets at Risk</w:t>
      </w:r>
    </w:p>
    <w:p>
      <w:pPr>
        <w:pStyle w:val="ListBullet"/>
        <w:spacing w:after="60"/>
      </w:pPr>
      <w:r>
        <w:t>VPN access</w:t>
      </w:r>
    </w:p>
    <w:p>
      <w:pPr>
        <w:pStyle w:val="ListBullet"/>
        <w:spacing w:after="60"/>
      </w:pPr>
      <w:r>
        <w:t>Corporate applications</w:t>
      </w:r>
    </w:p>
    <w:p>
      <w:pPr>
        <w:pStyle w:val="ListBullet"/>
        <w:spacing w:after="60"/>
      </w:pPr>
      <w:r>
        <w:t>Microsoft Teams</w:t>
      </w:r>
    </w:p>
    <w:p>
      <w:pPr>
        <w:pStyle w:val="ListBullet"/>
        <w:spacing w:after="60"/>
      </w:pPr>
      <w:r>
        <w:t>Slack</w:t>
      </w:r>
    </w:p>
    <w:p>
      <w:pPr>
        <w:pStyle w:val="ListBullet"/>
        <w:spacing w:after="60"/>
      </w:pPr>
      <w:r>
        <w:t>Salesforce</w:t>
      </w:r>
    </w:p>
    <w:p>
      <w:pPr>
        <w:pStyle w:val="ListBullet"/>
        <w:spacing w:after="60"/>
      </w:pPr>
      <w:r>
        <w:t>SAP ERP</w:t>
      </w:r>
    </w:p>
    <w:p>
      <w:pPr>
        <w:pStyle w:val="ListBullet"/>
        <w:spacing w:after="60"/>
      </w:pPr>
      <w:r>
        <w:t>Internal business information</w:t>
      </w:r>
    </w:p>
    <w:p>
      <w:pPr>
        <w:pStyle w:val="ListBullet"/>
        <w:spacing w:after="60"/>
      </w:pPr>
      <w:r>
        <w:t>Employee accounts</w:t>
      </w:r>
    </w:p>
    <w:p>
      <w:pPr>
        <w:pStyle w:val="Heading2"/>
      </w:pPr>
      <w:r>
        <w:t>Threat</w:t>
      </w:r>
    </w:p>
    <w:p>
      <w:r>
        <w:rPr>
          <w:rFonts w:ascii="Aptos" w:hAnsi="Aptos"/>
          <w:b w:val="0"/>
          <w:sz w:val="22"/>
        </w:rPr>
        <w:t>Possible threats include malware operators, credential thieves and attackers targeting employee devices used for remote work.</w:t>
      </w:r>
    </w:p>
    <w:p>
      <w:pPr>
        <w:pStyle w:val="Heading2"/>
      </w:pPr>
      <w:r>
        <w:t>Vulnerability</w:t>
      </w:r>
    </w:p>
    <w:p>
      <w:r>
        <w:rPr>
          <w:rFonts w:ascii="Aptos" w:hAnsi="Aptos"/>
          <w:b w:val="0"/>
          <w:sz w:val="22"/>
        </w:rPr>
        <w:t>Employee-owned devices are not directly controlled in the same way as company-managed equipment. Devices may have different security settings, patch levels and protection depending on the individual user.</w:t>
      </w:r>
    </w:p>
    <w:p>
      <w:pPr>
        <w:pStyle w:val="Heading2"/>
      </w:pPr>
      <w:r>
        <w:t>Existing Controls</w:t>
      </w:r>
    </w:p>
    <w:p>
      <w:pPr>
        <w:pStyle w:val="ListBullet"/>
        <w:spacing w:after="60"/>
      </w:pPr>
      <w:r>
        <w:t>Role-based access control</w:t>
      </w:r>
    </w:p>
    <w:p>
      <w:pPr>
        <w:pStyle w:val="ListBullet"/>
        <w:spacing w:after="60"/>
      </w:pPr>
      <w:r>
        <w:t>VPN</w:t>
      </w:r>
    </w:p>
    <w:p>
      <w:pPr>
        <w:pStyle w:val="ListBullet"/>
        <w:spacing w:after="60"/>
      </w:pPr>
      <w:r>
        <w:t>Antivirus</w:t>
      </w:r>
    </w:p>
    <w:p>
      <w:pPr>
        <w:pStyle w:val="ListBullet"/>
        <w:spacing w:after="60"/>
      </w:pPr>
      <w:r>
        <w:t>Security awareness training</w:t>
      </w:r>
    </w:p>
    <w:p>
      <w:pPr>
        <w:pStyle w:val="Heading2"/>
      </w:pPr>
      <w:r>
        <w:t>Inherent Risk Rating</w:t>
      </w:r>
    </w:p>
    <w:tbl>
      <w:tblPr>
        <w:tblStyle w:val="TableGrid"/>
        <w:tblW w:type="auto" w:w="0"/>
        <w:jc w:val="center"/>
        <w:tblLook w:firstColumn="1" w:firstRow="1" w:lastColumn="0" w:lastRow="0" w:noHBand="0" w:noVBand="1" w:val="04A0"/>
      </w:tblPr>
      <w:tblGrid>
        <w:gridCol w:w="4514"/>
        <w:gridCol w:w="4514"/>
      </w:tblGrid>
      <w:tr>
        <w:tc>
          <w:tcPr>
            <w:tcW w:type="dxa" w:w="4514"/>
            <w:vAlign w:val="center"/>
            <w:shd w:fill="D9EAF7"/>
          </w:tcPr>
          <w:p>
            <w:pPr>
              <w:spacing w:after="0"/>
            </w:pPr>
            <w:r/>
            <w:r>
              <w:rPr>
                <w:rFonts w:ascii="Aptos" w:hAnsi="Aptos"/>
                <w:b/>
                <w:sz w:val="20"/>
              </w:rPr>
              <w:t>Likelihood</w:t>
            </w:r>
          </w:p>
        </w:tc>
        <w:tc>
          <w:tcPr>
            <w:tcW w:type="dxa" w:w="4514"/>
            <w:vAlign w:val="center"/>
          </w:tcPr>
          <w:p>
            <w:pPr>
              <w:spacing w:after="0"/>
            </w:pPr>
            <w:r/>
            <w:r>
              <w:rPr>
                <w:rFonts w:ascii="Aptos" w:hAnsi="Aptos"/>
                <w:b w:val="0"/>
                <w:sz w:val="20"/>
              </w:rPr>
              <w:t>3 – Possible</w:t>
            </w:r>
          </w:p>
        </w:tc>
      </w:tr>
      <w:tr>
        <w:tc>
          <w:tcPr>
            <w:tcW w:type="dxa" w:w="4514"/>
            <w:vAlign w:val="center"/>
            <w:shd w:fill="D9EAF7"/>
          </w:tcPr>
          <w:p>
            <w:pPr>
              <w:spacing w:after="0"/>
            </w:pPr>
            <w:r/>
            <w:r>
              <w:rPr>
                <w:rFonts w:ascii="Aptos" w:hAnsi="Aptos"/>
                <w:b/>
                <w:sz w:val="20"/>
              </w:rPr>
              <w:t>Consequence</w:t>
            </w:r>
          </w:p>
        </w:tc>
        <w:tc>
          <w:tcPr>
            <w:tcW w:type="dxa" w:w="4514"/>
            <w:vAlign w:val="center"/>
          </w:tcPr>
          <w:p>
            <w:pPr>
              <w:spacing w:after="0"/>
            </w:pPr>
            <w:r/>
            <w:r>
              <w:rPr>
                <w:rFonts w:ascii="Aptos" w:hAnsi="Aptos"/>
                <w:b w:val="0"/>
                <w:sz w:val="20"/>
              </w:rPr>
              <w:t>4 – Major</w:t>
            </w:r>
          </w:p>
        </w:tc>
      </w:tr>
      <w:tr>
        <w:tc>
          <w:tcPr>
            <w:tcW w:type="dxa" w:w="4514"/>
            <w:vAlign w:val="center"/>
            <w:shd w:fill="D9EAF7"/>
          </w:tcPr>
          <w:p>
            <w:pPr>
              <w:spacing w:after="0"/>
            </w:pPr>
            <w:r/>
            <w:r>
              <w:rPr>
                <w:rFonts w:ascii="Aptos" w:hAnsi="Aptos"/>
                <w:b/>
                <w:sz w:val="20"/>
              </w:rPr>
              <w:t>Risk Rating</w:t>
            </w:r>
          </w:p>
        </w:tc>
        <w:tc>
          <w:tcPr>
            <w:tcW w:type="dxa" w:w="4514"/>
            <w:vAlign w:val="center"/>
          </w:tcPr>
          <w:p>
            <w:pPr>
              <w:spacing w:after="0"/>
            </w:pPr>
            <w:r/>
            <w:r>
              <w:rPr>
                <w:rFonts w:ascii="Aptos" w:hAnsi="Aptos"/>
                <w:b w:val="0"/>
                <w:sz w:val="20"/>
              </w:rPr>
              <w:t>High</w:t>
            </w:r>
          </w:p>
        </w:tc>
      </w:tr>
    </w:tbl>
    <w:p>
      <w:pPr>
        <w:pStyle w:val="Heading2"/>
      </w:pPr>
      <w:r>
        <w:t>Residual Risk Rating</w:t>
      </w:r>
    </w:p>
    <w:tbl>
      <w:tblPr>
        <w:tblStyle w:val="TableGrid"/>
        <w:tblW w:type="auto" w:w="0"/>
        <w:jc w:val="center"/>
        <w:tblLook w:firstColumn="1" w:firstRow="1" w:lastColumn="0" w:lastRow="0" w:noHBand="0" w:noVBand="1" w:val="04A0"/>
      </w:tblPr>
      <w:tblGrid>
        <w:gridCol w:w="4514"/>
        <w:gridCol w:w="4514"/>
      </w:tblGrid>
      <w:tr>
        <w:tc>
          <w:tcPr>
            <w:tcW w:type="dxa" w:w="4514"/>
            <w:vAlign w:val="center"/>
            <w:shd w:fill="D9EAF7"/>
          </w:tcPr>
          <w:p>
            <w:pPr>
              <w:spacing w:after="0"/>
            </w:pPr>
            <w:r/>
            <w:r>
              <w:rPr>
                <w:rFonts w:ascii="Aptos" w:hAnsi="Aptos"/>
                <w:b/>
                <w:sz w:val="20"/>
              </w:rPr>
              <w:t>Likelihood</w:t>
            </w:r>
          </w:p>
        </w:tc>
        <w:tc>
          <w:tcPr>
            <w:tcW w:type="dxa" w:w="4514"/>
            <w:vAlign w:val="center"/>
          </w:tcPr>
          <w:p>
            <w:pPr>
              <w:spacing w:after="0"/>
            </w:pPr>
            <w:r/>
            <w:r>
              <w:rPr>
                <w:rFonts w:ascii="Aptos" w:hAnsi="Aptos"/>
                <w:b w:val="0"/>
                <w:sz w:val="20"/>
              </w:rPr>
              <w:t>3 – Possible</w:t>
            </w:r>
          </w:p>
        </w:tc>
      </w:tr>
      <w:tr>
        <w:tc>
          <w:tcPr>
            <w:tcW w:type="dxa" w:w="4514"/>
            <w:vAlign w:val="center"/>
            <w:shd w:fill="D9EAF7"/>
          </w:tcPr>
          <w:p>
            <w:pPr>
              <w:spacing w:after="0"/>
            </w:pPr>
            <w:r/>
            <w:r>
              <w:rPr>
                <w:rFonts w:ascii="Aptos" w:hAnsi="Aptos"/>
                <w:b/>
                <w:sz w:val="20"/>
              </w:rPr>
              <w:t>Consequence</w:t>
            </w:r>
          </w:p>
        </w:tc>
        <w:tc>
          <w:tcPr>
            <w:tcW w:type="dxa" w:w="4514"/>
            <w:vAlign w:val="center"/>
          </w:tcPr>
          <w:p>
            <w:pPr>
              <w:spacing w:after="0"/>
            </w:pPr>
            <w:r/>
            <w:r>
              <w:rPr>
                <w:rFonts w:ascii="Aptos" w:hAnsi="Aptos"/>
                <w:b w:val="0"/>
                <w:sz w:val="20"/>
              </w:rPr>
              <w:t>3 – Moderate</w:t>
            </w:r>
          </w:p>
        </w:tc>
      </w:tr>
      <w:tr>
        <w:tc>
          <w:tcPr>
            <w:tcW w:type="dxa" w:w="4514"/>
            <w:vAlign w:val="center"/>
            <w:shd w:fill="D9EAF7"/>
          </w:tcPr>
          <w:p>
            <w:pPr>
              <w:spacing w:after="0"/>
            </w:pPr>
            <w:r/>
            <w:r>
              <w:rPr>
                <w:rFonts w:ascii="Aptos" w:hAnsi="Aptos"/>
                <w:b/>
                <w:sz w:val="20"/>
              </w:rPr>
              <w:t>Risk Rating</w:t>
            </w:r>
          </w:p>
        </w:tc>
        <w:tc>
          <w:tcPr>
            <w:tcW w:type="dxa" w:w="4514"/>
            <w:vAlign w:val="center"/>
          </w:tcPr>
          <w:p>
            <w:pPr>
              <w:spacing w:after="0"/>
            </w:pPr>
            <w:r/>
            <w:r>
              <w:rPr>
                <w:rFonts w:ascii="Aptos" w:hAnsi="Aptos"/>
                <w:b w:val="0"/>
                <w:sz w:val="20"/>
              </w:rPr>
              <w:t>Medium</w:t>
            </w:r>
          </w:p>
        </w:tc>
      </w:tr>
    </w:tbl>
    <w:p>
      <w:pPr>
        <w:pStyle w:val="Heading2"/>
      </w:pPr>
      <w:r>
        <w:t>Mitigations</w:t>
      </w:r>
    </w:p>
    <w:p>
      <w:pPr>
        <w:pStyle w:val="ListBullet"/>
        <w:spacing w:after="60"/>
      </w:pPr>
      <w:r>
        <w:t>Check device security before allowing VPN access.</w:t>
      </w:r>
    </w:p>
    <w:p>
      <w:pPr>
        <w:pStyle w:val="ListBullet"/>
        <w:spacing w:after="60"/>
      </w:pPr>
      <w:r>
        <w:t>Require supported security software on devices used for company work.</w:t>
      </w:r>
    </w:p>
    <w:p>
      <w:pPr>
        <w:pStyle w:val="ListBullet"/>
        <w:spacing w:after="60"/>
      </w:pPr>
      <w:r>
        <w:t>Require devices to remain updated and patched.</w:t>
      </w:r>
    </w:p>
    <w:p>
      <w:pPr>
        <w:pStyle w:val="ListBullet"/>
        <w:spacing w:after="60"/>
      </w:pPr>
      <w:r>
        <w:t>Use multi-factor authentication for remote access.</w:t>
      </w:r>
    </w:p>
    <w:p>
      <w:pPr>
        <w:pStyle w:val="ListBullet"/>
        <w:spacing w:after="60"/>
      </w:pPr>
      <w:r>
        <w:t>Limit access from unmanaged devices where appropriate.</w:t>
      </w:r>
    </w:p>
    <w:p>
      <w:pPr>
        <w:pStyle w:val="ListBullet"/>
        <w:spacing w:after="60"/>
      </w:pPr>
      <w:r>
        <w:t>Introduce device management or compliance checks.</w:t>
      </w:r>
    </w:p>
    <w:p>
      <w:pPr>
        <w:pStyle w:val="ListBullet"/>
        <w:spacing w:after="60"/>
      </w:pPr>
      <w:r>
        <w:t>Regularly review remote access permissions.</w:t>
      </w:r>
    </w:p>
    <w:p>
      <w:pPr>
        <w:pStyle w:val="Heading2"/>
      </w:pPr>
      <w:r>
        <w:t>Monitoring</w:t>
      </w:r>
    </w:p>
    <w:p>
      <w:r>
        <w:rPr>
          <w:rFonts w:ascii="Aptos" w:hAnsi="Aptos"/>
          <w:b w:val="0"/>
          <w:sz w:val="22"/>
        </w:rPr>
        <w:t>VPN authentication, device compliance, endpoint alerts, unusual remote access activity and inactive VPN accounts.</w:t>
      </w:r>
    </w:p>
    <w:p>
      <w:pPr>
        <w:pStyle w:val="Heading2"/>
      </w:pPr>
      <w:r>
        <w:t>Risk Owner</w:t>
      </w:r>
    </w:p>
    <w:p>
      <w:r>
        <w:rPr>
          <w:rFonts w:ascii="Aptos" w:hAnsi="Aptos"/>
          <w:b w:val="0"/>
          <w:sz w:val="22"/>
        </w:rPr>
        <w:t>IT Security Manager</w:t>
      </w:r>
    </w:p>
    <w:p>
      <w:pPr>
        <w:pStyle w:val="Heading1"/>
      </w:pPr>
      <w:r>
        <w:t>5. Risk Prioritisation Summary</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vAlign w:val="center"/>
            <w:shd w:fill="D9EAF7"/>
          </w:tcPr>
          <w:p>
            <w:pPr>
              <w:spacing w:after="0"/>
            </w:pPr>
            <w:r/>
            <w:r>
              <w:rPr>
                <w:rFonts w:ascii="Aptos" w:hAnsi="Aptos"/>
                <w:b/>
                <w:sz w:val="20"/>
              </w:rPr>
              <w:t>Risk ID</w:t>
            </w:r>
          </w:p>
        </w:tc>
        <w:tc>
          <w:tcPr>
            <w:tcW w:type="dxa" w:w="1806"/>
            <w:vAlign w:val="center"/>
            <w:shd w:fill="D9EAF7"/>
          </w:tcPr>
          <w:p>
            <w:pPr>
              <w:spacing w:after="0"/>
            </w:pPr>
            <w:r/>
            <w:r>
              <w:rPr>
                <w:rFonts w:ascii="Aptos" w:hAnsi="Aptos"/>
                <w:b/>
                <w:sz w:val="20"/>
              </w:rPr>
              <w:t>Risk</w:t>
            </w:r>
          </w:p>
        </w:tc>
        <w:tc>
          <w:tcPr>
            <w:tcW w:type="dxa" w:w="1806"/>
            <w:vAlign w:val="center"/>
            <w:shd w:fill="D9EAF7"/>
          </w:tcPr>
          <w:p>
            <w:pPr>
              <w:spacing w:after="0"/>
            </w:pPr>
            <w:r/>
            <w:r>
              <w:rPr>
                <w:rFonts w:ascii="Aptos" w:hAnsi="Aptos"/>
                <w:b/>
                <w:sz w:val="20"/>
              </w:rPr>
              <w:t>Inherent Risk</w:t>
            </w:r>
          </w:p>
        </w:tc>
        <w:tc>
          <w:tcPr>
            <w:tcW w:type="dxa" w:w="1806"/>
            <w:vAlign w:val="center"/>
            <w:shd w:fill="D9EAF7"/>
          </w:tcPr>
          <w:p>
            <w:pPr>
              <w:spacing w:after="0"/>
            </w:pPr>
            <w:r/>
            <w:r>
              <w:rPr>
                <w:rFonts w:ascii="Aptos" w:hAnsi="Aptos"/>
                <w:b/>
                <w:sz w:val="20"/>
              </w:rPr>
              <w:t>Residual Risk</w:t>
            </w:r>
          </w:p>
        </w:tc>
        <w:tc>
          <w:tcPr>
            <w:tcW w:type="dxa" w:w="1806"/>
            <w:vAlign w:val="center"/>
            <w:shd w:fill="D9EAF7"/>
          </w:tcPr>
          <w:p>
            <w:pPr>
              <w:spacing w:after="0"/>
            </w:pPr>
            <w:r/>
            <w:r>
              <w:rPr>
                <w:rFonts w:ascii="Aptos" w:hAnsi="Aptos"/>
                <w:b/>
                <w:sz w:val="20"/>
              </w:rPr>
              <w:t>Priority</w:t>
            </w:r>
          </w:p>
        </w:tc>
      </w:tr>
      <w:tr>
        <w:tc>
          <w:tcPr>
            <w:tcW w:type="dxa" w:w="1806"/>
            <w:vAlign w:val="center"/>
          </w:tcPr>
          <w:p>
            <w:pPr>
              <w:spacing w:after="0"/>
            </w:pPr>
            <w:r/>
            <w:r>
              <w:rPr>
                <w:rFonts w:ascii="Aptos" w:hAnsi="Aptos"/>
                <w:b w:val="0"/>
                <w:sz w:val="20"/>
              </w:rPr>
              <w:t>RN-R01</w:t>
            </w:r>
          </w:p>
        </w:tc>
        <w:tc>
          <w:tcPr>
            <w:tcW w:type="dxa" w:w="1806"/>
            <w:vAlign w:val="center"/>
          </w:tcPr>
          <w:p>
            <w:pPr>
              <w:spacing w:after="0"/>
            </w:pPr>
            <w:r/>
            <w:r>
              <w:rPr>
                <w:rFonts w:ascii="Aptos" w:hAnsi="Aptos"/>
                <w:b w:val="0"/>
                <w:sz w:val="20"/>
              </w:rPr>
              <w:t>Phishing and Credential Compromise</w:t>
            </w:r>
          </w:p>
        </w:tc>
        <w:tc>
          <w:tcPr>
            <w:tcW w:type="dxa" w:w="1806"/>
            <w:vAlign w:val="center"/>
          </w:tcPr>
          <w:p>
            <w:pPr>
              <w:spacing w:after="0"/>
            </w:pPr>
            <w:r/>
            <w:r>
              <w:rPr>
                <w:rFonts w:ascii="Aptos" w:hAnsi="Aptos"/>
                <w:b w:val="0"/>
                <w:sz w:val="20"/>
              </w:rPr>
              <w:t>High</w:t>
            </w:r>
          </w:p>
        </w:tc>
        <w:tc>
          <w:tcPr>
            <w:tcW w:type="dxa" w:w="1806"/>
            <w:vAlign w:val="center"/>
          </w:tcPr>
          <w:p>
            <w:pPr>
              <w:spacing w:after="0"/>
            </w:pPr>
            <w:r/>
            <w:r>
              <w:rPr>
                <w:rFonts w:ascii="Aptos" w:hAnsi="Aptos"/>
                <w:b w:val="0"/>
                <w:sz w:val="20"/>
              </w:rPr>
              <w:t>High</w:t>
            </w:r>
          </w:p>
        </w:tc>
        <w:tc>
          <w:tcPr>
            <w:tcW w:type="dxa" w:w="1806"/>
            <w:vAlign w:val="center"/>
          </w:tcPr>
          <w:p>
            <w:pPr>
              <w:spacing w:after="0"/>
            </w:pPr>
            <w:r/>
            <w:r>
              <w:rPr>
                <w:rFonts w:ascii="Aptos" w:hAnsi="Aptos"/>
                <w:b w:val="0"/>
                <w:sz w:val="20"/>
              </w:rPr>
              <w:t>High</w:t>
            </w:r>
          </w:p>
        </w:tc>
      </w:tr>
      <w:tr>
        <w:tc>
          <w:tcPr>
            <w:tcW w:type="dxa" w:w="1806"/>
            <w:vAlign w:val="center"/>
          </w:tcPr>
          <w:p>
            <w:pPr>
              <w:spacing w:after="0"/>
            </w:pPr>
            <w:r/>
            <w:r>
              <w:rPr>
                <w:rFonts w:ascii="Aptos" w:hAnsi="Aptos"/>
                <w:b w:val="0"/>
                <w:sz w:val="20"/>
              </w:rPr>
              <w:t>RN-R02</w:t>
            </w:r>
          </w:p>
        </w:tc>
        <w:tc>
          <w:tcPr>
            <w:tcW w:type="dxa" w:w="1806"/>
            <w:vAlign w:val="center"/>
          </w:tcPr>
          <w:p>
            <w:pPr>
              <w:spacing w:after="0"/>
            </w:pPr>
            <w:r/>
            <w:r>
              <w:rPr>
                <w:rFonts w:ascii="Aptos" w:hAnsi="Aptos"/>
                <w:b w:val="0"/>
                <w:sz w:val="20"/>
              </w:rPr>
              <w:t>Third-Party Security Failure and Customer Data Exposure</w:t>
            </w:r>
          </w:p>
        </w:tc>
        <w:tc>
          <w:tcPr>
            <w:tcW w:type="dxa" w:w="1806"/>
            <w:vAlign w:val="center"/>
          </w:tcPr>
          <w:p>
            <w:pPr>
              <w:spacing w:after="0"/>
            </w:pPr>
            <w:r/>
            <w:r>
              <w:rPr>
                <w:rFonts w:ascii="Aptos" w:hAnsi="Aptos"/>
                <w:b w:val="0"/>
                <w:sz w:val="20"/>
              </w:rPr>
              <w:t>High</w:t>
            </w:r>
          </w:p>
        </w:tc>
        <w:tc>
          <w:tcPr>
            <w:tcW w:type="dxa" w:w="1806"/>
            <w:vAlign w:val="center"/>
          </w:tcPr>
          <w:p>
            <w:pPr>
              <w:spacing w:after="0"/>
            </w:pPr>
            <w:r/>
            <w:r>
              <w:rPr>
                <w:rFonts w:ascii="Aptos" w:hAnsi="Aptos"/>
                <w:b w:val="0"/>
                <w:sz w:val="20"/>
              </w:rPr>
              <w:t>High</w:t>
            </w:r>
          </w:p>
        </w:tc>
        <w:tc>
          <w:tcPr>
            <w:tcW w:type="dxa" w:w="1806"/>
            <w:vAlign w:val="center"/>
          </w:tcPr>
          <w:p>
            <w:pPr>
              <w:spacing w:after="0"/>
            </w:pPr>
            <w:r/>
            <w:r>
              <w:rPr>
                <w:rFonts w:ascii="Aptos" w:hAnsi="Aptos"/>
                <w:b w:val="0"/>
                <w:sz w:val="20"/>
              </w:rPr>
              <w:t>High</w:t>
            </w:r>
          </w:p>
        </w:tc>
      </w:tr>
      <w:tr>
        <w:tc>
          <w:tcPr>
            <w:tcW w:type="dxa" w:w="1806"/>
            <w:vAlign w:val="center"/>
          </w:tcPr>
          <w:p>
            <w:pPr>
              <w:spacing w:after="0"/>
            </w:pPr>
            <w:r/>
            <w:r>
              <w:rPr>
                <w:rFonts w:ascii="Aptos" w:hAnsi="Aptos"/>
                <w:b w:val="0"/>
                <w:sz w:val="20"/>
              </w:rPr>
              <w:t>RN-R03</w:t>
            </w:r>
          </w:p>
        </w:tc>
        <w:tc>
          <w:tcPr>
            <w:tcW w:type="dxa" w:w="1806"/>
            <w:vAlign w:val="center"/>
          </w:tcPr>
          <w:p>
            <w:pPr>
              <w:spacing w:after="0"/>
            </w:pPr>
            <w:r/>
            <w:r>
              <w:rPr>
                <w:rFonts w:ascii="Aptos" w:hAnsi="Aptos"/>
                <w:b w:val="0"/>
                <w:sz w:val="20"/>
              </w:rPr>
              <w:t>Disruption to E-Commerce and Payment Services</w:t>
            </w:r>
          </w:p>
        </w:tc>
        <w:tc>
          <w:tcPr>
            <w:tcW w:type="dxa" w:w="1806"/>
            <w:vAlign w:val="center"/>
          </w:tcPr>
          <w:p>
            <w:pPr>
              <w:spacing w:after="0"/>
            </w:pPr>
            <w:r/>
            <w:r>
              <w:rPr>
                <w:rFonts w:ascii="Aptos" w:hAnsi="Aptos"/>
                <w:b w:val="0"/>
                <w:sz w:val="20"/>
              </w:rPr>
              <w:t>High</w:t>
            </w:r>
          </w:p>
        </w:tc>
        <w:tc>
          <w:tcPr>
            <w:tcW w:type="dxa" w:w="1806"/>
            <w:vAlign w:val="center"/>
          </w:tcPr>
          <w:p>
            <w:pPr>
              <w:spacing w:after="0"/>
            </w:pPr>
            <w:r/>
            <w:r>
              <w:rPr>
                <w:rFonts w:ascii="Aptos" w:hAnsi="Aptos"/>
                <w:b w:val="0"/>
                <w:sz w:val="20"/>
              </w:rPr>
              <w:t>High</w:t>
            </w:r>
          </w:p>
        </w:tc>
        <w:tc>
          <w:tcPr>
            <w:tcW w:type="dxa" w:w="1806"/>
            <w:vAlign w:val="center"/>
          </w:tcPr>
          <w:p>
            <w:pPr>
              <w:spacing w:after="0"/>
            </w:pPr>
            <w:r/>
            <w:r>
              <w:rPr>
                <w:rFonts w:ascii="Aptos" w:hAnsi="Aptos"/>
                <w:b w:val="0"/>
                <w:sz w:val="20"/>
              </w:rPr>
              <w:t>High</w:t>
            </w:r>
          </w:p>
        </w:tc>
      </w:tr>
      <w:tr>
        <w:tc>
          <w:tcPr>
            <w:tcW w:type="dxa" w:w="1806"/>
            <w:vAlign w:val="center"/>
          </w:tcPr>
          <w:p>
            <w:pPr>
              <w:spacing w:after="0"/>
            </w:pPr>
            <w:r/>
            <w:r>
              <w:rPr>
                <w:rFonts w:ascii="Aptos" w:hAnsi="Aptos"/>
                <w:b w:val="0"/>
                <w:sz w:val="20"/>
              </w:rPr>
              <w:t>RN-R04</w:t>
            </w:r>
          </w:p>
        </w:tc>
        <w:tc>
          <w:tcPr>
            <w:tcW w:type="dxa" w:w="1806"/>
            <w:vAlign w:val="center"/>
          </w:tcPr>
          <w:p>
            <w:pPr>
              <w:spacing w:after="0"/>
            </w:pPr>
            <w:r/>
            <w:r>
              <w:rPr>
                <w:rFonts w:ascii="Aptos" w:hAnsi="Aptos"/>
                <w:b w:val="0"/>
                <w:sz w:val="20"/>
              </w:rPr>
              <w:t>Security Risk from Employee-Owned Devices</w:t>
            </w:r>
          </w:p>
        </w:tc>
        <w:tc>
          <w:tcPr>
            <w:tcW w:type="dxa" w:w="1806"/>
            <w:vAlign w:val="center"/>
          </w:tcPr>
          <w:p>
            <w:pPr>
              <w:spacing w:after="0"/>
            </w:pPr>
            <w:r/>
            <w:r>
              <w:rPr>
                <w:rFonts w:ascii="Aptos" w:hAnsi="Aptos"/>
                <w:b w:val="0"/>
                <w:sz w:val="20"/>
              </w:rPr>
              <w:t>High</w:t>
            </w:r>
          </w:p>
        </w:tc>
        <w:tc>
          <w:tcPr>
            <w:tcW w:type="dxa" w:w="1806"/>
            <w:vAlign w:val="center"/>
          </w:tcPr>
          <w:p>
            <w:pPr>
              <w:spacing w:after="0"/>
            </w:pPr>
            <w:r/>
            <w:r>
              <w:rPr>
                <w:rFonts w:ascii="Aptos" w:hAnsi="Aptos"/>
                <w:b w:val="0"/>
                <w:sz w:val="20"/>
              </w:rPr>
              <w:t>Medium</w:t>
            </w:r>
          </w:p>
        </w:tc>
        <w:tc>
          <w:tcPr>
            <w:tcW w:type="dxa" w:w="1806"/>
            <w:vAlign w:val="center"/>
          </w:tcPr>
          <w:p>
            <w:pPr>
              <w:spacing w:after="0"/>
            </w:pPr>
            <w:r/>
            <w:r>
              <w:rPr>
                <w:rFonts w:ascii="Aptos" w:hAnsi="Aptos"/>
                <w:b w:val="0"/>
                <w:sz w:val="20"/>
              </w:rPr>
              <w:t>Medium</w:t>
            </w:r>
          </w:p>
        </w:tc>
      </w:tr>
    </w:tbl>
    <w:p>
      <w:pPr>
        <w:pStyle w:val="Heading1"/>
      </w:pPr>
      <w:r>
        <w:t>6. Overall Findings</w:t>
      </w:r>
    </w:p>
    <w:p>
      <w:r>
        <w:rPr>
          <w:rFonts w:ascii="Aptos" w:hAnsi="Aptos"/>
          <w:b w:val="0"/>
          <w:sz w:val="22"/>
        </w:rPr>
        <w:t>The assessment shows that RetailNova has several important cybersecurity risks across employee access, third-party services, online business operations and remote working.</w:t>
      </w:r>
    </w:p>
    <w:p>
      <w:r>
        <w:rPr>
          <w:rFonts w:ascii="Aptos" w:hAnsi="Aptos"/>
          <w:b w:val="0"/>
          <w:sz w:val="22"/>
        </w:rPr>
        <w:t>The most important area is the protection of employee accounts because a successful phishing attack could provide an attacker with access to several internal and cloud-based systems. The previous phishing incident makes this a realistic concern rather than only a theoretical risk.</w:t>
      </w:r>
    </w:p>
    <w:p>
      <w:r>
        <w:rPr>
          <w:rFonts w:ascii="Aptos" w:hAnsi="Aptos"/>
          <w:b w:val="0"/>
          <w:sz w:val="22"/>
        </w:rPr>
        <w:t>Third-party security is another significant area. RetailNova depends on external suppliers and has already experienced a vendor-related data exposure. Supplier security should therefore be treated as part of the organisation's overall security risk.</w:t>
      </w:r>
    </w:p>
    <w:p>
      <w:r>
        <w:rPr>
          <w:rFonts w:ascii="Aptos" w:hAnsi="Aptos"/>
          <w:b w:val="0"/>
          <w:sz w:val="22"/>
        </w:rPr>
        <w:t>The availability of e-commerce and payment services is also important because RetailNova depends on these systems for online sales. A major disruption could affect customers and business operations.</w:t>
      </w:r>
    </w:p>
    <w:p>
      <w:r>
        <w:rPr>
          <w:rFonts w:ascii="Aptos" w:hAnsi="Aptos"/>
          <w:b w:val="0"/>
          <w:sz w:val="22"/>
        </w:rPr>
        <w:t>The BYOD risk is rated lower after controls because measures such as VPN, access control, antivirus and stronger device security can reduce the likelihood of unauthorised access. However, the risk should continue to be monitored because employee-owned devices are not fully controlled by the organisation.</w:t>
      </w:r>
    </w:p>
    <w:p>
      <w:pPr>
        <w:pStyle w:val="Heading1"/>
      </w:pPr>
      <w:r>
        <w:t>7. Recommended Priority Actions</w:t>
      </w:r>
    </w:p>
    <w:p>
      <w:pPr>
        <w:pStyle w:val="ListBullet"/>
        <w:spacing w:after="60"/>
      </w:pPr>
      <w:r>
        <w:t>Strengthen protection against phishing and compromised employee accounts.</w:t>
      </w:r>
    </w:p>
    <w:p>
      <w:pPr>
        <w:pStyle w:val="ListBullet"/>
        <w:spacing w:after="60"/>
      </w:pPr>
      <w:r>
        <w:t>Improve multi-factor authentication for important systems and remote access.</w:t>
      </w:r>
    </w:p>
    <w:p>
      <w:pPr>
        <w:pStyle w:val="ListBullet"/>
        <w:spacing w:after="60"/>
      </w:pPr>
      <w:r>
        <w:t>Introduce stronger third-party security assessment and supplier monitoring.</w:t>
      </w:r>
    </w:p>
    <w:p>
      <w:pPr>
        <w:pStyle w:val="ListBullet"/>
        <w:spacing w:after="60"/>
      </w:pPr>
      <w:r>
        <w:t>Review security and recovery arrangements for e-commerce and payment services.</w:t>
      </w:r>
    </w:p>
    <w:p>
      <w:pPr>
        <w:pStyle w:val="ListBullet"/>
        <w:spacing w:after="60"/>
      </w:pPr>
      <w:r>
        <w:t>Improve controls for employee-owned devices used for business access.</w:t>
      </w:r>
    </w:p>
    <w:p>
      <w:pPr>
        <w:pStyle w:val="ListBullet"/>
        <w:spacing w:after="60"/>
      </w:pPr>
      <w:r>
        <w:t>Continue monitoring previous incident areas, particularly phishing and third-party security.</w:t>
      </w:r>
    </w:p>
    <w:p>
      <w:pPr>
        <w:pStyle w:val="ListBullet"/>
        <w:spacing w:after="60"/>
      </w:pPr>
      <w:r>
        <w:t>Regularly review the risk register as the organisation's systems, suppliers and threats change.</w:t>
      </w:r>
    </w:p>
    <w:p>
      <w:pPr>
        <w:pStyle w:val="Heading1"/>
      </w:pPr>
      <w:r>
        <w:t>8. Conclusion</w:t>
      </w:r>
    </w:p>
    <w:p>
      <w:r>
        <w:rPr>
          <w:rFonts w:ascii="Aptos" w:hAnsi="Aptos"/>
          <w:b w:val="0"/>
          <w:sz w:val="22"/>
        </w:rPr>
        <w:t>RetailNova has several basic security controls already in place, but its previous security incidents show that additional measures are required.</w:t>
      </w:r>
    </w:p>
    <w:p>
      <w:r>
        <w:rPr>
          <w:rFonts w:ascii="Aptos" w:hAnsi="Aptos"/>
          <w:b w:val="0"/>
          <w:sz w:val="22"/>
        </w:rPr>
        <w:t>The assessment identified four main risks. Three have been assessed as High residual risk and one as Medium residual risk. The highest priority should be given to phishing and credential protection, third-party security and the availability of e-commerce and payment services.</w:t>
      </w:r>
    </w:p>
    <w:p>
      <w:r>
        <w:rPr>
          <w:rFonts w:ascii="Aptos" w:hAnsi="Aptos"/>
          <w:b w:val="0"/>
          <w:sz w:val="22"/>
        </w:rPr>
        <w:t>Regular monitoring, stronger access controls, improved employee awareness and better management of third-party risks can help reduce the overall exposure of RetailNova's systems and customer information.</w:t>
      </w:r>
    </w:p>
    <w:p>
      <w:r>
        <w:rPr>
          <w:rFonts w:ascii="Aptos" w:hAnsi="Aptos"/>
          <w:b w:val="0"/>
          <w:sz w:val="22"/>
        </w:rPr>
        <w:t>This assessment should be reviewed on the scheduled review date or earlier if there is a significant security incident, major system change or change in the organisation's risk environment.</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RetailNova Pty Ltd | Risk Assessment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RetailNova Pty Ltd | Cybersecurity Risk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