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4F81BD" w:themeColor="accent1"/>
          <w:sz w:val="24"/>
          <w:lang w:val="en-GB"/>
        </w:rPr>
        <w:id w:val="-125399075"/>
        <w:docPartObj>
          <w:docPartGallery w:val="Cover Pages"/>
          <w:docPartUnique/>
        </w:docPartObj>
      </w:sdtPr>
      <w:sdtEndPr>
        <w:rPr>
          <w:color w:val="auto"/>
        </w:rPr>
      </w:sdtEndPr>
      <w:sdtContent>
        <w:p w14:paraId="284907BA" w14:textId="77777777" w:rsidR="00B212BD" w:rsidRDefault="00B212BD">
          <w:pPr>
            <w:pStyle w:val="NoSpacing"/>
            <w:spacing w:before="1540" w:after="240"/>
            <w:jc w:val="center"/>
            <w:rPr>
              <w:color w:val="4F81BD" w:themeColor="accent1"/>
            </w:rPr>
          </w:pPr>
          <w:r>
            <w:rPr>
              <w:noProof/>
              <w:color w:val="4F81BD" w:themeColor="accent1"/>
            </w:rPr>
            <w:drawing>
              <wp:inline distT="0" distB="0" distL="0" distR="0" wp14:anchorId="38A51C6D" wp14:editId="314041F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61CC86D3A76B48EDA733FA466013DF5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4BA33A1" w14:textId="77777777" w:rsidR="00B212BD" w:rsidRDefault="00B212BD">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olor w:val="4F81BD" w:themeColor="accent1"/>
                  <w:sz w:val="72"/>
                  <w:szCs w:val="72"/>
                </w:rPr>
                <w:t>Evaluating Student Awareness And Acceptance Of Block-Chain Authentication framework In IoT Applications</w:t>
              </w:r>
            </w:p>
          </w:sdtContent>
        </w:sdt>
        <w:sdt>
          <w:sdtPr>
            <w:rPr>
              <w:color w:val="4F81BD" w:themeColor="accent1"/>
              <w:sz w:val="28"/>
              <w:szCs w:val="28"/>
            </w:rPr>
            <w:alias w:val="Subtitle"/>
            <w:tag w:val=""/>
            <w:id w:val="328029620"/>
            <w:placeholder>
              <w:docPart w:val="397D747C91424F9A8F92CECF08ECA58C"/>
            </w:placeholder>
            <w:dataBinding w:prefixMappings="xmlns:ns0='http://purl.org/dc/elements/1.1/' xmlns:ns1='http://schemas.openxmlformats.org/package/2006/metadata/core-properties' " w:xpath="/ns1:coreProperties[1]/ns0:subject[1]" w:storeItemID="{6C3C8BC8-F283-45AE-878A-BAB7291924A1}"/>
            <w:text/>
          </w:sdtPr>
          <w:sdtContent>
            <w:p w14:paraId="465B5EC9" w14:textId="77777777" w:rsidR="00B212BD" w:rsidRDefault="00B212BD">
              <w:pPr>
                <w:pStyle w:val="NoSpacing"/>
                <w:jc w:val="center"/>
                <w:rPr>
                  <w:color w:val="4F81BD" w:themeColor="accent1"/>
                  <w:sz w:val="28"/>
                  <w:szCs w:val="28"/>
                </w:rPr>
              </w:pPr>
              <w:r>
                <w:rPr>
                  <w:color w:val="4F81BD" w:themeColor="accent1"/>
                  <w:sz w:val="28"/>
                  <w:szCs w:val="28"/>
                </w:rPr>
                <w:t>Research Paper</w:t>
              </w:r>
            </w:p>
          </w:sdtContent>
        </w:sdt>
        <w:p w14:paraId="1D00B8EE" w14:textId="77777777" w:rsidR="00B212BD" w:rsidRDefault="00B212BD">
          <w:pPr>
            <w:pStyle w:val="NoSpacing"/>
            <w:spacing w:before="480"/>
            <w:jc w:val="center"/>
            <w:rPr>
              <w:color w:val="4F81BD" w:themeColor="accent1"/>
            </w:rPr>
          </w:pPr>
          <w:r>
            <w:rPr>
              <w:noProof/>
              <w:color w:val="4F81BD" w:themeColor="accent1"/>
            </w:rPr>
            <w:drawing>
              <wp:inline distT="0" distB="0" distL="0" distR="0" wp14:anchorId="092F5555" wp14:editId="77E964F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FC33590" w14:textId="77777777" w:rsidR="00B212BD" w:rsidRDefault="00B212BD">
          <w:r>
            <w:br w:type="page"/>
          </w:r>
        </w:p>
        <w:p w14:paraId="3EEAAA82" w14:textId="77777777" w:rsidR="00416476" w:rsidRDefault="00416476" w:rsidP="00B212BD">
          <w:pPr>
            <w:pStyle w:val="Heading1"/>
          </w:pPr>
          <w:r>
            <w:lastRenderedPageBreak/>
            <w:t>ABSTRACT</w:t>
          </w:r>
        </w:p>
        <w:p w14:paraId="4B9C04DC" w14:textId="77777777" w:rsidR="00416476" w:rsidRDefault="00416476" w:rsidP="00416476">
          <w:pPr>
            <w:jc w:val="both"/>
          </w:pPr>
          <w:r>
            <w:t xml:space="preserve">Understanding student awareness and acceptance of blockchain-based authentication frameworks is crucial for advancing secure and efficient IoT applications in today’s rapidly evolving technological landscape.  Despite the growing adoption of blockchain technology in IoT security, few studies have specifically investigated the combined effects of student awareness, perceived usefulness, and ease of use on the acceptance of blockchain-based authentication frameworks, indicating a critical gap in understanding user adoption factors in this context. A total of 100 students from different level of studies studying in Institute of Management Sciences (IMS) approach to participate in an online survey using convenience sampling. The study found that student awareness indirectly influences the acceptance of blockchain-based authentication frameworks in IoT applications through perceived usefulness, while perceived ease of use affects acceptance positively only when mediated by perceived usefulness despite its negative direct effect, and overall, perceived usefulness significantly and positively impacts user acceptance. The findings of current study offer that enhancing educational initiatives that increase student awareness and clearly communicate the practical benefits and usability of blockchain-based authentication can effectively drive its adoption in IoT applications. </w:t>
          </w:r>
        </w:p>
        <w:p w14:paraId="3B733846" w14:textId="77777777" w:rsidR="00416476" w:rsidRPr="00416476" w:rsidRDefault="00416476" w:rsidP="00416476">
          <w:pPr>
            <w:jc w:val="both"/>
          </w:pPr>
          <w:r w:rsidRPr="00416476">
            <w:rPr>
              <w:b/>
              <w:i/>
            </w:rPr>
            <w:t>Keywords:</w:t>
          </w:r>
          <w:r>
            <w:t xml:space="preserve"> Student awareness, blockchain authentication, IoT security, perceived usefulness, technology acceptance</w:t>
          </w:r>
        </w:p>
        <w:p w14:paraId="4E42B2CA" w14:textId="77777777" w:rsidR="00B212BD" w:rsidRDefault="00B212BD" w:rsidP="00B212BD">
          <w:pPr>
            <w:pStyle w:val="Heading1"/>
          </w:pPr>
          <w:r>
            <w:t xml:space="preserve">INTRODUCTION </w:t>
          </w:r>
        </w:p>
        <w:p w14:paraId="6FD1D5A8" w14:textId="77777777" w:rsidR="00B212BD" w:rsidRDefault="00B212BD" w:rsidP="00B212BD">
          <w:pPr>
            <w:jc w:val="both"/>
          </w:pPr>
          <w:r>
            <w:t>From mobile banking to smart cities and from e-learning to remote work, digitalization is enabling faster processes, real-time data access, and improved user experiences. It is defined as the process of converting information into digital formats and integrating digital technologies into all areas of human life especially business operations, communications, and service delivery</w:t>
          </w:r>
          <w:r w:rsidR="00C403CF">
            <w:t xml:space="preserve"> (Brennen and Kreiss, 2016). </w:t>
          </w:r>
          <w:proofErr w:type="spellStart"/>
          <w:r w:rsidR="00C403CF">
            <w:t>Parvianien</w:t>
          </w:r>
          <w:proofErr w:type="spellEnd"/>
          <w:r w:rsidR="00C403CF">
            <w:t xml:space="preserve"> et al. (2017) were of the view that a</w:t>
          </w:r>
          <w:r>
            <w:t>s industries continue to adopt Internet of Things (IoT), Artificial Intelligence (AI), and cloud computing, the need for secure, transparent, and decentralized systems has grown rapidly. Block chain technology has emerged as powerful innovation within the digitalization era that records transactions in a secure, transparent, and tamper-resistant ay with each block contains a record of transactions and linked to t</w:t>
          </w:r>
          <w:r w:rsidR="00C403CF">
            <w:t>he previous one forming a chain (Bannet et al., 2024).</w:t>
          </w:r>
          <w:r>
            <w:t xml:space="preserve"> As digital systems become more interconnected and complex, vulnerabilities such as cybersecurity threats, data breaches and privacy issues, unauthorized access, weak authentication, etc. </w:t>
          </w:r>
          <w:r w:rsidR="00685CD3">
            <w:t xml:space="preserve"> Blockchain technology ensures tamper-proof and decentralized identity verification, making it ideal for secure digital applications (</w:t>
          </w:r>
          <w:proofErr w:type="spellStart"/>
          <w:r w:rsidR="00685CD3">
            <w:t>Rauniyar</w:t>
          </w:r>
          <w:proofErr w:type="spellEnd"/>
          <w:r w:rsidR="00685CD3">
            <w:t xml:space="preserve"> et al., 2023).</w:t>
          </w:r>
        </w:p>
        <w:p w14:paraId="5FFE8BE9" w14:textId="77777777" w:rsidR="00ED4CBF" w:rsidRDefault="00685CD3" w:rsidP="00685CD3">
          <w:pPr>
            <w:spacing w:after="0"/>
            <w:jc w:val="both"/>
          </w:pPr>
          <w:r>
            <w:t>Unlike traditional methods, blockchain-based authentication distributes data across nodes, recording each event as an immutable transaction and using smart contracts and consensus mechanisms to enhance security, eliminate single points of failure, and empower users with greater control over their digital identities (Esposito et al., 2021; Abbas et al., 2021; Hammi et al., 2018).</w:t>
          </w:r>
          <w:r w:rsidRPr="00685CD3">
            <w:t xml:space="preserve"> </w:t>
          </w:r>
          <w:r>
            <w:t xml:space="preserve">The IoT framework, comprising interconnected smart devices across sectors like healthcare and transportation, benefits from blockchain-based authentication for secure, automated, and real-time verification, though challenges remain due to IoT devices' limited resources—challenges now being addressed through lightweight protocols and off-chain techniques (Pavithran et al., 2020; </w:t>
          </w:r>
          <w:proofErr w:type="spellStart"/>
          <w:r>
            <w:t>Rathee</w:t>
          </w:r>
          <w:proofErr w:type="spellEnd"/>
          <w:r>
            <w:t xml:space="preserve"> et al., 2020; Ahmed et al., 2022; Ghahremani-Nahr et al., 2022; Kumar et al., 2021; Liu et al., 2022).</w:t>
          </w:r>
        </w:p>
      </w:sdtContent>
    </w:sdt>
    <w:p w14:paraId="434A497A" w14:textId="77777777" w:rsidR="00F1546B" w:rsidRDefault="00FE1C2D" w:rsidP="00B212BD">
      <w:pPr>
        <w:jc w:val="both"/>
      </w:pPr>
      <w:r>
        <w:lastRenderedPageBreak/>
        <w:t>Despite the growing academic and technological interest in blockchain-based authentication framework and their integration in IoT systems, there is a notable lack of empirical studies focusing on acceptance among students, who are the future workforce and potential adopters of such technologies. This is important for successful implementation of any new security technology relies not only on its social acceptability and usability. Students particularly those in technology, engineering, and management fields represent key demographic that will both use and influence the deployment of blockchain solutions in future. The current study will provide insights into the human dimensions of block-chain IoT integration that are essential for designing user centred systems and effective technology adoption strategies.</w:t>
      </w:r>
    </w:p>
    <w:p w14:paraId="13F1B360" w14:textId="77777777" w:rsidR="00FE1C2D" w:rsidRDefault="00FE1C2D" w:rsidP="00FE1C2D">
      <w:pPr>
        <w:pStyle w:val="Heading1"/>
      </w:pPr>
      <w:r>
        <w:t>2:</w:t>
      </w:r>
      <w:r>
        <w:tab/>
        <w:t>LITERATURE REVIEW</w:t>
      </w:r>
    </w:p>
    <w:p w14:paraId="3A7B2C7D" w14:textId="77777777" w:rsidR="00E431B1" w:rsidRDefault="00FE1C2D" w:rsidP="00C1651E">
      <w:pPr>
        <w:jc w:val="both"/>
      </w:pPr>
      <w:r>
        <w:t>In recent years, the intersection of blockchain technology and the IoT has drawn substantial attention from researchers particularly in the area of enhancing security and trust. The success of technological integration depends on end-users’ understanding and willingness to accept these innovations. Awareness is defined as the context of technology adoption involve the extent to which potential users understand the fundamental working, benefits, and limitations of technology</w:t>
      </w:r>
      <w:r w:rsidR="00B9093A">
        <w:t xml:space="preserve"> (Kramer, 2019)</w:t>
      </w:r>
      <w:r>
        <w:t xml:space="preserve">. </w:t>
      </w:r>
      <w:r w:rsidR="00B9093A">
        <w:t>Shrestha et al. (2021)</w:t>
      </w:r>
      <w:r w:rsidR="00C1651E">
        <w:t xml:space="preserve"> show that increased awareness of blockchain technology among users positively correlates with trust and perceived usefulness. In the context of IoT, users who are familiar with blockchain’ s ability to secure data, eliminate intermediaries, and ensure device integrity are more likely to accept blockchain-based authentication solutions</w:t>
      </w:r>
      <w:r w:rsidR="00B9093A">
        <w:t xml:space="preserve"> (Awale &amp; </w:t>
      </w:r>
      <w:proofErr w:type="spellStart"/>
      <w:r w:rsidR="00B9093A">
        <w:t>Kulmie</w:t>
      </w:r>
      <w:proofErr w:type="spellEnd"/>
      <w:r w:rsidR="00B9093A">
        <w:t>, 2024)</w:t>
      </w:r>
      <w:r w:rsidR="00C1651E">
        <w:t xml:space="preserve">. </w:t>
      </w:r>
      <w:r w:rsidR="00B9093A">
        <w:t>Walczak et al. (2025)</w:t>
      </w:r>
      <w:r w:rsidR="00C1651E">
        <w:t xml:space="preserve"> found that students and early-career professionals with moderate-to-high awareness of blockchain were more likely to support its application in IoT devices and reduce perceived risk that in turn strengthen users’ behavioural intentions to adopt such systems. For instance</w:t>
      </w:r>
      <w:r w:rsidR="00B9093A">
        <w:t>, Kumari et al. (2023)</w:t>
      </w:r>
      <w:r w:rsidR="00C1651E">
        <w:t xml:space="preserve"> found that students who have higher level of digital literacy and blockchain knowledge are more likely to report positive attitudes towards blockchain-based authentication. Moreover, </w:t>
      </w:r>
      <w:proofErr w:type="spellStart"/>
      <w:r w:rsidR="00B9093A">
        <w:t>Bucea</w:t>
      </w:r>
      <w:proofErr w:type="spellEnd"/>
      <w:r w:rsidR="00B9093A">
        <w:t>-Manea et al. (2021)</w:t>
      </w:r>
      <w:r w:rsidR="00C1651E">
        <w:t xml:space="preserve"> support the idea that raising awareness through workshops, demonstrations, or university curriculum integration leads to increased acceptance of blockhain solutions. Hen participants were exposed to practical use-cases and demonstrates of how blockchain secures IoT devices from unauthorized access or manipulation, their perceived usefulness and trust improve markedly. </w:t>
      </w:r>
    </w:p>
    <w:p w14:paraId="22667D3F" w14:textId="77777777" w:rsidR="00C1651E" w:rsidRDefault="00C1651E" w:rsidP="00B93E68">
      <w:pPr>
        <w:jc w:val="center"/>
        <w:rPr>
          <w:i/>
        </w:rPr>
      </w:pPr>
      <w:r w:rsidRPr="00B93E68">
        <w:rPr>
          <w:b/>
          <w:i/>
        </w:rPr>
        <w:t>H</w:t>
      </w:r>
      <w:r w:rsidRPr="00B93E68">
        <w:rPr>
          <w:b/>
          <w:i/>
          <w:vertAlign w:val="subscript"/>
        </w:rPr>
        <w:t>1</w:t>
      </w:r>
      <w:r w:rsidRPr="00B93E68">
        <w:rPr>
          <w:b/>
          <w:i/>
        </w:rPr>
        <w:t>:</w:t>
      </w:r>
      <w:r w:rsidR="00B93E68" w:rsidRPr="00B93E68">
        <w:rPr>
          <w:i/>
        </w:rPr>
        <w:t xml:space="preserve"> Awareness of Blockchain Technology Has a Positive Impact on the Acceptance of Blockchain-Based Authentication Frameworks in IoT Applications</w:t>
      </w:r>
    </w:p>
    <w:p w14:paraId="50DF9873" w14:textId="77777777" w:rsidR="00B93E68" w:rsidRDefault="00B93E68" w:rsidP="00B93E68">
      <w:pPr>
        <w:jc w:val="both"/>
      </w:pPr>
      <w:r>
        <w:t xml:space="preserve">Many users such as students, professionals and consumers recognize blockchain’ s theoretical advantages yet still refrain from accepting or using blockchain-based authentication frameworks, which highlights that critical importance of understanding how contextual factors ultimately influence user behaviour. For instance, </w:t>
      </w:r>
      <w:proofErr w:type="spellStart"/>
      <w:r w:rsidR="00B9093A">
        <w:t>Padyab</w:t>
      </w:r>
      <w:proofErr w:type="spellEnd"/>
      <w:r w:rsidR="00B9093A">
        <w:t xml:space="preserve"> et al. (2019)</w:t>
      </w:r>
      <w:r>
        <w:t xml:space="preserve"> reveal that although respondents acknowledge blockchain superior security features, they remained hesitant to adopt it in IoT-based applications due to concerns over usability, lack of transparency about how the system operates, and fear of technological complexity. Similarly, </w:t>
      </w:r>
      <w:r w:rsidR="00B9093A">
        <w:t xml:space="preserve">Yaqoob et al. (2022) </w:t>
      </w:r>
      <w:r>
        <w:t xml:space="preserve">found that although healthcare administrators appreciate the secure and immutable nature of blockchain-based authentication, many chose not to implement such systems due to scalability issues, limited interoperability with existing IT infrastructure, and uncertainty about regulatory compliances. </w:t>
      </w:r>
      <w:r w:rsidR="00B9093A">
        <w:t>Dudek (2023)</w:t>
      </w:r>
      <w:r>
        <w:t xml:space="preserve"> surveyed university IT students and found that majority believe that blockchain authentication is more secure than traditional methods but their intention to use or accept remained </w:t>
      </w:r>
      <w:r>
        <w:lastRenderedPageBreak/>
        <w:t xml:space="preserve">low due to low perceived ease of use and lack of practical exposure. According to </w:t>
      </w:r>
      <w:r w:rsidR="00B9093A">
        <w:t xml:space="preserve">Jha et al. (2025); </w:t>
      </w:r>
      <w:r>
        <w:t xml:space="preserve">even when users recognize the security advantages of blockchain, they become disengaged or sceptical due to past experiences with overcomplicated or ineffective security solutions and users resist new systems bot because they doubt their security but because they anticipate difficulties in managing or interacting with them. </w:t>
      </w:r>
      <w:r w:rsidR="00C14AF5">
        <w:t>These shows that while perceived security benefits of blockchain-based authentication frameworks are acknowledged by users but this perception does not always result in acceptance especially in the context of IoT.  The current study explores the relationship through below hypothesis.</w:t>
      </w:r>
    </w:p>
    <w:p w14:paraId="2CE86751" w14:textId="77777777" w:rsidR="00C14AF5" w:rsidRPr="00AB6CBD" w:rsidRDefault="00AB6CBD" w:rsidP="00AB6CBD">
      <w:pPr>
        <w:jc w:val="center"/>
        <w:rPr>
          <w:i/>
        </w:rPr>
      </w:pPr>
      <w:r w:rsidRPr="00AB6CBD">
        <w:rPr>
          <w:b/>
          <w:i/>
        </w:rPr>
        <w:t>H</w:t>
      </w:r>
      <w:r w:rsidRPr="0033401B">
        <w:rPr>
          <w:b/>
          <w:i/>
          <w:vertAlign w:val="subscript"/>
        </w:rPr>
        <w:t>2</w:t>
      </w:r>
      <w:r w:rsidRPr="00AB6CBD">
        <w:rPr>
          <w:b/>
          <w:i/>
        </w:rPr>
        <w:t>:</w:t>
      </w:r>
      <w:r w:rsidRPr="00AB6CBD">
        <w:rPr>
          <w:i/>
        </w:rPr>
        <w:t xml:space="preserve"> Perceived Security Benefits Do Not Significantly Influence the Acceptance of Blockchain-Based Authentication Frameworks in IoT Applications</w:t>
      </w:r>
    </w:p>
    <w:p w14:paraId="6AD06BB6" w14:textId="77777777" w:rsidR="00AB6CBD" w:rsidRDefault="0033401B" w:rsidP="00B93E68">
      <w:pPr>
        <w:jc w:val="both"/>
      </w:pPr>
      <w:r>
        <w:t>The concept of perceived ease of use refers to the degree to which a person believes that using a particular system would be free of effort. In the context of blockchain-based authentication frameworks within IoT applications, it plays a vital role in influencing user acceptance</w:t>
      </w:r>
      <w:r w:rsidR="00B9093A">
        <w:t xml:space="preserve"> (Kang &amp; Hwang, 2022)</w:t>
      </w:r>
      <w:r>
        <w:t>. While blockchain offers advanced security and decentralization, its complexity hinders users from adopting it particularly in environment where technical expertise is limited or where usability is a key concern</w:t>
      </w:r>
      <w:r w:rsidR="00B9093A">
        <w:t xml:space="preserve"> (Dong et al., 2017)</w:t>
      </w:r>
      <w:r>
        <w:t xml:space="preserve">. </w:t>
      </w:r>
      <w:r w:rsidR="00B9093A">
        <w:t>Shrestha et al. (2021</w:t>
      </w:r>
      <w:r>
        <w:t xml:space="preserve">) indicate that perceived ease of use is a strong predictor of acceptance, where blockchain-based authentication interfaces intuitive and user-friendly are more likely to trust and adopt the technology despite having limited technical knowledge of blockchain operates. </w:t>
      </w:r>
      <w:r w:rsidR="00B9093A">
        <w:t>Raddatz et al. (2023)</w:t>
      </w:r>
      <w:r>
        <w:t xml:space="preserve"> found that even perceived benefits of blockchain are acknowledged, users are reluctant to engage with the technology if they perceive it as too complex. </w:t>
      </w:r>
      <w:r w:rsidR="00B9093A">
        <w:t>Walsh et al. (2021)</w:t>
      </w:r>
      <w:r>
        <w:t xml:space="preserve"> found that perceived ease of use significantly influence user’s intention to adopt blockchain-based authentication i.e. when users perceive that using blockchain do not require specialized knowledge or extensive effort, they are more open to use it for sensitive application. It reveals that ease of use is not just a convenience factor but it is pre-requisite for trust and engagement in complex IoT environment. Moreover, </w:t>
      </w:r>
      <w:r w:rsidR="00207202">
        <w:t xml:space="preserve">Elango &amp; </w:t>
      </w:r>
      <w:proofErr w:type="spellStart"/>
      <w:r w:rsidR="00207202">
        <w:t>Kulcharatyothin</w:t>
      </w:r>
      <w:proofErr w:type="spellEnd"/>
      <w:r w:rsidR="00207202">
        <w:t xml:space="preserve"> (2018)</w:t>
      </w:r>
      <w:r>
        <w:t xml:space="preserve"> explored the role of perceived ease of use among university students using smart devices confirmed that ease of use influence both perceived usefulness and trust that in turn affect overall acceptance. These underscore the need for human-centred design, improved user training, and simplified user experience in the future blockchain-IoT integrations.</w:t>
      </w:r>
    </w:p>
    <w:p w14:paraId="58C1046D" w14:textId="77777777" w:rsidR="0033401B" w:rsidRDefault="0033401B" w:rsidP="0033401B">
      <w:pPr>
        <w:jc w:val="center"/>
        <w:rPr>
          <w:i/>
        </w:rPr>
      </w:pPr>
      <w:r w:rsidRPr="0033401B">
        <w:rPr>
          <w:b/>
          <w:i/>
        </w:rPr>
        <w:t>H</w:t>
      </w:r>
      <w:r w:rsidRPr="0033401B">
        <w:rPr>
          <w:b/>
          <w:i/>
          <w:vertAlign w:val="subscript"/>
        </w:rPr>
        <w:t>3</w:t>
      </w:r>
      <w:r w:rsidRPr="0033401B">
        <w:rPr>
          <w:b/>
          <w:i/>
        </w:rPr>
        <w:t>:</w:t>
      </w:r>
      <w:r w:rsidRPr="0033401B">
        <w:rPr>
          <w:i/>
        </w:rPr>
        <w:tab/>
        <w:t>Perceived Ease of Use Positively Influences the Acceptance of Blockchain-Based Authentication Frameworks in IoT Applications</w:t>
      </w:r>
    </w:p>
    <w:p w14:paraId="7FD3A53B" w14:textId="77777777" w:rsidR="0033401B" w:rsidRDefault="005E5086" w:rsidP="005E5086">
      <w:pPr>
        <w:jc w:val="both"/>
      </w:pPr>
      <w:r>
        <w:t>Perceived usefulness refers to the extent to which an individual believes that using a particular system enhance their performance, which plays key mediating role in translating user awareness into acceptance</w:t>
      </w:r>
      <w:r w:rsidR="00207202">
        <w:t xml:space="preserve"> (Grover et al., 2019)</w:t>
      </w:r>
      <w:r>
        <w:t xml:space="preserve">. As students become increasingly aware of emerging technologies, their judgement about the usefulness of those technologies often determines whether that awareness leads to actual behavioural intention and adoption. </w:t>
      </w:r>
      <w:r w:rsidR="00207202">
        <w:t>Roshanak et al. (2024</w:t>
      </w:r>
      <w:r>
        <w:t xml:space="preserve">) found that awareness along do not directly predict acceptance, instead perceived usefulness serve as a key bridge i.e. students who are aware of blockchain’ s features only move toward acceptance when they perceived it as beneficial. </w:t>
      </w:r>
      <w:r w:rsidR="00207202">
        <w:t>Jung et al. (2012)</w:t>
      </w:r>
      <w:r>
        <w:t xml:space="preserve"> stress that awareness increase interest but perceived usefulness convert that interest into acceptance. Perceived usefulness of blockchain in streamlining authentication processes and reducing fraud risks are predictors of willingness to use the technology especially when paired with strong foundational awareness</w:t>
      </w:r>
      <w:r w:rsidR="00207202">
        <w:t xml:space="preserve"> (Grover et al., 2019)</w:t>
      </w:r>
      <w:r>
        <w:t xml:space="preserve">. Moreover, </w:t>
      </w:r>
      <w:r w:rsidR="00207202">
        <w:t>Conte-de-Leon et al. (2017)</w:t>
      </w:r>
      <w:r>
        <w:t xml:space="preserve"> argue that students familiar with blockchain terminology and concepts do not necessarily accept the technology unless they perceive clear beneficial use </w:t>
      </w:r>
      <w:r>
        <w:lastRenderedPageBreak/>
        <w:t xml:space="preserve">case such as eliminating the need for passwords or enabling seamless device authentication across a smart campus network. </w:t>
      </w:r>
      <w:r w:rsidR="00207202">
        <w:t>Kim et al. (2021)</w:t>
      </w:r>
      <w:r>
        <w:t xml:space="preserve"> emphasize the psychological and contextual elements influencing perceived usefulness recommend that it not merely technical but is also shaped by students’ expectations, institutional support, and clarity of applications. Even students who are well-aware of blockchain’ s general function need to perceive a direct useful benefit in their daily academic interactions before accepting blockchain-based authentication systems</w:t>
      </w:r>
      <w:r w:rsidR="00207202">
        <w:t xml:space="preserve"> (Mata et al., 2025)</w:t>
      </w:r>
      <w:r w:rsidR="00685CD3">
        <w:t>.</w:t>
      </w:r>
      <w:r>
        <w:t xml:space="preserve"> The mediating research hypotheses of current study is presented below;</w:t>
      </w:r>
    </w:p>
    <w:p w14:paraId="7576CE41" w14:textId="77777777" w:rsidR="005E5086" w:rsidRPr="005E5086" w:rsidRDefault="005E5086" w:rsidP="005E5086">
      <w:pPr>
        <w:jc w:val="center"/>
        <w:rPr>
          <w:i/>
        </w:rPr>
      </w:pPr>
      <w:r w:rsidRPr="005E5086">
        <w:rPr>
          <w:b/>
          <w:i/>
        </w:rPr>
        <w:t>H</w:t>
      </w:r>
      <w:r w:rsidRPr="005E5086">
        <w:rPr>
          <w:b/>
          <w:i/>
          <w:vertAlign w:val="subscript"/>
        </w:rPr>
        <w:t>4</w:t>
      </w:r>
      <w:r w:rsidRPr="005E5086">
        <w:rPr>
          <w:b/>
          <w:i/>
        </w:rPr>
        <w:t>:</w:t>
      </w:r>
      <w:r w:rsidRPr="005E5086">
        <w:rPr>
          <w:i/>
        </w:rPr>
        <w:tab/>
        <w:t>Perceived Usefulness of Blockchain in IoT Mediates the Relationship Between Student Awareness and Acceptance of Blockchain-Based Authentication Frameworks</w:t>
      </w:r>
    </w:p>
    <w:p w14:paraId="69D37D56" w14:textId="77777777" w:rsidR="007F5C9F" w:rsidRDefault="00685CD3" w:rsidP="005E5086">
      <w:pPr>
        <w:jc w:val="both"/>
      </w:pPr>
      <w:r>
        <w:t xml:space="preserve">The Technology Acceptance Model (TAM), developed to explain user adoption of computer-based systems, is widely used to assess how awareness, perceived ease of use, and perceived usefulness influence students' acceptance of blockchain-integrated IoT technologies (Liu &amp; Ye, 2021; </w:t>
      </w:r>
      <w:proofErr w:type="spellStart"/>
      <w:r>
        <w:t>Sciarelli</w:t>
      </w:r>
      <w:proofErr w:type="spellEnd"/>
      <w:r>
        <w:t xml:space="preserve"> et al., 2022; Taheri et al., 2022; Islam et al., 2023).</w:t>
      </w:r>
      <w:r w:rsidR="005E5086">
        <w:t xml:space="preserve"> </w:t>
      </w:r>
      <w:r>
        <w:t xml:space="preserve"> While not part of TAM, awareness influences perceived ease of use, and students familiar with blockchain are more likely to accept it; however, perceived usefulness in terms of security must align with user priorities, as technical benefits alone may not drive acceptance (Idrees et al., 2024; </w:t>
      </w:r>
      <w:proofErr w:type="spellStart"/>
      <w:r>
        <w:t>Raddtz</w:t>
      </w:r>
      <w:proofErr w:type="spellEnd"/>
      <w:r>
        <w:t xml:space="preserve"> et al., 2023 If students find the authentication framework user-friendly and easy to use, they are more likely to adopt it; by connecting awareness, security perceptions, ease of use, and usefulness to behavioural intention, TAM provides a comprehensive lens for analyzing technology acceptance (Grover et al., 2019; Shrestha &amp; </w:t>
      </w:r>
      <w:proofErr w:type="spellStart"/>
      <w:r>
        <w:t>Vassileva</w:t>
      </w:r>
      <w:proofErr w:type="spellEnd"/>
      <w:r>
        <w:t>, 2019).</w:t>
      </w:r>
      <w:r w:rsidR="003C2170">
        <w:t xml:space="preserve"> </w:t>
      </w:r>
      <w:r w:rsidR="007F5C9F">
        <w:t>The current study’s research framework is presented below;</w:t>
      </w:r>
    </w:p>
    <w:p w14:paraId="717C3178" w14:textId="77777777" w:rsidR="007F5C9F" w:rsidRDefault="002D0AE7" w:rsidP="002D0AE7">
      <w:pPr>
        <w:jc w:val="center"/>
      </w:pPr>
      <w:r>
        <w:rPr>
          <w:noProof/>
          <w:lang w:val="en-US"/>
        </w:rPr>
        <w:drawing>
          <wp:inline distT="0" distB="0" distL="0" distR="0" wp14:anchorId="4FD3FFD9" wp14:editId="130AFBAE">
            <wp:extent cx="4019550" cy="18637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9550" cy="1863725"/>
                    </a:xfrm>
                    <a:prstGeom prst="rect">
                      <a:avLst/>
                    </a:prstGeom>
                  </pic:spPr>
                </pic:pic>
              </a:graphicData>
            </a:graphic>
          </wp:inline>
        </w:drawing>
      </w:r>
    </w:p>
    <w:p w14:paraId="4482B1A5" w14:textId="77777777" w:rsidR="003C2170" w:rsidRDefault="002D0AE7" w:rsidP="002D0AE7">
      <w:pPr>
        <w:pStyle w:val="Caption"/>
        <w:jc w:val="center"/>
      </w:pPr>
      <w:r>
        <w:t xml:space="preserve">Figure </w:t>
      </w:r>
      <w:r>
        <w:fldChar w:fldCharType="begin"/>
      </w:r>
      <w:r>
        <w:instrText xml:space="preserve"> SEQ Figure \* ARABIC </w:instrText>
      </w:r>
      <w:r>
        <w:fldChar w:fldCharType="separate"/>
      </w:r>
      <w:r w:rsidR="00F863C7">
        <w:rPr>
          <w:noProof/>
        </w:rPr>
        <w:t>1</w:t>
      </w:r>
      <w:r>
        <w:fldChar w:fldCharType="end"/>
      </w:r>
      <w:r>
        <w:t>: Research Model</w:t>
      </w:r>
    </w:p>
    <w:p w14:paraId="64E5D3E4" w14:textId="77777777" w:rsidR="002D0AE7" w:rsidRDefault="002D0AE7" w:rsidP="002D0AE7">
      <w:pPr>
        <w:pStyle w:val="Heading1"/>
      </w:pPr>
      <w:r>
        <w:t>3:</w:t>
      </w:r>
      <w:r>
        <w:tab/>
        <w:t>RESEARCH METHODOLOGY</w:t>
      </w:r>
    </w:p>
    <w:p w14:paraId="5FFEC092" w14:textId="77777777" w:rsidR="002D0AE7" w:rsidRDefault="00F525C5" w:rsidP="00F525C5">
      <w:pPr>
        <w:jc w:val="both"/>
      </w:pPr>
      <w:r>
        <w:t>To meet the research objectives and answering the research aim, current study relied on quantitative cross sectional survey research design commonly used in technology acceptance studies (</w:t>
      </w:r>
      <w:r w:rsidR="00207202">
        <w:t>Alshahrani et al., 2016; Mata et al., 2025)</w:t>
      </w:r>
      <w:r>
        <w:t xml:space="preserve"> This research design is efficient for testing hypothesized structural relationships and allow generalization, objectivity, and statistical validation of the construct</w:t>
      </w:r>
      <w:r w:rsidR="00207202">
        <w:t xml:space="preserve"> (Spencer-Hicken et al., 2023)</w:t>
      </w:r>
      <w:r>
        <w:t xml:space="preserve">. The target population comprises students at the Institute of Management Sciences (IM Sciences) and a total of 100 students was selected through convenient sampling with similar studies by Al-Momani et al. (2022) and </w:t>
      </w:r>
      <w:r w:rsidR="00207202">
        <w:t>Helmi &amp; Ren (2022)</w:t>
      </w:r>
      <w:r>
        <w:t xml:space="preserve"> on student’s perceptions of emerging technologies. Convenience sampling is cost effective </w:t>
      </w:r>
      <w:r>
        <w:lastRenderedPageBreak/>
        <w:t>and accessible particularly when studying tech-related attitudes among youth. For data collection, researcher used structured online survey based on 5-point Likert scales items ranging “1” strongly disagree to “5” strongly agree, which support the simplicity, consistency, and comparability as endorsed by Likert (1932) and widely used in ICT adoption research (</w:t>
      </w:r>
      <w:proofErr w:type="spellStart"/>
      <w:r w:rsidR="00207202">
        <w:t>Ulmanis</w:t>
      </w:r>
      <w:proofErr w:type="spellEnd"/>
      <w:r w:rsidR="00207202">
        <w:t xml:space="preserve"> &amp; </w:t>
      </w:r>
      <w:proofErr w:type="spellStart"/>
      <w:r w:rsidR="00207202">
        <w:t>Denins</w:t>
      </w:r>
      <w:proofErr w:type="spellEnd"/>
      <w:r w:rsidR="00207202">
        <w:t>, 2012</w:t>
      </w:r>
      <w:r>
        <w:t>). The items were adapted from validated scales related to TAM and blockchain adoption studies (</w:t>
      </w:r>
      <w:proofErr w:type="spellStart"/>
      <w:r w:rsidR="00207202">
        <w:t>Sciarelli</w:t>
      </w:r>
      <w:proofErr w:type="spellEnd"/>
      <w:r w:rsidR="00207202">
        <w:t xml:space="preserve"> et al., 2022; Shrestha et al., 2021</w:t>
      </w:r>
      <w:r>
        <w:t xml:space="preserve">). </w:t>
      </w:r>
    </w:p>
    <w:p w14:paraId="4B2E8CB6" w14:textId="77777777" w:rsidR="00F525C5" w:rsidRDefault="00F525C5" w:rsidP="00F525C5">
      <w:pPr>
        <w:jc w:val="both"/>
      </w:pPr>
      <w:r>
        <w:t>Reliability was tested using Cronbach’s alpha with alpha value greater than 0.70 considered acceptable, which enhance internal consistency and trustworthiness of responses</w:t>
      </w:r>
      <w:r w:rsidR="00207202">
        <w:t xml:space="preserve"> (</w:t>
      </w:r>
      <w:proofErr w:type="spellStart"/>
      <w:r w:rsidR="00207202">
        <w:t>Chengyue</w:t>
      </w:r>
      <w:proofErr w:type="spellEnd"/>
      <w:r w:rsidR="00207202">
        <w:t xml:space="preserve"> et al., 2021)</w:t>
      </w:r>
      <w:r>
        <w:t xml:space="preserve">. For data analysis, researcher relied on JASP as data analysis tool using descriptive statistics profiled the respondents and summarizes responses, reliability analysis to show internal consistency of constructs, correlation analysis tested the degree of association, regression analysis to test used to test the direct and indirect relationship, while mediation analysis followed by </w:t>
      </w:r>
      <w:r w:rsidR="00207202">
        <w:t>Koroma et al. (2022)</w:t>
      </w:r>
      <w:r>
        <w:t xml:space="preserve"> framework applied in behavioural and information research. Informed consent was obtained, participation was voluntary, and anonymous. The ethical framework followed general academic research norms (</w:t>
      </w:r>
      <w:r w:rsidR="00207202">
        <w:t>Anwar, 2015</w:t>
      </w:r>
      <w:r>
        <w:t xml:space="preserve">) ensuring the integrity and privacy of students’ data. </w:t>
      </w:r>
    </w:p>
    <w:p w14:paraId="53D8FCA1" w14:textId="77777777" w:rsidR="00F525C5" w:rsidRDefault="00F525C5" w:rsidP="00F525C5">
      <w:pPr>
        <w:pStyle w:val="Heading1"/>
      </w:pPr>
      <w:r>
        <w:t xml:space="preserve"> 4:</w:t>
      </w:r>
      <w:r>
        <w:tab/>
        <w:t>DATA ANALYSIS AND KEY FINDINGS</w:t>
      </w:r>
    </w:p>
    <w:p w14:paraId="46609683" w14:textId="77777777" w:rsidR="00F863C7" w:rsidRDefault="00F863C7" w:rsidP="00F863C7">
      <w:pPr>
        <w:jc w:val="both"/>
      </w:pPr>
      <w:r>
        <w:t>From demographic features, the majority of respondents fall within the 22–25 age group, accounting for 59% of the total sample. This is followed by 19% of students aged 26–30, 14% aged 18–21, and 8% who are above 30, showing that the target population is predominantly young adults. This age distribution is important as it suggests that most respondents are likely in the core years of their undergraduate or early postgraduate education, which aligns with higher levels of engagement in digital technologies and emerging fields like blockchain and IoT. In terms of gender, the sample comprises 62% male and 31% female students, with 4% preferring not to disclose their gender and 3% identifying as other. Regarding level of study, a significant majority (73%) are undergraduate students, followed by 21% postgraduates, and 6% from other categories. The most represented academic discipline is Computer Science / IT, making up 52% of the respondents, followed by Business Administration and Social Sciences (each at 12%), Economics (11%), and Other fields (13%). This strong representation of tech-focused students reflects an appropriate audience for assessing awareness and acceptance of blockchain-based authentication frameworks in IoT applications. The results are presented in Table 1.</w:t>
      </w:r>
    </w:p>
    <w:p w14:paraId="027AFA42" w14:textId="77777777" w:rsidR="00F863C7" w:rsidRPr="00F863C7" w:rsidRDefault="00F863C7" w:rsidP="00F863C7">
      <w:pPr>
        <w:pStyle w:val="Caption"/>
        <w:jc w:val="center"/>
      </w:pPr>
      <w:r>
        <w:t xml:space="preserve">Table </w:t>
      </w:r>
      <w:r>
        <w:fldChar w:fldCharType="begin"/>
      </w:r>
      <w:r>
        <w:instrText xml:space="preserve"> SEQ Table \* ARABIC </w:instrText>
      </w:r>
      <w:r>
        <w:fldChar w:fldCharType="separate"/>
      </w:r>
      <w:r w:rsidR="00936FD4">
        <w:rPr>
          <w:noProof/>
        </w:rPr>
        <w:t>1</w:t>
      </w:r>
      <w:r>
        <w:fldChar w:fldCharType="end"/>
      </w:r>
      <w:r>
        <w:t>: Demographic Features of Participants</w:t>
      </w:r>
    </w:p>
    <w:tbl>
      <w:tblPr>
        <w:tblW w:w="5000" w:type="pct"/>
        <w:tblBorders>
          <w:top w:val="single" w:sz="4" w:space="0" w:color="auto"/>
          <w:bottom w:val="single" w:sz="4" w:space="0" w:color="auto"/>
        </w:tblBorders>
        <w:tblLook w:val="04A0" w:firstRow="1" w:lastRow="0" w:firstColumn="1" w:lastColumn="0" w:noHBand="0" w:noVBand="1"/>
      </w:tblPr>
      <w:tblGrid>
        <w:gridCol w:w="1809"/>
        <w:gridCol w:w="2830"/>
        <w:gridCol w:w="1359"/>
        <w:gridCol w:w="1039"/>
        <w:gridCol w:w="2323"/>
      </w:tblGrid>
      <w:tr w:rsidR="0035777C" w:rsidRPr="0035777C" w14:paraId="510D33EF" w14:textId="77777777" w:rsidTr="00F863C7">
        <w:trPr>
          <w:trHeight w:val="300"/>
        </w:trPr>
        <w:tc>
          <w:tcPr>
            <w:tcW w:w="966" w:type="pct"/>
            <w:vMerge w:val="restart"/>
            <w:tcBorders>
              <w:top w:val="single" w:sz="4" w:space="0" w:color="auto"/>
              <w:bottom w:val="nil"/>
            </w:tcBorders>
            <w:noWrap/>
            <w:vAlign w:val="center"/>
            <w:hideMark/>
          </w:tcPr>
          <w:p w14:paraId="42DF6136" w14:textId="77777777" w:rsidR="0035777C" w:rsidRPr="0035777C" w:rsidRDefault="0035777C" w:rsidP="0035777C">
            <w:pPr>
              <w:spacing w:after="0"/>
              <w:jc w:val="center"/>
              <w:rPr>
                <w:rFonts w:eastAsia="Times New Roman" w:cs="Times New Roman"/>
                <w:color w:val="000000"/>
                <w:sz w:val="22"/>
                <w:lang w:val="en-US"/>
              </w:rPr>
            </w:pPr>
            <w:r w:rsidRPr="0035777C">
              <w:rPr>
                <w:rFonts w:eastAsia="Times New Roman" w:cs="Times New Roman"/>
                <w:color w:val="000000"/>
                <w:sz w:val="22"/>
                <w:lang w:val="en-US"/>
              </w:rPr>
              <w:t>Age Group</w:t>
            </w:r>
          </w:p>
        </w:tc>
        <w:tc>
          <w:tcPr>
            <w:tcW w:w="1512" w:type="pct"/>
            <w:tcBorders>
              <w:top w:val="single" w:sz="4" w:space="0" w:color="auto"/>
              <w:bottom w:val="single" w:sz="4" w:space="0" w:color="auto"/>
            </w:tcBorders>
            <w:noWrap/>
            <w:vAlign w:val="bottom"/>
            <w:hideMark/>
          </w:tcPr>
          <w:p w14:paraId="0EA1270B"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Groups</w:t>
            </w:r>
          </w:p>
        </w:tc>
        <w:tc>
          <w:tcPr>
            <w:tcW w:w="726" w:type="pct"/>
            <w:tcBorders>
              <w:top w:val="single" w:sz="4" w:space="0" w:color="auto"/>
              <w:bottom w:val="single" w:sz="4" w:space="0" w:color="auto"/>
            </w:tcBorders>
            <w:noWrap/>
            <w:vAlign w:val="center"/>
            <w:hideMark/>
          </w:tcPr>
          <w:p w14:paraId="576393FB"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Frequency</w:t>
            </w:r>
          </w:p>
        </w:tc>
        <w:tc>
          <w:tcPr>
            <w:tcW w:w="555" w:type="pct"/>
            <w:tcBorders>
              <w:top w:val="single" w:sz="4" w:space="0" w:color="auto"/>
              <w:bottom w:val="single" w:sz="4" w:space="0" w:color="auto"/>
            </w:tcBorders>
            <w:noWrap/>
            <w:vAlign w:val="center"/>
            <w:hideMark/>
          </w:tcPr>
          <w:p w14:paraId="2230ECDC"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Percent</w:t>
            </w:r>
          </w:p>
        </w:tc>
        <w:tc>
          <w:tcPr>
            <w:tcW w:w="1241" w:type="pct"/>
            <w:tcBorders>
              <w:top w:val="single" w:sz="4" w:space="0" w:color="auto"/>
              <w:bottom w:val="single" w:sz="4" w:space="0" w:color="auto"/>
            </w:tcBorders>
            <w:noWrap/>
            <w:vAlign w:val="center"/>
            <w:hideMark/>
          </w:tcPr>
          <w:p w14:paraId="49FB843F"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Cumulative Percent</w:t>
            </w:r>
          </w:p>
        </w:tc>
      </w:tr>
      <w:tr w:rsidR="00F863C7" w:rsidRPr="0035777C" w14:paraId="2A7C2E9A" w14:textId="77777777" w:rsidTr="00F863C7">
        <w:trPr>
          <w:trHeight w:val="300"/>
        </w:trPr>
        <w:tc>
          <w:tcPr>
            <w:tcW w:w="966" w:type="pct"/>
            <w:vMerge/>
            <w:tcBorders>
              <w:top w:val="nil"/>
              <w:bottom w:val="nil"/>
            </w:tcBorders>
            <w:vAlign w:val="center"/>
            <w:hideMark/>
          </w:tcPr>
          <w:p w14:paraId="028E49DF" w14:textId="77777777" w:rsidR="0035777C" w:rsidRPr="0035777C" w:rsidRDefault="0035777C" w:rsidP="0035777C">
            <w:pPr>
              <w:spacing w:after="0"/>
              <w:rPr>
                <w:rFonts w:eastAsia="Times New Roman" w:cs="Times New Roman"/>
                <w:color w:val="000000"/>
                <w:sz w:val="22"/>
                <w:lang w:val="en-US"/>
              </w:rPr>
            </w:pPr>
          </w:p>
        </w:tc>
        <w:tc>
          <w:tcPr>
            <w:tcW w:w="1512" w:type="pct"/>
            <w:tcBorders>
              <w:top w:val="single" w:sz="4" w:space="0" w:color="auto"/>
              <w:bottom w:val="nil"/>
            </w:tcBorders>
            <w:noWrap/>
            <w:vAlign w:val="bottom"/>
            <w:hideMark/>
          </w:tcPr>
          <w:p w14:paraId="27B48EA9"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18-21</w:t>
            </w:r>
          </w:p>
        </w:tc>
        <w:tc>
          <w:tcPr>
            <w:tcW w:w="726" w:type="pct"/>
            <w:tcBorders>
              <w:top w:val="single" w:sz="4" w:space="0" w:color="auto"/>
              <w:bottom w:val="nil"/>
            </w:tcBorders>
            <w:noWrap/>
            <w:vAlign w:val="center"/>
            <w:hideMark/>
          </w:tcPr>
          <w:p w14:paraId="54D1A809"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14</w:t>
            </w:r>
          </w:p>
        </w:tc>
        <w:tc>
          <w:tcPr>
            <w:tcW w:w="555" w:type="pct"/>
            <w:tcBorders>
              <w:top w:val="single" w:sz="4" w:space="0" w:color="auto"/>
              <w:bottom w:val="nil"/>
            </w:tcBorders>
            <w:noWrap/>
            <w:vAlign w:val="center"/>
            <w:hideMark/>
          </w:tcPr>
          <w:p w14:paraId="0A284C6C"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14</w:t>
            </w:r>
          </w:p>
        </w:tc>
        <w:tc>
          <w:tcPr>
            <w:tcW w:w="1241" w:type="pct"/>
            <w:tcBorders>
              <w:top w:val="single" w:sz="4" w:space="0" w:color="auto"/>
              <w:bottom w:val="nil"/>
            </w:tcBorders>
            <w:noWrap/>
            <w:vAlign w:val="center"/>
            <w:hideMark/>
          </w:tcPr>
          <w:p w14:paraId="470874F8"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14</w:t>
            </w:r>
          </w:p>
        </w:tc>
      </w:tr>
      <w:tr w:rsidR="00F863C7" w:rsidRPr="0035777C" w14:paraId="36654C8E" w14:textId="77777777" w:rsidTr="00F863C7">
        <w:trPr>
          <w:trHeight w:val="300"/>
        </w:trPr>
        <w:tc>
          <w:tcPr>
            <w:tcW w:w="966" w:type="pct"/>
            <w:vMerge/>
            <w:tcBorders>
              <w:top w:val="nil"/>
              <w:bottom w:val="nil"/>
            </w:tcBorders>
            <w:vAlign w:val="center"/>
            <w:hideMark/>
          </w:tcPr>
          <w:p w14:paraId="7914A1FC" w14:textId="77777777" w:rsidR="0035777C" w:rsidRPr="0035777C" w:rsidRDefault="0035777C" w:rsidP="0035777C">
            <w:pPr>
              <w:spacing w:after="0"/>
              <w:rPr>
                <w:rFonts w:eastAsia="Times New Roman" w:cs="Times New Roman"/>
                <w:color w:val="000000"/>
                <w:sz w:val="22"/>
                <w:lang w:val="en-US"/>
              </w:rPr>
            </w:pPr>
          </w:p>
        </w:tc>
        <w:tc>
          <w:tcPr>
            <w:tcW w:w="1512" w:type="pct"/>
            <w:tcBorders>
              <w:top w:val="nil"/>
              <w:bottom w:val="nil"/>
            </w:tcBorders>
            <w:noWrap/>
            <w:vAlign w:val="bottom"/>
            <w:hideMark/>
          </w:tcPr>
          <w:p w14:paraId="27972ACC"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22-25</w:t>
            </w:r>
          </w:p>
        </w:tc>
        <w:tc>
          <w:tcPr>
            <w:tcW w:w="726" w:type="pct"/>
            <w:tcBorders>
              <w:top w:val="nil"/>
              <w:bottom w:val="nil"/>
            </w:tcBorders>
            <w:noWrap/>
            <w:vAlign w:val="center"/>
            <w:hideMark/>
          </w:tcPr>
          <w:p w14:paraId="6D519D76"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59</w:t>
            </w:r>
          </w:p>
        </w:tc>
        <w:tc>
          <w:tcPr>
            <w:tcW w:w="555" w:type="pct"/>
            <w:tcBorders>
              <w:top w:val="nil"/>
              <w:bottom w:val="nil"/>
            </w:tcBorders>
            <w:noWrap/>
            <w:vAlign w:val="center"/>
            <w:hideMark/>
          </w:tcPr>
          <w:p w14:paraId="6F12B166"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59</w:t>
            </w:r>
          </w:p>
        </w:tc>
        <w:tc>
          <w:tcPr>
            <w:tcW w:w="1241" w:type="pct"/>
            <w:tcBorders>
              <w:top w:val="nil"/>
              <w:bottom w:val="nil"/>
            </w:tcBorders>
            <w:noWrap/>
            <w:vAlign w:val="center"/>
            <w:hideMark/>
          </w:tcPr>
          <w:p w14:paraId="3B2C87DF"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73</w:t>
            </w:r>
          </w:p>
        </w:tc>
      </w:tr>
      <w:tr w:rsidR="00F863C7" w:rsidRPr="0035777C" w14:paraId="5949EDBD" w14:textId="77777777" w:rsidTr="00F863C7">
        <w:trPr>
          <w:trHeight w:val="300"/>
        </w:trPr>
        <w:tc>
          <w:tcPr>
            <w:tcW w:w="966" w:type="pct"/>
            <w:vMerge/>
            <w:tcBorders>
              <w:top w:val="nil"/>
              <w:bottom w:val="nil"/>
            </w:tcBorders>
            <w:vAlign w:val="center"/>
            <w:hideMark/>
          </w:tcPr>
          <w:p w14:paraId="6736B58E" w14:textId="77777777" w:rsidR="0035777C" w:rsidRPr="0035777C" w:rsidRDefault="0035777C" w:rsidP="0035777C">
            <w:pPr>
              <w:spacing w:after="0"/>
              <w:rPr>
                <w:rFonts w:eastAsia="Times New Roman" w:cs="Times New Roman"/>
                <w:color w:val="000000"/>
                <w:sz w:val="22"/>
                <w:lang w:val="en-US"/>
              </w:rPr>
            </w:pPr>
          </w:p>
        </w:tc>
        <w:tc>
          <w:tcPr>
            <w:tcW w:w="1512" w:type="pct"/>
            <w:tcBorders>
              <w:top w:val="nil"/>
              <w:bottom w:val="nil"/>
            </w:tcBorders>
            <w:noWrap/>
            <w:vAlign w:val="bottom"/>
            <w:hideMark/>
          </w:tcPr>
          <w:p w14:paraId="38DFFDD9"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26-30</w:t>
            </w:r>
          </w:p>
        </w:tc>
        <w:tc>
          <w:tcPr>
            <w:tcW w:w="726" w:type="pct"/>
            <w:tcBorders>
              <w:top w:val="nil"/>
              <w:bottom w:val="nil"/>
            </w:tcBorders>
            <w:noWrap/>
            <w:vAlign w:val="center"/>
            <w:hideMark/>
          </w:tcPr>
          <w:p w14:paraId="041A51F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19</w:t>
            </w:r>
          </w:p>
        </w:tc>
        <w:tc>
          <w:tcPr>
            <w:tcW w:w="555" w:type="pct"/>
            <w:tcBorders>
              <w:top w:val="nil"/>
              <w:bottom w:val="nil"/>
            </w:tcBorders>
            <w:noWrap/>
            <w:vAlign w:val="center"/>
            <w:hideMark/>
          </w:tcPr>
          <w:p w14:paraId="00C6317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19</w:t>
            </w:r>
          </w:p>
        </w:tc>
        <w:tc>
          <w:tcPr>
            <w:tcW w:w="1241" w:type="pct"/>
            <w:tcBorders>
              <w:top w:val="nil"/>
              <w:bottom w:val="nil"/>
            </w:tcBorders>
            <w:noWrap/>
            <w:vAlign w:val="center"/>
            <w:hideMark/>
          </w:tcPr>
          <w:p w14:paraId="4E6379F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92</w:t>
            </w:r>
          </w:p>
        </w:tc>
      </w:tr>
      <w:tr w:rsidR="00F863C7" w:rsidRPr="0035777C" w14:paraId="60A99D37" w14:textId="77777777" w:rsidTr="00F863C7">
        <w:trPr>
          <w:trHeight w:val="300"/>
        </w:trPr>
        <w:tc>
          <w:tcPr>
            <w:tcW w:w="966" w:type="pct"/>
            <w:vMerge/>
            <w:tcBorders>
              <w:top w:val="nil"/>
              <w:bottom w:val="single" w:sz="4" w:space="0" w:color="auto"/>
            </w:tcBorders>
            <w:vAlign w:val="center"/>
            <w:hideMark/>
          </w:tcPr>
          <w:p w14:paraId="04325324" w14:textId="77777777" w:rsidR="0035777C" w:rsidRPr="0035777C" w:rsidRDefault="0035777C" w:rsidP="0035777C">
            <w:pPr>
              <w:spacing w:after="0"/>
              <w:rPr>
                <w:rFonts w:eastAsia="Times New Roman" w:cs="Times New Roman"/>
                <w:color w:val="000000"/>
                <w:sz w:val="22"/>
                <w:lang w:val="en-US"/>
              </w:rPr>
            </w:pPr>
          </w:p>
        </w:tc>
        <w:tc>
          <w:tcPr>
            <w:tcW w:w="1512" w:type="pct"/>
            <w:tcBorders>
              <w:top w:val="nil"/>
              <w:bottom w:val="single" w:sz="4" w:space="0" w:color="auto"/>
            </w:tcBorders>
            <w:noWrap/>
            <w:vAlign w:val="bottom"/>
            <w:hideMark/>
          </w:tcPr>
          <w:p w14:paraId="19AC39A3"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Above 30</w:t>
            </w:r>
          </w:p>
        </w:tc>
        <w:tc>
          <w:tcPr>
            <w:tcW w:w="726" w:type="pct"/>
            <w:tcBorders>
              <w:top w:val="nil"/>
              <w:bottom w:val="single" w:sz="4" w:space="0" w:color="auto"/>
            </w:tcBorders>
            <w:noWrap/>
            <w:vAlign w:val="center"/>
            <w:hideMark/>
          </w:tcPr>
          <w:p w14:paraId="7F2BE679"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8</w:t>
            </w:r>
          </w:p>
        </w:tc>
        <w:tc>
          <w:tcPr>
            <w:tcW w:w="555" w:type="pct"/>
            <w:tcBorders>
              <w:top w:val="nil"/>
              <w:bottom w:val="single" w:sz="4" w:space="0" w:color="auto"/>
            </w:tcBorders>
            <w:noWrap/>
            <w:vAlign w:val="center"/>
            <w:hideMark/>
          </w:tcPr>
          <w:p w14:paraId="52359C0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8</w:t>
            </w:r>
          </w:p>
        </w:tc>
        <w:tc>
          <w:tcPr>
            <w:tcW w:w="1241" w:type="pct"/>
            <w:tcBorders>
              <w:top w:val="nil"/>
              <w:bottom w:val="single" w:sz="4" w:space="0" w:color="auto"/>
            </w:tcBorders>
            <w:noWrap/>
            <w:vAlign w:val="center"/>
            <w:hideMark/>
          </w:tcPr>
          <w:p w14:paraId="6DAEA98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100</w:t>
            </w:r>
          </w:p>
        </w:tc>
      </w:tr>
      <w:tr w:rsidR="00F863C7" w:rsidRPr="0035777C" w14:paraId="31008E41" w14:textId="77777777" w:rsidTr="00F863C7">
        <w:trPr>
          <w:trHeight w:val="300"/>
        </w:trPr>
        <w:tc>
          <w:tcPr>
            <w:tcW w:w="966" w:type="pct"/>
            <w:vMerge w:val="restart"/>
            <w:tcBorders>
              <w:top w:val="single" w:sz="4" w:space="0" w:color="auto"/>
            </w:tcBorders>
            <w:noWrap/>
            <w:vAlign w:val="center"/>
            <w:hideMark/>
          </w:tcPr>
          <w:p w14:paraId="660141C9" w14:textId="77777777" w:rsidR="0035777C" w:rsidRPr="0035777C" w:rsidRDefault="0035777C" w:rsidP="0035777C">
            <w:pPr>
              <w:spacing w:after="0"/>
              <w:jc w:val="center"/>
              <w:rPr>
                <w:rFonts w:eastAsia="Times New Roman" w:cs="Times New Roman"/>
                <w:color w:val="000000"/>
                <w:sz w:val="22"/>
                <w:lang w:val="en-US"/>
              </w:rPr>
            </w:pPr>
            <w:r w:rsidRPr="0035777C">
              <w:rPr>
                <w:rFonts w:eastAsia="Times New Roman" w:cs="Times New Roman"/>
                <w:color w:val="000000"/>
                <w:sz w:val="22"/>
                <w:lang w:val="en-US"/>
              </w:rPr>
              <w:t>Gender</w:t>
            </w:r>
          </w:p>
        </w:tc>
        <w:tc>
          <w:tcPr>
            <w:tcW w:w="1512" w:type="pct"/>
            <w:tcBorders>
              <w:top w:val="single" w:sz="4" w:space="0" w:color="auto"/>
            </w:tcBorders>
            <w:noWrap/>
            <w:vAlign w:val="bottom"/>
            <w:hideMark/>
          </w:tcPr>
          <w:p w14:paraId="5945B10E"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Female</w:t>
            </w:r>
          </w:p>
        </w:tc>
        <w:tc>
          <w:tcPr>
            <w:tcW w:w="726" w:type="pct"/>
            <w:tcBorders>
              <w:top w:val="single" w:sz="4" w:space="0" w:color="auto"/>
            </w:tcBorders>
            <w:noWrap/>
            <w:vAlign w:val="center"/>
            <w:hideMark/>
          </w:tcPr>
          <w:p w14:paraId="61A65BA6"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31</w:t>
            </w:r>
          </w:p>
        </w:tc>
        <w:tc>
          <w:tcPr>
            <w:tcW w:w="555" w:type="pct"/>
            <w:tcBorders>
              <w:top w:val="single" w:sz="4" w:space="0" w:color="auto"/>
            </w:tcBorders>
            <w:noWrap/>
            <w:vAlign w:val="center"/>
            <w:hideMark/>
          </w:tcPr>
          <w:p w14:paraId="4616C8EB"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31</w:t>
            </w:r>
          </w:p>
        </w:tc>
        <w:tc>
          <w:tcPr>
            <w:tcW w:w="1241" w:type="pct"/>
            <w:tcBorders>
              <w:top w:val="single" w:sz="4" w:space="0" w:color="auto"/>
            </w:tcBorders>
            <w:noWrap/>
            <w:vAlign w:val="center"/>
            <w:hideMark/>
          </w:tcPr>
          <w:p w14:paraId="7326C280"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31</w:t>
            </w:r>
          </w:p>
        </w:tc>
      </w:tr>
      <w:tr w:rsidR="00F863C7" w:rsidRPr="0035777C" w14:paraId="7341F184" w14:textId="77777777" w:rsidTr="00F863C7">
        <w:trPr>
          <w:trHeight w:val="300"/>
        </w:trPr>
        <w:tc>
          <w:tcPr>
            <w:tcW w:w="966" w:type="pct"/>
            <w:vMerge/>
            <w:vAlign w:val="center"/>
            <w:hideMark/>
          </w:tcPr>
          <w:p w14:paraId="7D5E20DC" w14:textId="77777777" w:rsidR="0035777C" w:rsidRPr="0035777C" w:rsidRDefault="0035777C" w:rsidP="0035777C">
            <w:pPr>
              <w:spacing w:after="0"/>
              <w:rPr>
                <w:rFonts w:eastAsia="Times New Roman" w:cs="Times New Roman"/>
                <w:color w:val="000000"/>
                <w:sz w:val="22"/>
                <w:lang w:val="en-US"/>
              </w:rPr>
            </w:pPr>
          </w:p>
        </w:tc>
        <w:tc>
          <w:tcPr>
            <w:tcW w:w="1512" w:type="pct"/>
            <w:noWrap/>
            <w:vAlign w:val="bottom"/>
            <w:hideMark/>
          </w:tcPr>
          <w:p w14:paraId="1F1FA28B"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Male</w:t>
            </w:r>
          </w:p>
        </w:tc>
        <w:tc>
          <w:tcPr>
            <w:tcW w:w="726" w:type="pct"/>
            <w:noWrap/>
            <w:vAlign w:val="center"/>
            <w:hideMark/>
          </w:tcPr>
          <w:p w14:paraId="1BAB6379"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62</w:t>
            </w:r>
          </w:p>
        </w:tc>
        <w:tc>
          <w:tcPr>
            <w:tcW w:w="555" w:type="pct"/>
            <w:noWrap/>
            <w:vAlign w:val="center"/>
            <w:hideMark/>
          </w:tcPr>
          <w:p w14:paraId="1913DC8C"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62</w:t>
            </w:r>
          </w:p>
        </w:tc>
        <w:tc>
          <w:tcPr>
            <w:tcW w:w="1241" w:type="pct"/>
            <w:noWrap/>
            <w:vAlign w:val="center"/>
            <w:hideMark/>
          </w:tcPr>
          <w:p w14:paraId="2A00943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93</w:t>
            </w:r>
          </w:p>
        </w:tc>
      </w:tr>
      <w:tr w:rsidR="00F863C7" w:rsidRPr="0035777C" w14:paraId="6838D422" w14:textId="77777777" w:rsidTr="00F863C7">
        <w:trPr>
          <w:trHeight w:val="300"/>
        </w:trPr>
        <w:tc>
          <w:tcPr>
            <w:tcW w:w="966" w:type="pct"/>
            <w:vMerge/>
            <w:vAlign w:val="center"/>
            <w:hideMark/>
          </w:tcPr>
          <w:p w14:paraId="43DB4D5D" w14:textId="77777777" w:rsidR="0035777C" w:rsidRPr="0035777C" w:rsidRDefault="0035777C" w:rsidP="0035777C">
            <w:pPr>
              <w:spacing w:after="0"/>
              <w:rPr>
                <w:rFonts w:eastAsia="Times New Roman" w:cs="Times New Roman"/>
                <w:color w:val="000000"/>
                <w:sz w:val="22"/>
                <w:lang w:val="en-US"/>
              </w:rPr>
            </w:pPr>
          </w:p>
        </w:tc>
        <w:tc>
          <w:tcPr>
            <w:tcW w:w="1512" w:type="pct"/>
            <w:noWrap/>
            <w:vAlign w:val="bottom"/>
            <w:hideMark/>
          </w:tcPr>
          <w:p w14:paraId="4F33BEBA"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Other</w:t>
            </w:r>
          </w:p>
        </w:tc>
        <w:tc>
          <w:tcPr>
            <w:tcW w:w="726" w:type="pct"/>
            <w:noWrap/>
            <w:vAlign w:val="center"/>
            <w:hideMark/>
          </w:tcPr>
          <w:p w14:paraId="0F28CC86"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3</w:t>
            </w:r>
          </w:p>
        </w:tc>
        <w:tc>
          <w:tcPr>
            <w:tcW w:w="555" w:type="pct"/>
            <w:noWrap/>
            <w:vAlign w:val="center"/>
            <w:hideMark/>
          </w:tcPr>
          <w:p w14:paraId="2B3AFA30"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3</w:t>
            </w:r>
          </w:p>
        </w:tc>
        <w:tc>
          <w:tcPr>
            <w:tcW w:w="1241" w:type="pct"/>
            <w:noWrap/>
            <w:vAlign w:val="center"/>
            <w:hideMark/>
          </w:tcPr>
          <w:p w14:paraId="109CBE2F"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96</w:t>
            </w:r>
          </w:p>
        </w:tc>
      </w:tr>
      <w:tr w:rsidR="00F863C7" w:rsidRPr="0035777C" w14:paraId="732E0123" w14:textId="77777777" w:rsidTr="00F863C7">
        <w:trPr>
          <w:trHeight w:val="300"/>
        </w:trPr>
        <w:tc>
          <w:tcPr>
            <w:tcW w:w="966" w:type="pct"/>
            <w:vMerge/>
            <w:tcBorders>
              <w:bottom w:val="single" w:sz="4" w:space="0" w:color="auto"/>
            </w:tcBorders>
            <w:vAlign w:val="center"/>
            <w:hideMark/>
          </w:tcPr>
          <w:p w14:paraId="672F0BFE" w14:textId="77777777" w:rsidR="0035777C" w:rsidRPr="0035777C" w:rsidRDefault="0035777C" w:rsidP="0035777C">
            <w:pPr>
              <w:spacing w:after="0"/>
              <w:rPr>
                <w:rFonts w:eastAsia="Times New Roman" w:cs="Times New Roman"/>
                <w:color w:val="000000"/>
                <w:sz w:val="22"/>
                <w:lang w:val="en-US"/>
              </w:rPr>
            </w:pPr>
          </w:p>
        </w:tc>
        <w:tc>
          <w:tcPr>
            <w:tcW w:w="1512" w:type="pct"/>
            <w:tcBorders>
              <w:bottom w:val="single" w:sz="4" w:space="0" w:color="auto"/>
            </w:tcBorders>
            <w:noWrap/>
            <w:vAlign w:val="bottom"/>
            <w:hideMark/>
          </w:tcPr>
          <w:p w14:paraId="12EC01D8"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Prefer not to say</w:t>
            </w:r>
          </w:p>
        </w:tc>
        <w:tc>
          <w:tcPr>
            <w:tcW w:w="726" w:type="pct"/>
            <w:tcBorders>
              <w:bottom w:val="single" w:sz="4" w:space="0" w:color="auto"/>
            </w:tcBorders>
            <w:noWrap/>
            <w:vAlign w:val="center"/>
            <w:hideMark/>
          </w:tcPr>
          <w:p w14:paraId="030F6489"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4</w:t>
            </w:r>
          </w:p>
        </w:tc>
        <w:tc>
          <w:tcPr>
            <w:tcW w:w="555" w:type="pct"/>
            <w:tcBorders>
              <w:bottom w:val="single" w:sz="4" w:space="0" w:color="auto"/>
            </w:tcBorders>
            <w:noWrap/>
            <w:vAlign w:val="center"/>
            <w:hideMark/>
          </w:tcPr>
          <w:p w14:paraId="00907D9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4</w:t>
            </w:r>
          </w:p>
        </w:tc>
        <w:tc>
          <w:tcPr>
            <w:tcW w:w="1241" w:type="pct"/>
            <w:tcBorders>
              <w:bottom w:val="single" w:sz="4" w:space="0" w:color="auto"/>
            </w:tcBorders>
            <w:noWrap/>
            <w:vAlign w:val="center"/>
            <w:hideMark/>
          </w:tcPr>
          <w:p w14:paraId="422DD415"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100</w:t>
            </w:r>
          </w:p>
        </w:tc>
      </w:tr>
      <w:tr w:rsidR="00F863C7" w:rsidRPr="0035777C" w14:paraId="699524EF" w14:textId="77777777" w:rsidTr="00F863C7">
        <w:trPr>
          <w:trHeight w:val="300"/>
        </w:trPr>
        <w:tc>
          <w:tcPr>
            <w:tcW w:w="966" w:type="pct"/>
            <w:vMerge w:val="restart"/>
            <w:tcBorders>
              <w:top w:val="single" w:sz="4" w:space="0" w:color="auto"/>
              <w:bottom w:val="nil"/>
            </w:tcBorders>
            <w:noWrap/>
            <w:vAlign w:val="center"/>
            <w:hideMark/>
          </w:tcPr>
          <w:p w14:paraId="46EE8ECE" w14:textId="77777777" w:rsidR="0035777C" w:rsidRPr="0035777C" w:rsidRDefault="0035777C" w:rsidP="0035777C">
            <w:pPr>
              <w:spacing w:after="0"/>
              <w:jc w:val="center"/>
              <w:rPr>
                <w:rFonts w:eastAsia="Times New Roman" w:cs="Times New Roman"/>
                <w:color w:val="000000"/>
                <w:sz w:val="22"/>
                <w:lang w:val="en-US"/>
              </w:rPr>
            </w:pPr>
            <w:r w:rsidRPr="0035777C">
              <w:rPr>
                <w:rFonts w:eastAsia="Times New Roman" w:cs="Times New Roman"/>
                <w:color w:val="000000"/>
                <w:sz w:val="22"/>
                <w:lang w:val="en-US"/>
              </w:rPr>
              <w:lastRenderedPageBreak/>
              <w:t>Level of Study</w:t>
            </w:r>
          </w:p>
        </w:tc>
        <w:tc>
          <w:tcPr>
            <w:tcW w:w="1512" w:type="pct"/>
            <w:tcBorders>
              <w:top w:val="single" w:sz="4" w:space="0" w:color="auto"/>
              <w:bottom w:val="nil"/>
            </w:tcBorders>
            <w:noWrap/>
            <w:vAlign w:val="bottom"/>
            <w:hideMark/>
          </w:tcPr>
          <w:p w14:paraId="48E94EAD"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Other</w:t>
            </w:r>
          </w:p>
        </w:tc>
        <w:tc>
          <w:tcPr>
            <w:tcW w:w="726" w:type="pct"/>
            <w:tcBorders>
              <w:top w:val="single" w:sz="4" w:space="0" w:color="auto"/>
              <w:bottom w:val="nil"/>
            </w:tcBorders>
            <w:noWrap/>
            <w:vAlign w:val="center"/>
            <w:hideMark/>
          </w:tcPr>
          <w:p w14:paraId="397C1485"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6</w:t>
            </w:r>
          </w:p>
        </w:tc>
        <w:tc>
          <w:tcPr>
            <w:tcW w:w="555" w:type="pct"/>
            <w:tcBorders>
              <w:top w:val="single" w:sz="4" w:space="0" w:color="auto"/>
              <w:bottom w:val="nil"/>
            </w:tcBorders>
            <w:noWrap/>
            <w:vAlign w:val="center"/>
            <w:hideMark/>
          </w:tcPr>
          <w:p w14:paraId="682C0BB4"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6</w:t>
            </w:r>
          </w:p>
        </w:tc>
        <w:tc>
          <w:tcPr>
            <w:tcW w:w="1241" w:type="pct"/>
            <w:tcBorders>
              <w:top w:val="single" w:sz="4" w:space="0" w:color="auto"/>
              <w:bottom w:val="nil"/>
            </w:tcBorders>
            <w:noWrap/>
            <w:vAlign w:val="center"/>
            <w:hideMark/>
          </w:tcPr>
          <w:p w14:paraId="7CC9ECFA"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6</w:t>
            </w:r>
          </w:p>
        </w:tc>
      </w:tr>
      <w:tr w:rsidR="00F863C7" w:rsidRPr="0035777C" w14:paraId="642109C6" w14:textId="77777777" w:rsidTr="00F863C7">
        <w:trPr>
          <w:trHeight w:val="300"/>
        </w:trPr>
        <w:tc>
          <w:tcPr>
            <w:tcW w:w="966" w:type="pct"/>
            <w:vMerge/>
            <w:tcBorders>
              <w:top w:val="nil"/>
              <w:bottom w:val="nil"/>
            </w:tcBorders>
            <w:vAlign w:val="center"/>
            <w:hideMark/>
          </w:tcPr>
          <w:p w14:paraId="19B6D73E" w14:textId="77777777" w:rsidR="0035777C" w:rsidRPr="0035777C" w:rsidRDefault="0035777C" w:rsidP="0035777C">
            <w:pPr>
              <w:spacing w:after="0"/>
              <w:rPr>
                <w:rFonts w:eastAsia="Times New Roman" w:cs="Times New Roman"/>
                <w:color w:val="000000"/>
                <w:sz w:val="22"/>
                <w:lang w:val="en-US"/>
              </w:rPr>
            </w:pPr>
          </w:p>
        </w:tc>
        <w:tc>
          <w:tcPr>
            <w:tcW w:w="1512" w:type="pct"/>
            <w:tcBorders>
              <w:top w:val="nil"/>
              <w:bottom w:val="nil"/>
            </w:tcBorders>
            <w:noWrap/>
            <w:vAlign w:val="bottom"/>
            <w:hideMark/>
          </w:tcPr>
          <w:p w14:paraId="166C2703"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 xml:space="preserve">Postgraduate </w:t>
            </w:r>
          </w:p>
        </w:tc>
        <w:tc>
          <w:tcPr>
            <w:tcW w:w="726" w:type="pct"/>
            <w:tcBorders>
              <w:top w:val="nil"/>
              <w:bottom w:val="nil"/>
            </w:tcBorders>
            <w:noWrap/>
            <w:vAlign w:val="center"/>
            <w:hideMark/>
          </w:tcPr>
          <w:p w14:paraId="4E216E7D"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21</w:t>
            </w:r>
          </w:p>
        </w:tc>
        <w:tc>
          <w:tcPr>
            <w:tcW w:w="555" w:type="pct"/>
            <w:tcBorders>
              <w:top w:val="nil"/>
              <w:bottom w:val="nil"/>
            </w:tcBorders>
            <w:noWrap/>
            <w:vAlign w:val="center"/>
            <w:hideMark/>
          </w:tcPr>
          <w:p w14:paraId="7398876D"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21</w:t>
            </w:r>
          </w:p>
        </w:tc>
        <w:tc>
          <w:tcPr>
            <w:tcW w:w="1241" w:type="pct"/>
            <w:tcBorders>
              <w:top w:val="nil"/>
              <w:bottom w:val="nil"/>
            </w:tcBorders>
            <w:noWrap/>
            <w:vAlign w:val="center"/>
            <w:hideMark/>
          </w:tcPr>
          <w:p w14:paraId="3D904E85"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27</w:t>
            </w:r>
          </w:p>
        </w:tc>
      </w:tr>
      <w:tr w:rsidR="00F863C7" w:rsidRPr="0035777C" w14:paraId="204B5024" w14:textId="77777777" w:rsidTr="00F863C7">
        <w:trPr>
          <w:trHeight w:val="300"/>
        </w:trPr>
        <w:tc>
          <w:tcPr>
            <w:tcW w:w="966" w:type="pct"/>
            <w:vMerge/>
            <w:tcBorders>
              <w:top w:val="nil"/>
              <w:bottom w:val="single" w:sz="4" w:space="0" w:color="auto"/>
            </w:tcBorders>
            <w:vAlign w:val="center"/>
            <w:hideMark/>
          </w:tcPr>
          <w:p w14:paraId="6280D961" w14:textId="77777777" w:rsidR="0035777C" w:rsidRPr="0035777C" w:rsidRDefault="0035777C" w:rsidP="0035777C">
            <w:pPr>
              <w:spacing w:after="0"/>
              <w:rPr>
                <w:rFonts w:eastAsia="Times New Roman" w:cs="Times New Roman"/>
                <w:color w:val="000000"/>
                <w:sz w:val="22"/>
                <w:lang w:val="en-US"/>
              </w:rPr>
            </w:pPr>
          </w:p>
        </w:tc>
        <w:tc>
          <w:tcPr>
            <w:tcW w:w="1512" w:type="pct"/>
            <w:tcBorders>
              <w:top w:val="nil"/>
              <w:bottom w:val="single" w:sz="4" w:space="0" w:color="auto"/>
            </w:tcBorders>
            <w:noWrap/>
            <w:vAlign w:val="bottom"/>
            <w:hideMark/>
          </w:tcPr>
          <w:p w14:paraId="04204006"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Undergraduate</w:t>
            </w:r>
          </w:p>
        </w:tc>
        <w:tc>
          <w:tcPr>
            <w:tcW w:w="726" w:type="pct"/>
            <w:tcBorders>
              <w:top w:val="nil"/>
              <w:bottom w:val="single" w:sz="4" w:space="0" w:color="auto"/>
            </w:tcBorders>
            <w:noWrap/>
            <w:vAlign w:val="center"/>
            <w:hideMark/>
          </w:tcPr>
          <w:p w14:paraId="6444DB3A"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73</w:t>
            </w:r>
          </w:p>
        </w:tc>
        <w:tc>
          <w:tcPr>
            <w:tcW w:w="555" w:type="pct"/>
            <w:tcBorders>
              <w:top w:val="nil"/>
              <w:bottom w:val="single" w:sz="4" w:space="0" w:color="auto"/>
            </w:tcBorders>
            <w:noWrap/>
            <w:vAlign w:val="center"/>
            <w:hideMark/>
          </w:tcPr>
          <w:p w14:paraId="409B30FD"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73</w:t>
            </w:r>
          </w:p>
        </w:tc>
        <w:tc>
          <w:tcPr>
            <w:tcW w:w="1241" w:type="pct"/>
            <w:tcBorders>
              <w:top w:val="nil"/>
              <w:bottom w:val="single" w:sz="4" w:space="0" w:color="auto"/>
            </w:tcBorders>
            <w:noWrap/>
            <w:vAlign w:val="center"/>
            <w:hideMark/>
          </w:tcPr>
          <w:p w14:paraId="1CB3297D"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100</w:t>
            </w:r>
          </w:p>
        </w:tc>
      </w:tr>
      <w:tr w:rsidR="00F863C7" w:rsidRPr="0035777C" w14:paraId="763B018F" w14:textId="77777777" w:rsidTr="00F863C7">
        <w:trPr>
          <w:trHeight w:val="300"/>
        </w:trPr>
        <w:tc>
          <w:tcPr>
            <w:tcW w:w="966" w:type="pct"/>
            <w:vMerge w:val="restart"/>
            <w:tcBorders>
              <w:top w:val="single" w:sz="4" w:space="0" w:color="auto"/>
            </w:tcBorders>
            <w:noWrap/>
            <w:vAlign w:val="center"/>
            <w:hideMark/>
          </w:tcPr>
          <w:p w14:paraId="044E439B" w14:textId="77777777" w:rsidR="0035777C" w:rsidRPr="0035777C" w:rsidRDefault="0035777C" w:rsidP="0035777C">
            <w:pPr>
              <w:spacing w:after="0"/>
              <w:jc w:val="center"/>
              <w:rPr>
                <w:rFonts w:eastAsia="Times New Roman" w:cs="Times New Roman"/>
                <w:color w:val="000000"/>
                <w:sz w:val="22"/>
                <w:lang w:val="en-US"/>
              </w:rPr>
            </w:pPr>
            <w:r w:rsidRPr="0035777C">
              <w:rPr>
                <w:rFonts w:eastAsia="Times New Roman" w:cs="Times New Roman"/>
                <w:color w:val="000000"/>
                <w:sz w:val="22"/>
                <w:lang w:val="en-US"/>
              </w:rPr>
              <w:t>Area of Study</w:t>
            </w:r>
          </w:p>
        </w:tc>
        <w:tc>
          <w:tcPr>
            <w:tcW w:w="1512" w:type="pct"/>
            <w:tcBorders>
              <w:top w:val="single" w:sz="4" w:space="0" w:color="auto"/>
            </w:tcBorders>
            <w:noWrap/>
            <w:vAlign w:val="bottom"/>
            <w:hideMark/>
          </w:tcPr>
          <w:p w14:paraId="49845292"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Business Administration</w:t>
            </w:r>
          </w:p>
        </w:tc>
        <w:tc>
          <w:tcPr>
            <w:tcW w:w="726" w:type="pct"/>
            <w:tcBorders>
              <w:top w:val="single" w:sz="4" w:space="0" w:color="auto"/>
            </w:tcBorders>
            <w:noWrap/>
            <w:vAlign w:val="center"/>
            <w:hideMark/>
          </w:tcPr>
          <w:p w14:paraId="74608CE4"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12</w:t>
            </w:r>
          </w:p>
        </w:tc>
        <w:tc>
          <w:tcPr>
            <w:tcW w:w="555" w:type="pct"/>
            <w:tcBorders>
              <w:top w:val="single" w:sz="4" w:space="0" w:color="auto"/>
            </w:tcBorders>
            <w:noWrap/>
            <w:vAlign w:val="center"/>
            <w:hideMark/>
          </w:tcPr>
          <w:p w14:paraId="370A0F93"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12</w:t>
            </w:r>
          </w:p>
        </w:tc>
        <w:tc>
          <w:tcPr>
            <w:tcW w:w="1241" w:type="pct"/>
            <w:tcBorders>
              <w:top w:val="single" w:sz="4" w:space="0" w:color="auto"/>
            </w:tcBorders>
            <w:noWrap/>
            <w:vAlign w:val="center"/>
            <w:hideMark/>
          </w:tcPr>
          <w:p w14:paraId="180440EA"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12</w:t>
            </w:r>
          </w:p>
        </w:tc>
      </w:tr>
      <w:tr w:rsidR="00F863C7" w:rsidRPr="0035777C" w14:paraId="161EC9B4" w14:textId="77777777" w:rsidTr="00F863C7">
        <w:trPr>
          <w:trHeight w:val="300"/>
        </w:trPr>
        <w:tc>
          <w:tcPr>
            <w:tcW w:w="966" w:type="pct"/>
            <w:vMerge/>
            <w:vAlign w:val="center"/>
            <w:hideMark/>
          </w:tcPr>
          <w:p w14:paraId="50B7BFC3" w14:textId="77777777" w:rsidR="0035777C" w:rsidRPr="0035777C" w:rsidRDefault="0035777C" w:rsidP="0035777C">
            <w:pPr>
              <w:spacing w:after="0"/>
              <w:rPr>
                <w:rFonts w:eastAsia="Times New Roman" w:cs="Times New Roman"/>
                <w:color w:val="000000"/>
                <w:sz w:val="22"/>
                <w:lang w:val="en-US"/>
              </w:rPr>
            </w:pPr>
          </w:p>
        </w:tc>
        <w:tc>
          <w:tcPr>
            <w:tcW w:w="1512" w:type="pct"/>
            <w:noWrap/>
            <w:vAlign w:val="bottom"/>
            <w:hideMark/>
          </w:tcPr>
          <w:p w14:paraId="34447C93"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Computer Science / IT</w:t>
            </w:r>
          </w:p>
        </w:tc>
        <w:tc>
          <w:tcPr>
            <w:tcW w:w="726" w:type="pct"/>
            <w:noWrap/>
            <w:vAlign w:val="center"/>
            <w:hideMark/>
          </w:tcPr>
          <w:p w14:paraId="426BD9FC"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52</w:t>
            </w:r>
          </w:p>
        </w:tc>
        <w:tc>
          <w:tcPr>
            <w:tcW w:w="555" w:type="pct"/>
            <w:noWrap/>
            <w:vAlign w:val="center"/>
            <w:hideMark/>
          </w:tcPr>
          <w:p w14:paraId="3E96766F"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52</w:t>
            </w:r>
          </w:p>
        </w:tc>
        <w:tc>
          <w:tcPr>
            <w:tcW w:w="1241" w:type="pct"/>
            <w:noWrap/>
            <w:vAlign w:val="center"/>
            <w:hideMark/>
          </w:tcPr>
          <w:p w14:paraId="2D4A4AA8"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64</w:t>
            </w:r>
          </w:p>
        </w:tc>
      </w:tr>
      <w:tr w:rsidR="00F863C7" w:rsidRPr="0035777C" w14:paraId="203295A4" w14:textId="77777777" w:rsidTr="00F863C7">
        <w:trPr>
          <w:trHeight w:val="300"/>
        </w:trPr>
        <w:tc>
          <w:tcPr>
            <w:tcW w:w="966" w:type="pct"/>
            <w:vMerge/>
            <w:vAlign w:val="center"/>
            <w:hideMark/>
          </w:tcPr>
          <w:p w14:paraId="362CBA7C" w14:textId="77777777" w:rsidR="0035777C" w:rsidRPr="0035777C" w:rsidRDefault="0035777C" w:rsidP="0035777C">
            <w:pPr>
              <w:spacing w:after="0"/>
              <w:rPr>
                <w:rFonts w:eastAsia="Times New Roman" w:cs="Times New Roman"/>
                <w:color w:val="000000"/>
                <w:sz w:val="22"/>
                <w:lang w:val="en-US"/>
              </w:rPr>
            </w:pPr>
          </w:p>
        </w:tc>
        <w:tc>
          <w:tcPr>
            <w:tcW w:w="1512" w:type="pct"/>
            <w:noWrap/>
            <w:vAlign w:val="bottom"/>
            <w:hideMark/>
          </w:tcPr>
          <w:p w14:paraId="6CFAF472"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Economics</w:t>
            </w:r>
          </w:p>
        </w:tc>
        <w:tc>
          <w:tcPr>
            <w:tcW w:w="726" w:type="pct"/>
            <w:noWrap/>
            <w:vAlign w:val="center"/>
            <w:hideMark/>
          </w:tcPr>
          <w:p w14:paraId="7280AB9A"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11</w:t>
            </w:r>
          </w:p>
        </w:tc>
        <w:tc>
          <w:tcPr>
            <w:tcW w:w="555" w:type="pct"/>
            <w:noWrap/>
            <w:vAlign w:val="center"/>
            <w:hideMark/>
          </w:tcPr>
          <w:p w14:paraId="4D442C41"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11</w:t>
            </w:r>
          </w:p>
        </w:tc>
        <w:tc>
          <w:tcPr>
            <w:tcW w:w="1241" w:type="pct"/>
            <w:noWrap/>
            <w:vAlign w:val="center"/>
            <w:hideMark/>
          </w:tcPr>
          <w:p w14:paraId="4B629673"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75</w:t>
            </w:r>
          </w:p>
        </w:tc>
      </w:tr>
      <w:tr w:rsidR="00F863C7" w:rsidRPr="0035777C" w14:paraId="7CFA16D8" w14:textId="77777777" w:rsidTr="00F863C7">
        <w:trPr>
          <w:trHeight w:val="300"/>
        </w:trPr>
        <w:tc>
          <w:tcPr>
            <w:tcW w:w="966" w:type="pct"/>
            <w:vMerge/>
            <w:vAlign w:val="center"/>
            <w:hideMark/>
          </w:tcPr>
          <w:p w14:paraId="4FA38294" w14:textId="77777777" w:rsidR="0035777C" w:rsidRPr="0035777C" w:rsidRDefault="0035777C" w:rsidP="0035777C">
            <w:pPr>
              <w:spacing w:after="0"/>
              <w:rPr>
                <w:rFonts w:eastAsia="Times New Roman" w:cs="Times New Roman"/>
                <w:color w:val="000000"/>
                <w:sz w:val="22"/>
                <w:lang w:val="en-US"/>
              </w:rPr>
            </w:pPr>
          </w:p>
        </w:tc>
        <w:tc>
          <w:tcPr>
            <w:tcW w:w="1512" w:type="pct"/>
            <w:noWrap/>
            <w:vAlign w:val="bottom"/>
            <w:hideMark/>
          </w:tcPr>
          <w:p w14:paraId="4ED544FA"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Other</w:t>
            </w:r>
          </w:p>
        </w:tc>
        <w:tc>
          <w:tcPr>
            <w:tcW w:w="726" w:type="pct"/>
            <w:noWrap/>
            <w:vAlign w:val="center"/>
            <w:hideMark/>
          </w:tcPr>
          <w:p w14:paraId="66C40329"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13</w:t>
            </w:r>
          </w:p>
        </w:tc>
        <w:tc>
          <w:tcPr>
            <w:tcW w:w="555" w:type="pct"/>
            <w:noWrap/>
            <w:vAlign w:val="center"/>
            <w:hideMark/>
          </w:tcPr>
          <w:p w14:paraId="08BA1BA8"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13</w:t>
            </w:r>
          </w:p>
        </w:tc>
        <w:tc>
          <w:tcPr>
            <w:tcW w:w="1241" w:type="pct"/>
            <w:noWrap/>
            <w:vAlign w:val="center"/>
            <w:hideMark/>
          </w:tcPr>
          <w:p w14:paraId="66C3B4C0"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88</w:t>
            </w:r>
          </w:p>
        </w:tc>
      </w:tr>
      <w:tr w:rsidR="00F863C7" w:rsidRPr="0035777C" w14:paraId="4B13B0ED" w14:textId="77777777" w:rsidTr="00F863C7">
        <w:trPr>
          <w:trHeight w:val="300"/>
        </w:trPr>
        <w:tc>
          <w:tcPr>
            <w:tcW w:w="966" w:type="pct"/>
            <w:vMerge/>
            <w:vAlign w:val="center"/>
            <w:hideMark/>
          </w:tcPr>
          <w:p w14:paraId="214B484B" w14:textId="77777777" w:rsidR="0035777C" w:rsidRPr="0035777C" w:rsidRDefault="0035777C" w:rsidP="0035777C">
            <w:pPr>
              <w:spacing w:after="0"/>
              <w:rPr>
                <w:rFonts w:eastAsia="Times New Roman" w:cs="Times New Roman"/>
                <w:color w:val="000000"/>
                <w:sz w:val="22"/>
                <w:lang w:val="en-US"/>
              </w:rPr>
            </w:pPr>
          </w:p>
        </w:tc>
        <w:tc>
          <w:tcPr>
            <w:tcW w:w="1512" w:type="pct"/>
            <w:noWrap/>
            <w:vAlign w:val="bottom"/>
            <w:hideMark/>
          </w:tcPr>
          <w:p w14:paraId="60212768" w14:textId="77777777" w:rsidR="0035777C" w:rsidRPr="0035777C" w:rsidRDefault="0035777C" w:rsidP="0035777C">
            <w:pPr>
              <w:spacing w:after="0"/>
              <w:rPr>
                <w:rFonts w:eastAsia="Times New Roman" w:cs="Times New Roman"/>
                <w:color w:val="000000"/>
                <w:sz w:val="22"/>
                <w:lang w:val="en-US"/>
              </w:rPr>
            </w:pPr>
            <w:r w:rsidRPr="0035777C">
              <w:rPr>
                <w:rFonts w:eastAsia="Times New Roman" w:cs="Times New Roman"/>
                <w:color w:val="000000"/>
                <w:sz w:val="22"/>
                <w:lang w:val="en-US"/>
              </w:rPr>
              <w:t>Social Sciences</w:t>
            </w:r>
          </w:p>
        </w:tc>
        <w:tc>
          <w:tcPr>
            <w:tcW w:w="726" w:type="pct"/>
            <w:noWrap/>
            <w:vAlign w:val="center"/>
            <w:hideMark/>
          </w:tcPr>
          <w:p w14:paraId="72F1A987"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12</w:t>
            </w:r>
          </w:p>
        </w:tc>
        <w:tc>
          <w:tcPr>
            <w:tcW w:w="555" w:type="pct"/>
            <w:noWrap/>
            <w:vAlign w:val="center"/>
            <w:hideMark/>
          </w:tcPr>
          <w:p w14:paraId="3C019DB3"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12</w:t>
            </w:r>
          </w:p>
        </w:tc>
        <w:tc>
          <w:tcPr>
            <w:tcW w:w="1241" w:type="pct"/>
            <w:noWrap/>
            <w:vAlign w:val="center"/>
            <w:hideMark/>
          </w:tcPr>
          <w:p w14:paraId="250BA708" w14:textId="77777777" w:rsidR="0035777C" w:rsidRPr="0035777C" w:rsidRDefault="0035777C" w:rsidP="00F863C7">
            <w:pPr>
              <w:spacing w:after="0"/>
              <w:jc w:val="center"/>
              <w:rPr>
                <w:rFonts w:eastAsia="Times New Roman" w:cs="Times New Roman"/>
                <w:color w:val="000000"/>
                <w:sz w:val="22"/>
                <w:lang w:val="en-US"/>
              </w:rPr>
            </w:pPr>
            <w:r w:rsidRPr="0035777C">
              <w:rPr>
                <w:rFonts w:eastAsia="Times New Roman" w:cs="Times New Roman"/>
                <w:color w:val="000000"/>
                <w:sz w:val="22"/>
                <w:lang w:val="en-US"/>
              </w:rPr>
              <w:t>100</w:t>
            </w:r>
          </w:p>
        </w:tc>
      </w:tr>
    </w:tbl>
    <w:p w14:paraId="4D7757D4" w14:textId="77777777" w:rsidR="00F863C7" w:rsidRDefault="00F863C7" w:rsidP="00F525C5">
      <w:pPr>
        <w:jc w:val="both"/>
      </w:pPr>
      <w:r w:rsidRPr="00F863C7">
        <w:t>Out of the 100 students surveyed, a significant majority—78%—reported having knowledge of blockchain technology, while 22% indicated no prior knowledge. This high level of awareness highlights that blockchain is increasingly recognized among students, particularly in an academic environment where more than half (52%) are from Computer Science or IT backgrounds. Such a strong base of understanding supports the relevance of investigating further how this awareness influences the acceptance of blockchain-based authentication frameworks in IoT applications, especially within tech-oriented student populations.</w:t>
      </w:r>
    </w:p>
    <w:p w14:paraId="767130C9" w14:textId="77777777" w:rsidR="00F863C7" w:rsidRDefault="00F863C7" w:rsidP="00F863C7">
      <w:pPr>
        <w:jc w:val="center"/>
      </w:pPr>
      <w:r>
        <w:rPr>
          <w:noProof/>
          <w:lang w:val="en-US"/>
        </w:rPr>
        <w:drawing>
          <wp:inline distT="0" distB="0" distL="0" distR="0" wp14:anchorId="2765FF81" wp14:editId="0F07C1AC">
            <wp:extent cx="4584700" cy="27559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F6987E0" w14:textId="77777777" w:rsidR="00F863C7" w:rsidRDefault="00F863C7" w:rsidP="00F863C7">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Knowledge about Blockchain</w:t>
      </w:r>
    </w:p>
    <w:p w14:paraId="3E8E9C21" w14:textId="77777777" w:rsidR="00F863C7" w:rsidRDefault="00F863C7" w:rsidP="00F863C7">
      <w:pPr>
        <w:jc w:val="both"/>
      </w:pPr>
      <w:r w:rsidRPr="00F863C7">
        <w:t xml:space="preserve">The data on students’ understanding of IoT </w:t>
      </w:r>
      <w:r>
        <w:t xml:space="preserve">in figure 2 </w:t>
      </w:r>
      <w:r w:rsidRPr="00F863C7">
        <w:t>reveals that a majority—48%—rated their understanding as Good, followed by 18% who considered it Very Good, and 24% who described it as Fair. A small portion of the sample reported Poor (6%) or Very Poor (4%) understanding. These results indicate that 66% of students perceive themselves as having a good to very good grasp of IoT concepts, which is encouraging for studies involving advanced technologies such as blockchain integration. The overall positive awareness further supports the feasibility of exploring how IoT knowledge relates to the acceptance of blockchain-based authentication frameworks.</w:t>
      </w:r>
    </w:p>
    <w:p w14:paraId="00086C4B" w14:textId="77777777" w:rsidR="00F863C7" w:rsidRDefault="00F863C7" w:rsidP="00F863C7">
      <w:pPr>
        <w:jc w:val="center"/>
      </w:pPr>
      <w:r>
        <w:rPr>
          <w:noProof/>
          <w:lang w:val="en-US"/>
        </w:rPr>
        <w:lastRenderedPageBreak/>
        <w:drawing>
          <wp:inline distT="0" distB="0" distL="0" distR="0" wp14:anchorId="379D93BD" wp14:editId="3339929A">
            <wp:extent cx="4584700" cy="27559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E2F259A" w14:textId="77777777" w:rsidR="00F863C7" w:rsidRDefault="00F863C7" w:rsidP="00F863C7">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Understanding of IoT</w:t>
      </w:r>
    </w:p>
    <w:p w14:paraId="51C2732A" w14:textId="77777777" w:rsidR="00F863C7" w:rsidRDefault="00F863C7" w:rsidP="00F863C7">
      <w:pPr>
        <w:jc w:val="both"/>
      </w:pPr>
      <w:r>
        <w:t>The analysis of the sample indicates that most students possess a reasonable to strong familiarity with both blockchain technology and IoT concepts. The majority demonstrate good awareness of blockchain, reflecting their exposure to or education in emerging digital technologies, particularly those enrolled in computing-related programs. Similarly, the understanding of IoT among students is largely positive, with a substantial portion reporting fair to very good comprehension. This suggests that the sample group is well-positioned to provide informed responses regarding the integration and acceptance of blockchain-based authentication frameworks within IoT environments, making them suitable participants for such a study.</w:t>
      </w:r>
    </w:p>
    <w:p w14:paraId="2BC90127" w14:textId="77777777" w:rsidR="00F863C7" w:rsidRDefault="001B0B9E" w:rsidP="00F863C7">
      <w:pPr>
        <w:jc w:val="both"/>
      </w:pPr>
      <w:r w:rsidRPr="001B0B9E">
        <w:t>Given the students' generally strong understanding of blockchain and IoT concepts, it becomes crucial to ensure the reliability of the measurement</w:t>
      </w:r>
      <w:r w:rsidR="00685CD3">
        <w:t xml:space="preserve"> instruments used in the study.</w:t>
      </w:r>
      <w:r>
        <w:t xml:space="preserve"> The reliability estimates of current study are presented in Table 2.</w:t>
      </w:r>
    </w:p>
    <w:p w14:paraId="593E0869" w14:textId="77777777" w:rsidR="001B0B9E" w:rsidRDefault="001B0B9E" w:rsidP="001B0B9E">
      <w:pPr>
        <w:pStyle w:val="Caption"/>
        <w:jc w:val="center"/>
      </w:pPr>
      <w:r>
        <w:t xml:space="preserve">Table </w:t>
      </w:r>
      <w:r>
        <w:fldChar w:fldCharType="begin"/>
      </w:r>
      <w:r>
        <w:instrText xml:space="preserve"> SEQ Table \* ARABIC </w:instrText>
      </w:r>
      <w:r>
        <w:fldChar w:fldCharType="separate"/>
      </w:r>
      <w:r w:rsidR="00936FD4">
        <w:rPr>
          <w:noProof/>
        </w:rPr>
        <w:t>2</w:t>
      </w:r>
      <w:r>
        <w:fldChar w:fldCharType="end"/>
      </w:r>
      <w:r>
        <w:t>: Reliability Estimates</w:t>
      </w:r>
    </w:p>
    <w:tbl>
      <w:tblPr>
        <w:tblW w:w="5000" w:type="pct"/>
        <w:tblBorders>
          <w:top w:val="single" w:sz="4" w:space="0" w:color="auto"/>
          <w:bottom w:val="single" w:sz="4" w:space="0" w:color="auto"/>
        </w:tblBorders>
        <w:tblLook w:val="04A0" w:firstRow="1" w:lastRow="0" w:firstColumn="1" w:lastColumn="0" w:noHBand="0" w:noVBand="1"/>
      </w:tblPr>
      <w:tblGrid>
        <w:gridCol w:w="2980"/>
        <w:gridCol w:w="1439"/>
        <w:gridCol w:w="1851"/>
        <w:gridCol w:w="925"/>
        <w:gridCol w:w="1130"/>
        <w:gridCol w:w="1035"/>
      </w:tblGrid>
      <w:tr w:rsidR="00304493" w:rsidRPr="00304493" w14:paraId="58459556" w14:textId="77777777" w:rsidTr="00304493">
        <w:trPr>
          <w:trHeight w:val="600"/>
        </w:trPr>
        <w:tc>
          <w:tcPr>
            <w:tcW w:w="1594" w:type="pct"/>
            <w:tcBorders>
              <w:top w:val="single" w:sz="4" w:space="0" w:color="auto"/>
              <w:bottom w:val="single" w:sz="4" w:space="0" w:color="auto"/>
            </w:tcBorders>
            <w:vAlign w:val="center"/>
            <w:hideMark/>
          </w:tcPr>
          <w:p w14:paraId="3BD59CC8"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Factor</w:t>
            </w:r>
          </w:p>
        </w:tc>
        <w:tc>
          <w:tcPr>
            <w:tcW w:w="771" w:type="pct"/>
            <w:tcBorders>
              <w:top w:val="single" w:sz="4" w:space="0" w:color="auto"/>
              <w:bottom w:val="single" w:sz="4" w:space="0" w:color="auto"/>
            </w:tcBorders>
            <w:vAlign w:val="center"/>
            <w:hideMark/>
          </w:tcPr>
          <w:p w14:paraId="0CEC6912"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Number of Items</w:t>
            </w:r>
          </w:p>
        </w:tc>
        <w:tc>
          <w:tcPr>
            <w:tcW w:w="991" w:type="pct"/>
            <w:tcBorders>
              <w:top w:val="single" w:sz="4" w:space="0" w:color="auto"/>
              <w:bottom w:val="single" w:sz="4" w:space="0" w:color="auto"/>
            </w:tcBorders>
            <w:vAlign w:val="center"/>
            <w:hideMark/>
          </w:tcPr>
          <w:p w14:paraId="648784CB"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Cronbach's Alpha</w:t>
            </w:r>
          </w:p>
        </w:tc>
        <w:tc>
          <w:tcPr>
            <w:tcW w:w="496" w:type="pct"/>
            <w:tcBorders>
              <w:top w:val="single" w:sz="4" w:space="0" w:color="auto"/>
              <w:bottom w:val="single" w:sz="4" w:space="0" w:color="auto"/>
            </w:tcBorders>
            <w:noWrap/>
            <w:vAlign w:val="center"/>
            <w:hideMark/>
          </w:tcPr>
          <w:p w14:paraId="3DFE54DC"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AVE</w:t>
            </w:r>
          </w:p>
        </w:tc>
        <w:tc>
          <w:tcPr>
            <w:tcW w:w="606" w:type="pct"/>
            <w:tcBorders>
              <w:top w:val="single" w:sz="4" w:space="0" w:color="auto"/>
              <w:bottom w:val="single" w:sz="4" w:space="0" w:color="auto"/>
            </w:tcBorders>
            <w:noWrap/>
            <w:vAlign w:val="center"/>
            <w:hideMark/>
          </w:tcPr>
          <w:p w14:paraId="610A5216"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KMO</w:t>
            </w:r>
          </w:p>
        </w:tc>
        <w:tc>
          <w:tcPr>
            <w:tcW w:w="542" w:type="pct"/>
            <w:tcBorders>
              <w:top w:val="single" w:sz="4" w:space="0" w:color="auto"/>
              <w:bottom w:val="single" w:sz="4" w:space="0" w:color="auto"/>
            </w:tcBorders>
            <w:noWrap/>
            <w:vAlign w:val="center"/>
            <w:hideMark/>
          </w:tcPr>
          <w:p w14:paraId="63FC11D9"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Bartlett’s</w:t>
            </w:r>
          </w:p>
        </w:tc>
      </w:tr>
      <w:tr w:rsidR="00304493" w:rsidRPr="00304493" w14:paraId="45C97B84" w14:textId="77777777" w:rsidTr="00304493">
        <w:trPr>
          <w:trHeight w:val="300"/>
        </w:trPr>
        <w:tc>
          <w:tcPr>
            <w:tcW w:w="1594" w:type="pct"/>
            <w:tcBorders>
              <w:top w:val="single" w:sz="4" w:space="0" w:color="auto"/>
            </w:tcBorders>
            <w:vAlign w:val="bottom"/>
            <w:hideMark/>
          </w:tcPr>
          <w:p w14:paraId="007EE67A" w14:textId="77777777" w:rsidR="00304493" w:rsidRPr="00304493" w:rsidRDefault="00304493" w:rsidP="00304493">
            <w:pPr>
              <w:spacing w:after="0"/>
              <w:rPr>
                <w:rFonts w:eastAsia="Times New Roman" w:cs="Times New Roman"/>
                <w:color w:val="000000"/>
                <w:sz w:val="22"/>
                <w:lang w:val="en-US"/>
              </w:rPr>
            </w:pPr>
            <w:r w:rsidRPr="00304493">
              <w:rPr>
                <w:rFonts w:eastAsia="Times New Roman" w:cs="Times New Roman"/>
                <w:color w:val="000000"/>
                <w:sz w:val="22"/>
                <w:lang w:val="en-US"/>
              </w:rPr>
              <w:t>Student Awareness</w:t>
            </w:r>
          </w:p>
        </w:tc>
        <w:tc>
          <w:tcPr>
            <w:tcW w:w="771" w:type="pct"/>
            <w:tcBorders>
              <w:top w:val="single" w:sz="4" w:space="0" w:color="auto"/>
            </w:tcBorders>
            <w:noWrap/>
            <w:vAlign w:val="center"/>
            <w:hideMark/>
          </w:tcPr>
          <w:p w14:paraId="1F5C8ED2"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5</w:t>
            </w:r>
          </w:p>
        </w:tc>
        <w:tc>
          <w:tcPr>
            <w:tcW w:w="991" w:type="pct"/>
            <w:tcBorders>
              <w:top w:val="single" w:sz="4" w:space="0" w:color="auto"/>
            </w:tcBorders>
            <w:noWrap/>
            <w:vAlign w:val="center"/>
            <w:hideMark/>
          </w:tcPr>
          <w:p w14:paraId="3CDFC01E"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0.964</w:t>
            </w:r>
          </w:p>
        </w:tc>
        <w:tc>
          <w:tcPr>
            <w:tcW w:w="496" w:type="pct"/>
            <w:tcBorders>
              <w:top w:val="single" w:sz="4" w:space="0" w:color="auto"/>
            </w:tcBorders>
            <w:noWrap/>
            <w:vAlign w:val="center"/>
            <w:hideMark/>
          </w:tcPr>
          <w:p w14:paraId="6EDA1C38"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0.835</w:t>
            </w:r>
          </w:p>
        </w:tc>
        <w:tc>
          <w:tcPr>
            <w:tcW w:w="606" w:type="pct"/>
            <w:tcBorders>
              <w:top w:val="single" w:sz="4" w:space="0" w:color="auto"/>
            </w:tcBorders>
            <w:noWrap/>
            <w:vAlign w:val="center"/>
            <w:hideMark/>
          </w:tcPr>
          <w:p w14:paraId="40798648"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0.912</w:t>
            </w:r>
          </w:p>
        </w:tc>
        <w:tc>
          <w:tcPr>
            <w:tcW w:w="542" w:type="pct"/>
            <w:tcBorders>
              <w:top w:val="single" w:sz="4" w:space="0" w:color="auto"/>
            </w:tcBorders>
            <w:noWrap/>
            <w:vAlign w:val="center"/>
            <w:hideMark/>
          </w:tcPr>
          <w:p w14:paraId="11214E67"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&lt;0.001</w:t>
            </w:r>
          </w:p>
        </w:tc>
      </w:tr>
      <w:tr w:rsidR="00304493" w:rsidRPr="00304493" w14:paraId="7EF73B47" w14:textId="77777777" w:rsidTr="00304493">
        <w:trPr>
          <w:trHeight w:val="300"/>
        </w:trPr>
        <w:tc>
          <w:tcPr>
            <w:tcW w:w="1594" w:type="pct"/>
            <w:vAlign w:val="bottom"/>
            <w:hideMark/>
          </w:tcPr>
          <w:p w14:paraId="5D945656" w14:textId="77777777" w:rsidR="00304493" w:rsidRPr="00304493" w:rsidRDefault="00304493" w:rsidP="00304493">
            <w:pPr>
              <w:spacing w:after="0"/>
              <w:rPr>
                <w:rFonts w:eastAsia="Times New Roman" w:cs="Times New Roman"/>
                <w:color w:val="000000"/>
                <w:sz w:val="22"/>
                <w:lang w:val="en-US"/>
              </w:rPr>
            </w:pPr>
            <w:r w:rsidRPr="00304493">
              <w:rPr>
                <w:rFonts w:eastAsia="Times New Roman" w:cs="Times New Roman"/>
                <w:color w:val="000000"/>
                <w:sz w:val="22"/>
                <w:lang w:val="en-US"/>
              </w:rPr>
              <w:t>Perceived Ease of Use</w:t>
            </w:r>
          </w:p>
        </w:tc>
        <w:tc>
          <w:tcPr>
            <w:tcW w:w="771" w:type="pct"/>
            <w:noWrap/>
            <w:vAlign w:val="center"/>
            <w:hideMark/>
          </w:tcPr>
          <w:p w14:paraId="1EC103DA"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5</w:t>
            </w:r>
          </w:p>
        </w:tc>
        <w:tc>
          <w:tcPr>
            <w:tcW w:w="991" w:type="pct"/>
            <w:noWrap/>
            <w:vAlign w:val="center"/>
            <w:hideMark/>
          </w:tcPr>
          <w:p w14:paraId="6DBD772B"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0.963</w:t>
            </w:r>
          </w:p>
        </w:tc>
        <w:tc>
          <w:tcPr>
            <w:tcW w:w="496" w:type="pct"/>
            <w:noWrap/>
            <w:vAlign w:val="center"/>
            <w:hideMark/>
          </w:tcPr>
          <w:p w14:paraId="18919693"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0.839</w:t>
            </w:r>
          </w:p>
        </w:tc>
        <w:tc>
          <w:tcPr>
            <w:tcW w:w="606" w:type="pct"/>
            <w:noWrap/>
            <w:vAlign w:val="center"/>
            <w:hideMark/>
          </w:tcPr>
          <w:p w14:paraId="244A32E3"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0.913</w:t>
            </w:r>
          </w:p>
        </w:tc>
        <w:tc>
          <w:tcPr>
            <w:tcW w:w="542" w:type="pct"/>
            <w:noWrap/>
            <w:vAlign w:val="center"/>
            <w:hideMark/>
          </w:tcPr>
          <w:p w14:paraId="4D8EEBC1"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&lt;0.001</w:t>
            </w:r>
          </w:p>
        </w:tc>
      </w:tr>
      <w:tr w:rsidR="00304493" w:rsidRPr="00304493" w14:paraId="7D7DA3DF" w14:textId="77777777" w:rsidTr="00304493">
        <w:trPr>
          <w:trHeight w:val="300"/>
        </w:trPr>
        <w:tc>
          <w:tcPr>
            <w:tcW w:w="1594" w:type="pct"/>
            <w:vAlign w:val="bottom"/>
            <w:hideMark/>
          </w:tcPr>
          <w:p w14:paraId="6DAA0FC5" w14:textId="77777777" w:rsidR="00304493" w:rsidRPr="00304493" w:rsidRDefault="00304493" w:rsidP="00304493">
            <w:pPr>
              <w:spacing w:after="0"/>
              <w:rPr>
                <w:rFonts w:eastAsia="Times New Roman" w:cs="Times New Roman"/>
                <w:color w:val="000000"/>
                <w:sz w:val="22"/>
                <w:lang w:val="en-US"/>
              </w:rPr>
            </w:pPr>
            <w:r w:rsidRPr="00304493">
              <w:rPr>
                <w:rFonts w:eastAsia="Times New Roman" w:cs="Times New Roman"/>
                <w:color w:val="000000"/>
                <w:sz w:val="22"/>
                <w:lang w:val="en-US"/>
              </w:rPr>
              <w:t>Perceived Security Benefits</w:t>
            </w:r>
          </w:p>
        </w:tc>
        <w:tc>
          <w:tcPr>
            <w:tcW w:w="771" w:type="pct"/>
            <w:noWrap/>
            <w:vAlign w:val="center"/>
            <w:hideMark/>
          </w:tcPr>
          <w:p w14:paraId="302BF7DF"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5</w:t>
            </w:r>
          </w:p>
        </w:tc>
        <w:tc>
          <w:tcPr>
            <w:tcW w:w="991" w:type="pct"/>
            <w:noWrap/>
            <w:vAlign w:val="center"/>
            <w:hideMark/>
          </w:tcPr>
          <w:p w14:paraId="21D0F0DE"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0.944</w:t>
            </w:r>
          </w:p>
        </w:tc>
        <w:tc>
          <w:tcPr>
            <w:tcW w:w="496" w:type="pct"/>
            <w:noWrap/>
            <w:vAlign w:val="center"/>
            <w:hideMark/>
          </w:tcPr>
          <w:p w14:paraId="67B539BB"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0.771</w:t>
            </w:r>
          </w:p>
        </w:tc>
        <w:tc>
          <w:tcPr>
            <w:tcW w:w="606" w:type="pct"/>
            <w:noWrap/>
            <w:vAlign w:val="center"/>
            <w:hideMark/>
          </w:tcPr>
          <w:p w14:paraId="2E74A6E8"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0.891</w:t>
            </w:r>
          </w:p>
        </w:tc>
        <w:tc>
          <w:tcPr>
            <w:tcW w:w="542" w:type="pct"/>
            <w:noWrap/>
            <w:vAlign w:val="center"/>
            <w:hideMark/>
          </w:tcPr>
          <w:p w14:paraId="4C33E24E"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&lt;0.001</w:t>
            </w:r>
          </w:p>
        </w:tc>
      </w:tr>
      <w:tr w:rsidR="00304493" w:rsidRPr="00304493" w14:paraId="1AF65A38" w14:textId="77777777" w:rsidTr="00304493">
        <w:trPr>
          <w:trHeight w:val="300"/>
        </w:trPr>
        <w:tc>
          <w:tcPr>
            <w:tcW w:w="1594" w:type="pct"/>
            <w:vAlign w:val="bottom"/>
            <w:hideMark/>
          </w:tcPr>
          <w:p w14:paraId="5804A489" w14:textId="77777777" w:rsidR="00304493" w:rsidRPr="00304493" w:rsidRDefault="00304493" w:rsidP="00304493">
            <w:pPr>
              <w:spacing w:after="0"/>
              <w:rPr>
                <w:rFonts w:eastAsia="Times New Roman" w:cs="Times New Roman"/>
                <w:color w:val="000000"/>
                <w:sz w:val="22"/>
                <w:lang w:val="en-US"/>
              </w:rPr>
            </w:pPr>
            <w:r w:rsidRPr="00304493">
              <w:rPr>
                <w:rFonts w:eastAsia="Times New Roman" w:cs="Times New Roman"/>
                <w:color w:val="000000"/>
                <w:sz w:val="22"/>
                <w:lang w:val="en-US"/>
              </w:rPr>
              <w:t>Perceived Usefulness</w:t>
            </w:r>
          </w:p>
        </w:tc>
        <w:tc>
          <w:tcPr>
            <w:tcW w:w="771" w:type="pct"/>
            <w:noWrap/>
            <w:vAlign w:val="center"/>
            <w:hideMark/>
          </w:tcPr>
          <w:p w14:paraId="452905CB"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5</w:t>
            </w:r>
          </w:p>
        </w:tc>
        <w:tc>
          <w:tcPr>
            <w:tcW w:w="991" w:type="pct"/>
            <w:noWrap/>
            <w:vAlign w:val="center"/>
            <w:hideMark/>
          </w:tcPr>
          <w:p w14:paraId="51D01769"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0.947</w:t>
            </w:r>
          </w:p>
        </w:tc>
        <w:tc>
          <w:tcPr>
            <w:tcW w:w="496" w:type="pct"/>
            <w:noWrap/>
            <w:vAlign w:val="center"/>
            <w:hideMark/>
          </w:tcPr>
          <w:p w14:paraId="371EE8BE"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0.783</w:t>
            </w:r>
          </w:p>
        </w:tc>
        <w:tc>
          <w:tcPr>
            <w:tcW w:w="606" w:type="pct"/>
            <w:noWrap/>
            <w:vAlign w:val="center"/>
            <w:hideMark/>
          </w:tcPr>
          <w:p w14:paraId="37D39372"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0.916</w:t>
            </w:r>
          </w:p>
        </w:tc>
        <w:tc>
          <w:tcPr>
            <w:tcW w:w="542" w:type="pct"/>
            <w:noWrap/>
            <w:vAlign w:val="center"/>
            <w:hideMark/>
          </w:tcPr>
          <w:p w14:paraId="4ACC4EC3"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&lt;0.001</w:t>
            </w:r>
          </w:p>
        </w:tc>
      </w:tr>
      <w:tr w:rsidR="00304493" w:rsidRPr="00304493" w14:paraId="38A31785" w14:textId="77777777" w:rsidTr="00304493">
        <w:trPr>
          <w:trHeight w:val="600"/>
        </w:trPr>
        <w:tc>
          <w:tcPr>
            <w:tcW w:w="1594" w:type="pct"/>
            <w:vAlign w:val="bottom"/>
            <w:hideMark/>
          </w:tcPr>
          <w:p w14:paraId="77EFE5D7" w14:textId="77777777" w:rsidR="00304493" w:rsidRPr="00304493" w:rsidRDefault="00304493" w:rsidP="00304493">
            <w:pPr>
              <w:spacing w:after="0"/>
              <w:rPr>
                <w:rFonts w:eastAsia="Times New Roman" w:cs="Times New Roman"/>
                <w:color w:val="000000"/>
                <w:sz w:val="22"/>
                <w:lang w:val="en-US"/>
              </w:rPr>
            </w:pPr>
            <w:r w:rsidRPr="00304493">
              <w:rPr>
                <w:rFonts w:eastAsia="Times New Roman" w:cs="Times New Roman"/>
                <w:color w:val="000000"/>
                <w:sz w:val="22"/>
                <w:lang w:val="en-US"/>
              </w:rPr>
              <w:t>Acceptance of Blockchain-Based Authentication</w:t>
            </w:r>
          </w:p>
        </w:tc>
        <w:tc>
          <w:tcPr>
            <w:tcW w:w="771" w:type="pct"/>
            <w:noWrap/>
            <w:vAlign w:val="center"/>
            <w:hideMark/>
          </w:tcPr>
          <w:p w14:paraId="49515E98"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5</w:t>
            </w:r>
          </w:p>
        </w:tc>
        <w:tc>
          <w:tcPr>
            <w:tcW w:w="991" w:type="pct"/>
            <w:noWrap/>
            <w:vAlign w:val="center"/>
            <w:hideMark/>
          </w:tcPr>
          <w:p w14:paraId="51A6BFDD"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0.936</w:t>
            </w:r>
          </w:p>
        </w:tc>
        <w:tc>
          <w:tcPr>
            <w:tcW w:w="496" w:type="pct"/>
            <w:noWrap/>
            <w:vAlign w:val="center"/>
            <w:hideMark/>
          </w:tcPr>
          <w:p w14:paraId="051B688A"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0.746</w:t>
            </w:r>
          </w:p>
        </w:tc>
        <w:tc>
          <w:tcPr>
            <w:tcW w:w="606" w:type="pct"/>
            <w:noWrap/>
            <w:vAlign w:val="center"/>
            <w:hideMark/>
          </w:tcPr>
          <w:p w14:paraId="07863527"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0.875</w:t>
            </w:r>
          </w:p>
        </w:tc>
        <w:tc>
          <w:tcPr>
            <w:tcW w:w="542" w:type="pct"/>
            <w:noWrap/>
            <w:vAlign w:val="center"/>
            <w:hideMark/>
          </w:tcPr>
          <w:p w14:paraId="42B1C36D" w14:textId="77777777" w:rsidR="00304493" w:rsidRPr="00304493" w:rsidRDefault="00304493" w:rsidP="00304493">
            <w:pPr>
              <w:spacing w:after="0"/>
              <w:jc w:val="center"/>
              <w:rPr>
                <w:rFonts w:eastAsia="Times New Roman" w:cs="Times New Roman"/>
                <w:color w:val="000000"/>
                <w:sz w:val="22"/>
                <w:lang w:val="en-US"/>
              </w:rPr>
            </w:pPr>
            <w:r w:rsidRPr="00304493">
              <w:rPr>
                <w:rFonts w:eastAsia="Times New Roman" w:cs="Times New Roman"/>
                <w:color w:val="000000"/>
                <w:sz w:val="22"/>
                <w:lang w:val="en-US"/>
              </w:rPr>
              <w:t>&lt;0.001</w:t>
            </w:r>
          </w:p>
        </w:tc>
      </w:tr>
    </w:tbl>
    <w:p w14:paraId="63CA2ADF" w14:textId="77777777" w:rsidR="007F22F9" w:rsidRDefault="00685CD3" w:rsidP="001B0B9E">
      <w:pPr>
        <w:jc w:val="both"/>
      </w:pPr>
      <w:r>
        <w:t xml:space="preserve"> The reliability analysis confirms strong internal consistency across all five constructs, with Cronbach’s alpha values exceeding 0.93—Student Awareness (0.964), Perceived Ease of Use (0.963), Perceived Usefulness (0.947), Perceived Security Benefits (0.944), and Acceptance of Blockchain-Based Authentication (0.936). AVE values are all above 0.50, with the highest for Student Awareness (0.835) and Perceived Ease of Use (0.839), indicating strong convergent </w:t>
      </w:r>
      <w:r>
        <w:lastRenderedPageBreak/>
        <w:t>validity. KMO values surpass 0.87 for all constructs, and Bartlett’s Test of Sphericity is significant (p &lt; 0.001), confirming excellent sampling adequacy and suitability for factor analysis.</w:t>
      </w:r>
    </w:p>
    <w:p w14:paraId="5DDB99E2" w14:textId="77777777" w:rsidR="006B2A82" w:rsidRDefault="006B2A82" w:rsidP="006B2A82">
      <w:pPr>
        <w:pStyle w:val="Caption"/>
        <w:jc w:val="center"/>
      </w:pPr>
      <w:r>
        <w:t xml:space="preserve">Table </w:t>
      </w:r>
      <w:r>
        <w:fldChar w:fldCharType="begin"/>
      </w:r>
      <w:r>
        <w:instrText xml:space="preserve"> SEQ Table \* ARABIC </w:instrText>
      </w:r>
      <w:r>
        <w:fldChar w:fldCharType="separate"/>
      </w:r>
      <w:r w:rsidR="00936FD4">
        <w:rPr>
          <w:noProof/>
        </w:rPr>
        <w:t>3</w:t>
      </w:r>
      <w:r>
        <w:fldChar w:fldCharType="end"/>
      </w:r>
      <w:r>
        <w:t>: Descriptive Statistics and Correlation Analysis</w:t>
      </w:r>
    </w:p>
    <w:tbl>
      <w:tblPr>
        <w:tblW w:w="5000" w:type="pct"/>
        <w:tblBorders>
          <w:top w:val="single" w:sz="4" w:space="0" w:color="auto"/>
          <w:bottom w:val="single" w:sz="4" w:space="0" w:color="auto"/>
        </w:tblBorders>
        <w:tblLook w:val="04A0" w:firstRow="1" w:lastRow="0" w:firstColumn="1" w:lastColumn="0" w:noHBand="0" w:noVBand="1"/>
      </w:tblPr>
      <w:tblGrid>
        <w:gridCol w:w="1866"/>
        <w:gridCol w:w="1236"/>
        <w:gridCol w:w="1372"/>
        <w:gridCol w:w="1960"/>
        <w:gridCol w:w="766"/>
        <w:gridCol w:w="766"/>
        <w:gridCol w:w="766"/>
        <w:gridCol w:w="628"/>
      </w:tblGrid>
      <w:tr w:rsidR="006B2A82" w:rsidRPr="006B2A82" w14:paraId="5FA4CC66" w14:textId="77777777" w:rsidTr="006B2A82">
        <w:trPr>
          <w:trHeight w:val="300"/>
        </w:trPr>
        <w:tc>
          <w:tcPr>
            <w:tcW w:w="1229" w:type="pct"/>
            <w:tcBorders>
              <w:bottom w:val="single" w:sz="4" w:space="0" w:color="auto"/>
            </w:tcBorders>
            <w:noWrap/>
            <w:vAlign w:val="center"/>
            <w:hideMark/>
          </w:tcPr>
          <w:p w14:paraId="4CAB4A05"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Factors</w:t>
            </w:r>
          </w:p>
        </w:tc>
        <w:tc>
          <w:tcPr>
            <w:tcW w:w="1343" w:type="pct"/>
            <w:gridSpan w:val="2"/>
            <w:tcBorders>
              <w:bottom w:val="single" w:sz="4" w:space="0" w:color="auto"/>
            </w:tcBorders>
            <w:noWrap/>
            <w:vAlign w:val="bottom"/>
            <w:hideMark/>
          </w:tcPr>
          <w:p w14:paraId="62437044"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Descriptive Statistics</w:t>
            </w:r>
          </w:p>
        </w:tc>
        <w:tc>
          <w:tcPr>
            <w:tcW w:w="2428" w:type="pct"/>
            <w:gridSpan w:val="5"/>
            <w:tcBorders>
              <w:bottom w:val="single" w:sz="4" w:space="0" w:color="auto"/>
            </w:tcBorders>
            <w:noWrap/>
            <w:vAlign w:val="bottom"/>
            <w:hideMark/>
          </w:tcPr>
          <w:p w14:paraId="5036C15C"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Correlation</w:t>
            </w:r>
          </w:p>
        </w:tc>
      </w:tr>
      <w:tr w:rsidR="006B2A82" w:rsidRPr="006B2A82" w14:paraId="44F06268" w14:textId="77777777" w:rsidTr="006B2A82">
        <w:trPr>
          <w:trHeight w:val="300"/>
        </w:trPr>
        <w:tc>
          <w:tcPr>
            <w:tcW w:w="1229" w:type="pct"/>
            <w:tcBorders>
              <w:top w:val="single" w:sz="4" w:space="0" w:color="auto"/>
              <w:bottom w:val="single" w:sz="4" w:space="0" w:color="auto"/>
            </w:tcBorders>
            <w:noWrap/>
            <w:vAlign w:val="center"/>
            <w:hideMark/>
          </w:tcPr>
          <w:p w14:paraId="5042470F" w14:textId="77777777" w:rsidR="006B2A82" w:rsidRPr="006B2A82" w:rsidRDefault="006B2A82" w:rsidP="006B2A82">
            <w:pPr>
              <w:spacing w:after="0"/>
              <w:jc w:val="center"/>
              <w:rPr>
                <w:rFonts w:eastAsia="Times New Roman" w:cs="Times New Roman"/>
                <w:color w:val="000000"/>
                <w:sz w:val="20"/>
                <w:lang w:val="en-US"/>
              </w:rPr>
            </w:pPr>
          </w:p>
        </w:tc>
        <w:tc>
          <w:tcPr>
            <w:tcW w:w="892" w:type="pct"/>
            <w:tcBorders>
              <w:top w:val="single" w:sz="4" w:space="0" w:color="auto"/>
              <w:bottom w:val="single" w:sz="4" w:space="0" w:color="auto"/>
            </w:tcBorders>
            <w:noWrap/>
            <w:vAlign w:val="center"/>
            <w:hideMark/>
          </w:tcPr>
          <w:p w14:paraId="19ACFAC5"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Mean</w:t>
            </w:r>
          </w:p>
        </w:tc>
        <w:tc>
          <w:tcPr>
            <w:tcW w:w="451" w:type="pct"/>
            <w:tcBorders>
              <w:top w:val="single" w:sz="4" w:space="0" w:color="auto"/>
              <w:bottom w:val="single" w:sz="4" w:space="0" w:color="auto"/>
            </w:tcBorders>
            <w:noWrap/>
            <w:vAlign w:val="center"/>
            <w:hideMark/>
          </w:tcPr>
          <w:p w14:paraId="1C1D15C2"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Std. Deviation</w:t>
            </w:r>
          </w:p>
        </w:tc>
        <w:tc>
          <w:tcPr>
            <w:tcW w:w="1279" w:type="pct"/>
            <w:tcBorders>
              <w:top w:val="single" w:sz="4" w:space="0" w:color="auto"/>
              <w:bottom w:val="single" w:sz="4" w:space="0" w:color="auto"/>
            </w:tcBorders>
            <w:noWrap/>
            <w:vAlign w:val="center"/>
            <w:hideMark/>
          </w:tcPr>
          <w:p w14:paraId="22D8842D"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SA</w:t>
            </w:r>
          </w:p>
        </w:tc>
        <w:tc>
          <w:tcPr>
            <w:tcW w:w="302" w:type="pct"/>
            <w:tcBorders>
              <w:top w:val="single" w:sz="4" w:space="0" w:color="auto"/>
              <w:bottom w:val="single" w:sz="4" w:space="0" w:color="auto"/>
            </w:tcBorders>
            <w:noWrap/>
            <w:vAlign w:val="center"/>
            <w:hideMark/>
          </w:tcPr>
          <w:p w14:paraId="67537DE0"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PEU</w:t>
            </w:r>
          </w:p>
        </w:tc>
        <w:tc>
          <w:tcPr>
            <w:tcW w:w="302" w:type="pct"/>
            <w:tcBorders>
              <w:top w:val="single" w:sz="4" w:space="0" w:color="auto"/>
              <w:bottom w:val="single" w:sz="4" w:space="0" w:color="auto"/>
            </w:tcBorders>
            <w:noWrap/>
            <w:vAlign w:val="center"/>
            <w:hideMark/>
          </w:tcPr>
          <w:p w14:paraId="0910D7D0"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PSB</w:t>
            </w:r>
          </w:p>
        </w:tc>
        <w:tc>
          <w:tcPr>
            <w:tcW w:w="302" w:type="pct"/>
            <w:tcBorders>
              <w:top w:val="single" w:sz="4" w:space="0" w:color="auto"/>
              <w:bottom w:val="single" w:sz="4" w:space="0" w:color="auto"/>
            </w:tcBorders>
            <w:noWrap/>
            <w:vAlign w:val="center"/>
            <w:hideMark/>
          </w:tcPr>
          <w:p w14:paraId="66340D71"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PU</w:t>
            </w:r>
          </w:p>
        </w:tc>
        <w:tc>
          <w:tcPr>
            <w:tcW w:w="243" w:type="pct"/>
            <w:tcBorders>
              <w:top w:val="single" w:sz="4" w:space="0" w:color="auto"/>
              <w:bottom w:val="single" w:sz="4" w:space="0" w:color="auto"/>
            </w:tcBorders>
            <w:noWrap/>
            <w:vAlign w:val="center"/>
            <w:hideMark/>
          </w:tcPr>
          <w:p w14:paraId="75F4A1CE"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ACC</w:t>
            </w:r>
          </w:p>
        </w:tc>
      </w:tr>
      <w:tr w:rsidR="006B2A82" w:rsidRPr="006B2A82" w14:paraId="2C0A19F8" w14:textId="77777777" w:rsidTr="006B2A82">
        <w:trPr>
          <w:trHeight w:val="300"/>
        </w:trPr>
        <w:tc>
          <w:tcPr>
            <w:tcW w:w="1229" w:type="pct"/>
            <w:tcBorders>
              <w:top w:val="single" w:sz="4" w:space="0" w:color="auto"/>
              <w:bottom w:val="single" w:sz="4" w:space="0" w:color="auto"/>
            </w:tcBorders>
            <w:vAlign w:val="center"/>
            <w:hideMark/>
          </w:tcPr>
          <w:p w14:paraId="54FC1250"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Student Awareness</w:t>
            </w:r>
          </w:p>
        </w:tc>
        <w:tc>
          <w:tcPr>
            <w:tcW w:w="892" w:type="pct"/>
            <w:tcBorders>
              <w:top w:val="single" w:sz="4" w:space="0" w:color="auto"/>
              <w:bottom w:val="single" w:sz="4" w:space="0" w:color="auto"/>
            </w:tcBorders>
            <w:noWrap/>
            <w:vAlign w:val="center"/>
            <w:hideMark/>
          </w:tcPr>
          <w:p w14:paraId="65575B6E"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3.000</w:t>
            </w:r>
          </w:p>
        </w:tc>
        <w:tc>
          <w:tcPr>
            <w:tcW w:w="451" w:type="pct"/>
            <w:tcBorders>
              <w:top w:val="single" w:sz="4" w:space="0" w:color="auto"/>
              <w:bottom w:val="single" w:sz="4" w:space="0" w:color="auto"/>
            </w:tcBorders>
            <w:noWrap/>
            <w:vAlign w:val="center"/>
            <w:hideMark/>
          </w:tcPr>
          <w:p w14:paraId="635B7907"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1.332</w:t>
            </w:r>
          </w:p>
        </w:tc>
        <w:tc>
          <w:tcPr>
            <w:tcW w:w="1279" w:type="pct"/>
            <w:tcBorders>
              <w:top w:val="single" w:sz="4" w:space="0" w:color="auto"/>
              <w:bottom w:val="single" w:sz="4" w:space="0" w:color="auto"/>
            </w:tcBorders>
            <w:noWrap/>
            <w:vAlign w:val="center"/>
            <w:hideMark/>
          </w:tcPr>
          <w:p w14:paraId="473EFB3A"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w:t>
            </w:r>
          </w:p>
        </w:tc>
        <w:tc>
          <w:tcPr>
            <w:tcW w:w="302" w:type="pct"/>
            <w:tcBorders>
              <w:top w:val="single" w:sz="4" w:space="0" w:color="auto"/>
              <w:bottom w:val="single" w:sz="4" w:space="0" w:color="auto"/>
            </w:tcBorders>
            <w:noWrap/>
            <w:vAlign w:val="center"/>
            <w:hideMark/>
          </w:tcPr>
          <w:p w14:paraId="5638B94F" w14:textId="77777777" w:rsidR="006B2A82" w:rsidRPr="006B2A82" w:rsidRDefault="006B2A82" w:rsidP="006B2A82">
            <w:pPr>
              <w:spacing w:after="0"/>
              <w:jc w:val="center"/>
              <w:rPr>
                <w:rFonts w:eastAsia="Times New Roman" w:cs="Times New Roman"/>
                <w:color w:val="000000"/>
                <w:sz w:val="20"/>
                <w:lang w:val="en-US"/>
              </w:rPr>
            </w:pPr>
          </w:p>
        </w:tc>
        <w:tc>
          <w:tcPr>
            <w:tcW w:w="302" w:type="pct"/>
            <w:tcBorders>
              <w:top w:val="single" w:sz="4" w:space="0" w:color="auto"/>
              <w:bottom w:val="single" w:sz="4" w:space="0" w:color="auto"/>
            </w:tcBorders>
            <w:noWrap/>
            <w:vAlign w:val="center"/>
            <w:hideMark/>
          </w:tcPr>
          <w:p w14:paraId="5929F25A" w14:textId="77777777" w:rsidR="006B2A82" w:rsidRPr="006B2A82" w:rsidRDefault="006B2A82" w:rsidP="006B2A82">
            <w:pPr>
              <w:spacing w:after="0"/>
              <w:jc w:val="center"/>
              <w:rPr>
                <w:rFonts w:eastAsia="Times New Roman" w:cs="Times New Roman"/>
                <w:sz w:val="20"/>
                <w:szCs w:val="20"/>
                <w:lang w:val="en-US"/>
              </w:rPr>
            </w:pPr>
          </w:p>
        </w:tc>
        <w:tc>
          <w:tcPr>
            <w:tcW w:w="302" w:type="pct"/>
            <w:tcBorders>
              <w:top w:val="single" w:sz="4" w:space="0" w:color="auto"/>
              <w:bottom w:val="single" w:sz="4" w:space="0" w:color="auto"/>
            </w:tcBorders>
            <w:noWrap/>
            <w:vAlign w:val="center"/>
            <w:hideMark/>
          </w:tcPr>
          <w:p w14:paraId="39433AB1" w14:textId="77777777" w:rsidR="006B2A82" w:rsidRPr="006B2A82" w:rsidRDefault="006B2A82" w:rsidP="006B2A82">
            <w:pPr>
              <w:spacing w:after="0"/>
              <w:jc w:val="center"/>
              <w:rPr>
                <w:rFonts w:eastAsia="Times New Roman" w:cs="Times New Roman"/>
                <w:sz w:val="20"/>
                <w:szCs w:val="20"/>
                <w:lang w:val="en-US"/>
              </w:rPr>
            </w:pPr>
          </w:p>
        </w:tc>
        <w:tc>
          <w:tcPr>
            <w:tcW w:w="243" w:type="pct"/>
            <w:tcBorders>
              <w:top w:val="single" w:sz="4" w:space="0" w:color="auto"/>
              <w:bottom w:val="single" w:sz="4" w:space="0" w:color="auto"/>
            </w:tcBorders>
            <w:noWrap/>
            <w:vAlign w:val="center"/>
            <w:hideMark/>
          </w:tcPr>
          <w:p w14:paraId="632F6387" w14:textId="77777777" w:rsidR="006B2A82" w:rsidRPr="006B2A82" w:rsidRDefault="006B2A82" w:rsidP="006B2A82">
            <w:pPr>
              <w:spacing w:after="0"/>
              <w:jc w:val="center"/>
              <w:rPr>
                <w:rFonts w:eastAsia="Times New Roman" w:cs="Times New Roman"/>
                <w:sz w:val="20"/>
                <w:szCs w:val="20"/>
                <w:lang w:val="en-US"/>
              </w:rPr>
            </w:pPr>
          </w:p>
        </w:tc>
      </w:tr>
      <w:tr w:rsidR="006B2A82" w:rsidRPr="006B2A82" w14:paraId="39B47B68" w14:textId="77777777" w:rsidTr="006B2A82">
        <w:trPr>
          <w:trHeight w:val="300"/>
        </w:trPr>
        <w:tc>
          <w:tcPr>
            <w:tcW w:w="1229" w:type="pct"/>
            <w:tcBorders>
              <w:top w:val="single" w:sz="4" w:space="0" w:color="auto"/>
              <w:bottom w:val="single" w:sz="4" w:space="0" w:color="auto"/>
            </w:tcBorders>
            <w:vAlign w:val="center"/>
            <w:hideMark/>
          </w:tcPr>
          <w:p w14:paraId="1A931676"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Perceived Ease of Use</w:t>
            </w:r>
          </w:p>
        </w:tc>
        <w:tc>
          <w:tcPr>
            <w:tcW w:w="892" w:type="pct"/>
            <w:tcBorders>
              <w:top w:val="single" w:sz="4" w:space="0" w:color="auto"/>
              <w:bottom w:val="single" w:sz="4" w:space="0" w:color="auto"/>
            </w:tcBorders>
            <w:noWrap/>
            <w:vAlign w:val="center"/>
            <w:hideMark/>
          </w:tcPr>
          <w:p w14:paraId="17D17EC4"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3.008</w:t>
            </w:r>
          </w:p>
        </w:tc>
        <w:tc>
          <w:tcPr>
            <w:tcW w:w="451" w:type="pct"/>
            <w:tcBorders>
              <w:top w:val="single" w:sz="4" w:space="0" w:color="auto"/>
              <w:bottom w:val="single" w:sz="4" w:space="0" w:color="auto"/>
            </w:tcBorders>
            <w:noWrap/>
            <w:vAlign w:val="center"/>
            <w:hideMark/>
          </w:tcPr>
          <w:p w14:paraId="5AF8ED22"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1.313</w:t>
            </w:r>
          </w:p>
        </w:tc>
        <w:tc>
          <w:tcPr>
            <w:tcW w:w="1279" w:type="pct"/>
            <w:tcBorders>
              <w:top w:val="single" w:sz="4" w:space="0" w:color="auto"/>
              <w:bottom w:val="single" w:sz="4" w:space="0" w:color="auto"/>
            </w:tcBorders>
            <w:noWrap/>
            <w:vAlign w:val="center"/>
            <w:hideMark/>
          </w:tcPr>
          <w:p w14:paraId="1AAE1994"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0.992</w:t>
            </w:r>
            <w:r>
              <w:rPr>
                <w:rFonts w:eastAsia="Times New Roman" w:cs="Times New Roman"/>
                <w:color w:val="000000"/>
                <w:sz w:val="20"/>
                <w:lang w:val="en-US"/>
              </w:rPr>
              <w:t>*</w:t>
            </w:r>
          </w:p>
        </w:tc>
        <w:tc>
          <w:tcPr>
            <w:tcW w:w="302" w:type="pct"/>
            <w:tcBorders>
              <w:top w:val="single" w:sz="4" w:space="0" w:color="auto"/>
              <w:bottom w:val="single" w:sz="4" w:space="0" w:color="auto"/>
            </w:tcBorders>
            <w:noWrap/>
            <w:vAlign w:val="center"/>
            <w:hideMark/>
          </w:tcPr>
          <w:p w14:paraId="24180FA5"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w:t>
            </w:r>
          </w:p>
        </w:tc>
        <w:tc>
          <w:tcPr>
            <w:tcW w:w="302" w:type="pct"/>
            <w:tcBorders>
              <w:top w:val="single" w:sz="4" w:space="0" w:color="auto"/>
              <w:bottom w:val="single" w:sz="4" w:space="0" w:color="auto"/>
            </w:tcBorders>
            <w:noWrap/>
            <w:vAlign w:val="center"/>
            <w:hideMark/>
          </w:tcPr>
          <w:p w14:paraId="4A1CEE5B" w14:textId="77777777" w:rsidR="006B2A82" w:rsidRPr="006B2A82" w:rsidRDefault="006B2A82" w:rsidP="006B2A82">
            <w:pPr>
              <w:spacing w:after="0"/>
              <w:jc w:val="center"/>
              <w:rPr>
                <w:rFonts w:eastAsia="Times New Roman" w:cs="Times New Roman"/>
                <w:color w:val="000000"/>
                <w:sz w:val="20"/>
                <w:lang w:val="en-US"/>
              </w:rPr>
            </w:pPr>
          </w:p>
        </w:tc>
        <w:tc>
          <w:tcPr>
            <w:tcW w:w="302" w:type="pct"/>
            <w:tcBorders>
              <w:top w:val="single" w:sz="4" w:space="0" w:color="auto"/>
              <w:bottom w:val="single" w:sz="4" w:space="0" w:color="auto"/>
            </w:tcBorders>
            <w:noWrap/>
            <w:vAlign w:val="center"/>
            <w:hideMark/>
          </w:tcPr>
          <w:p w14:paraId="52F0E27D" w14:textId="77777777" w:rsidR="006B2A82" w:rsidRPr="006B2A82" w:rsidRDefault="006B2A82" w:rsidP="006B2A82">
            <w:pPr>
              <w:spacing w:after="0"/>
              <w:jc w:val="center"/>
              <w:rPr>
                <w:rFonts w:eastAsia="Times New Roman" w:cs="Times New Roman"/>
                <w:sz w:val="20"/>
                <w:szCs w:val="20"/>
                <w:lang w:val="en-US"/>
              </w:rPr>
            </w:pPr>
          </w:p>
        </w:tc>
        <w:tc>
          <w:tcPr>
            <w:tcW w:w="243" w:type="pct"/>
            <w:tcBorders>
              <w:top w:val="single" w:sz="4" w:space="0" w:color="auto"/>
              <w:bottom w:val="single" w:sz="4" w:space="0" w:color="auto"/>
            </w:tcBorders>
            <w:noWrap/>
            <w:vAlign w:val="center"/>
            <w:hideMark/>
          </w:tcPr>
          <w:p w14:paraId="7E2DAF8C" w14:textId="77777777" w:rsidR="006B2A82" w:rsidRPr="006B2A82" w:rsidRDefault="006B2A82" w:rsidP="006B2A82">
            <w:pPr>
              <w:spacing w:after="0"/>
              <w:jc w:val="center"/>
              <w:rPr>
                <w:rFonts w:eastAsia="Times New Roman" w:cs="Times New Roman"/>
                <w:sz w:val="20"/>
                <w:szCs w:val="20"/>
                <w:lang w:val="en-US"/>
              </w:rPr>
            </w:pPr>
          </w:p>
        </w:tc>
      </w:tr>
      <w:tr w:rsidR="006B2A82" w:rsidRPr="006B2A82" w14:paraId="5EA75E9D" w14:textId="77777777" w:rsidTr="006B2A82">
        <w:trPr>
          <w:trHeight w:val="300"/>
        </w:trPr>
        <w:tc>
          <w:tcPr>
            <w:tcW w:w="1229" w:type="pct"/>
            <w:tcBorders>
              <w:top w:val="single" w:sz="4" w:space="0" w:color="auto"/>
              <w:bottom w:val="single" w:sz="4" w:space="0" w:color="auto"/>
            </w:tcBorders>
            <w:vAlign w:val="center"/>
            <w:hideMark/>
          </w:tcPr>
          <w:p w14:paraId="5BEF0DD6"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Perceived Security Benefits</w:t>
            </w:r>
          </w:p>
        </w:tc>
        <w:tc>
          <w:tcPr>
            <w:tcW w:w="892" w:type="pct"/>
            <w:tcBorders>
              <w:top w:val="single" w:sz="4" w:space="0" w:color="auto"/>
              <w:bottom w:val="single" w:sz="4" w:space="0" w:color="auto"/>
            </w:tcBorders>
            <w:noWrap/>
            <w:vAlign w:val="center"/>
            <w:hideMark/>
          </w:tcPr>
          <w:p w14:paraId="7CF2A866"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3.102</w:t>
            </w:r>
          </w:p>
        </w:tc>
        <w:tc>
          <w:tcPr>
            <w:tcW w:w="451" w:type="pct"/>
            <w:tcBorders>
              <w:top w:val="single" w:sz="4" w:space="0" w:color="auto"/>
              <w:bottom w:val="single" w:sz="4" w:space="0" w:color="auto"/>
            </w:tcBorders>
            <w:noWrap/>
            <w:vAlign w:val="center"/>
            <w:hideMark/>
          </w:tcPr>
          <w:p w14:paraId="04335336"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1.303</w:t>
            </w:r>
          </w:p>
        </w:tc>
        <w:tc>
          <w:tcPr>
            <w:tcW w:w="1279" w:type="pct"/>
            <w:tcBorders>
              <w:top w:val="single" w:sz="4" w:space="0" w:color="auto"/>
              <w:bottom w:val="single" w:sz="4" w:space="0" w:color="auto"/>
            </w:tcBorders>
            <w:noWrap/>
            <w:vAlign w:val="center"/>
            <w:hideMark/>
          </w:tcPr>
          <w:p w14:paraId="400BDF5C"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0.931</w:t>
            </w:r>
            <w:r>
              <w:rPr>
                <w:rFonts w:eastAsia="Times New Roman" w:cs="Times New Roman"/>
                <w:color w:val="000000"/>
                <w:sz w:val="20"/>
                <w:lang w:val="en-US"/>
              </w:rPr>
              <w:t>*</w:t>
            </w:r>
          </w:p>
        </w:tc>
        <w:tc>
          <w:tcPr>
            <w:tcW w:w="302" w:type="pct"/>
            <w:tcBorders>
              <w:top w:val="single" w:sz="4" w:space="0" w:color="auto"/>
              <w:bottom w:val="single" w:sz="4" w:space="0" w:color="auto"/>
            </w:tcBorders>
            <w:noWrap/>
            <w:vAlign w:val="center"/>
            <w:hideMark/>
          </w:tcPr>
          <w:p w14:paraId="2284B4B9"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0.928</w:t>
            </w:r>
            <w:r>
              <w:rPr>
                <w:rFonts w:eastAsia="Times New Roman" w:cs="Times New Roman"/>
                <w:color w:val="000000"/>
                <w:sz w:val="20"/>
                <w:lang w:val="en-US"/>
              </w:rPr>
              <w:t>*</w:t>
            </w:r>
          </w:p>
        </w:tc>
        <w:tc>
          <w:tcPr>
            <w:tcW w:w="302" w:type="pct"/>
            <w:tcBorders>
              <w:top w:val="single" w:sz="4" w:space="0" w:color="auto"/>
              <w:bottom w:val="single" w:sz="4" w:space="0" w:color="auto"/>
            </w:tcBorders>
            <w:noWrap/>
            <w:vAlign w:val="center"/>
            <w:hideMark/>
          </w:tcPr>
          <w:p w14:paraId="5815F10D"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w:t>
            </w:r>
          </w:p>
        </w:tc>
        <w:tc>
          <w:tcPr>
            <w:tcW w:w="302" w:type="pct"/>
            <w:tcBorders>
              <w:top w:val="single" w:sz="4" w:space="0" w:color="auto"/>
              <w:bottom w:val="single" w:sz="4" w:space="0" w:color="auto"/>
            </w:tcBorders>
            <w:noWrap/>
            <w:vAlign w:val="center"/>
            <w:hideMark/>
          </w:tcPr>
          <w:p w14:paraId="5CCD6360" w14:textId="77777777" w:rsidR="006B2A82" w:rsidRPr="006B2A82" w:rsidRDefault="006B2A82" w:rsidP="006B2A82">
            <w:pPr>
              <w:spacing w:after="0"/>
              <w:jc w:val="center"/>
              <w:rPr>
                <w:rFonts w:eastAsia="Times New Roman" w:cs="Times New Roman"/>
                <w:color w:val="000000"/>
                <w:sz w:val="20"/>
                <w:lang w:val="en-US"/>
              </w:rPr>
            </w:pPr>
          </w:p>
        </w:tc>
        <w:tc>
          <w:tcPr>
            <w:tcW w:w="243" w:type="pct"/>
            <w:tcBorders>
              <w:top w:val="single" w:sz="4" w:space="0" w:color="auto"/>
              <w:bottom w:val="single" w:sz="4" w:space="0" w:color="auto"/>
            </w:tcBorders>
            <w:noWrap/>
            <w:vAlign w:val="center"/>
            <w:hideMark/>
          </w:tcPr>
          <w:p w14:paraId="4E6A4A0B" w14:textId="77777777" w:rsidR="006B2A82" w:rsidRPr="006B2A82" w:rsidRDefault="006B2A82" w:rsidP="006B2A82">
            <w:pPr>
              <w:spacing w:after="0"/>
              <w:jc w:val="center"/>
              <w:rPr>
                <w:rFonts w:eastAsia="Times New Roman" w:cs="Times New Roman"/>
                <w:sz w:val="20"/>
                <w:szCs w:val="20"/>
                <w:lang w:val="en-US"/>
              </w:rPr>
            </w:pPr>
          </w:p>
        </w:tc>
      </w:tr>
      <w:tr w:rsidR="006B2A82" w:rsidRPr="006B2A82" w14:paraId="7CB6D1B9" w14:textId="77777777" w:rsidTr="006B2A82">
        <w:trPr>
          <w:trHeight w:val="300"/>
        </w:trPr>
        <w:tc>
          <w:tcPr>
            <w:tcW w:w="1229" w:type="pct"/>
            <w:tcBorders>
              <w:top w:val="single" w:sz="4" w:space="0" w:color="auto"/>
              <w:bottom w:val="single" w:sz="4" w:space="0" w:color="auto"/>
            </w:tcBorders>
            <w:vAlign w:val="center"/>
            <w:hideMark/>
          </w:tcPr>
          <w:p w14:paraId="55E585F9"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Perceived Usefulness</w:t>
            </w:r>
          </w:p>
        </w:tc>
        <w:tc>
          <w:tcPr>
            <w:tcW w:w="892" w:type="pct"/>
            <w:tcBorders>
              <w:top w:val="single" w:sz="4" w:space="0" w:color="auto"/>
              <w:bottom w:val="single" w:sz="4" w:space="0" w:color="auto"/>
            </w:tcBorders>
            <w:noWrap/>
            <w:vAlign w:val="center"/>
            <w:hideMark/>
          </w:tcPr>
          <w:p w14:paraId="61519299"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3.034</w:t>
            </w:r>
          </w:p>
        </w:tc>
        <w:tc>
          <w:tcPr>
            <w:tcW w:w="451" w:type="pct"/>
            <w:tcBorders>
              <w:top w:val="single" w:sz="4" w:space="0" w:color="auto"/>
              <w:bottom w:val="single" w:sz="4" w:space="0" w:color="auto"/>
            </w:tcBorders>
            <w:noWrap/>
            <w:vAlign w:val="center"/>
            <w:hideMark/>
          </w:tcPr>
          <w:p w14:paraId="1171DC10"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1.295</w:t>
            </w:r>
          </w:p>
        </w:tc>
        <w:tc>
          <w:tcPr>
            <w:tcW w:w="1279" w:type="pct"/>
            <w:tcBorders>
              <w:top w:val="single" w:sz="4" w:space="0" w:color="auto"/>
              <w:bottom w:val="single" w:sz="4" w:space="0" w:color="auto"/>
            </w:tcBorders>
            <w:noWrap/>
            <w:vAlign w:val="center"/>
            <w:hideMark/>
          </w:tcPr>
          <w:p w14:paraId="58141B8A"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0.983</w:t>
            </w:r>
            <w:r>
              <w:rPr>
                <w:rFonts w:eastAsia="Times New Roman" w:cs="Times New Roman"/>
                <w:color w:val="000000"/>
                <w:sz w:val="20"/>
                <w:lang w:val="en-US"/>
              </w:rPr>
              <w:t>*</w:t>
            </w:r>
          </w:p>
        </w:tc>
        <w:tc>
          <w:tcPr>
            <w:tcW w:w="302" w:type="pct"/>
            <w:tcBorders>
              <w:top w:val="single" w:sz="4" w:space="0" w:color="auto"/>
              <w:bottom w:val="single" w:sz="4" w:space="0" w:color="auto"/>
            </w:tcBorders>
            <w:noWrap/>
            <w:vAlign w:val="center"/>
            <w:hideMark/>
          </w:tcPr>
          <w:p w14:paraId="16717326"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0.983</w:t>
            </w:r>
            <w:r>
              <w:rPr>
                <w:rFonts w:eastAsia="Times New Roman" w:cs="Times New Roman"/>
                <w:color w:val="000000"/>
                <w:sz w:val="20"/>
                <w:lang w:val="en-US"/>
              </w:rPr>
              <w:t>*</w:t>
            </w:r>
          </w:p>
        </w:tc>
        <w:tc>
          <w:tcPr>
            <w:tcW w:w="302" w:type="pct"/>
            <w:tcBorders>
              <w:top w:val="single" w:sz="4" w:space="0" w:color="auto"/>
              <w:bottom w:val="single" w:sz="4" w:space="0" w:color="auto"/>
            </w:tcBorders>
            <w:noWrap/>
            <w:vAlign w:val="center"/>
            <w:hideMark/>
          </w:tcPr>
          <w:p w14:paraId="195B2F81"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0.954</w:t>
            </w:r>
            <w:r>
              <w:rPr>
                <w:rFonts w:eastAsia="Times New Roman" w:cs="Times New Roman"/>
                <w:color w:val="000000"/>
                <w:sz w:val="20"/>
                <w:lang w:val="en-US"/>
              </w:rPr>
              <w:t>*</w:t>
            </w:r>
          </w:p>
        </w:tc>
        <w:tc>
          <w:tcPr>
            <w:tcW w:w="302" w:type="pct"/>
            <w:tcBorders>
              <w:top w:val="single" w:sz="4" w:space="0" w:color="auto"/>
              <w:bottom w:val="single" w:sz="4" w:space="0" w:color="auto"/>
            </w:tcBorders>
            <w:noWrap/>
            <w:vAlign w:val="center"/>
            <w:hideMark/>
          </w:tcPr>
          <w:p w14:paraId="5A3A3244"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w:t>
            </w:r>
          </w:p>
        </w:tc>
        <w:tc>
          <w:tcPr>
            <w:tcW w:w="243" w:type="pct"/>
            <w:tcBorders>
              <w:top w:val="single" w:sz="4" w:space="0" w:color="auto"/>
              <w:bottom w:val="single" w:sz="4" w:space="0" w:color="auto"/>
            </w:tcBorders>
            <w:noWrap/>
            <w:vAlign w:val="center"/>
            <w:hideMark/>
          </w:tcPr>
          <w:p w14:paraId="05A742B5" w14:textId="77777777" w:rsidR="006B2A82" w:rsidRPr="006B2A82" w:rsidRDefault="006B2A82" w:rsidP="006B2A82">
            <w:pPr>
              <w:spacing w:after="0"/>
              <w:jc w:val="center"/>
              <w:rPr>
                <w:rFonts w:eastAsia="Times New Roman" w:cs="Times New Roman"/>
                <w:color w:val="000000"/>
                <w:sz w:val="20"/>
                <w:lang w:val="en-US"/>
              </w:rPr>
            </w:pPr>
          </w:p>
        </w:tc>
      </w:tr>
      <w:tr w:rsidR="006B2A82" w:rsidRPr="006B2A82" w14:paraId="7BA7D8DA" w14:textId="77777777" w:rsidTr="006B2A82">
        <w:trPr>
          <w:trHeight w:val="600"/>
        </w:trPr>
        <w:tc>
          <w:tcPr>
            <w:tcW w:w="1229" w:type="pct"/>
            <w:tcBorders>
              <w:top w:val="single" w:sz="4" w:space="0" w:color="auto"/>
            </w:tcBorders>
            <w:vAlign w:val="center"/>
            <w:hideMark/>
          </w:tcPr>
          <w:p w14:paraId="0C989A59"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Acceptance of Blockchain-Based Authentication</w:t>
            </w:r>
          </w:p>
        </w:tc>
        <w:tc>
          <w:tcPr>
            <w:tcW w:w="892" w:type="pct"/>
            <w:tcBorders>
              <w:top w:val="single" w:sz="4" w:space="0" w:color="auto"/>
            </w:tcBorders>
            <w:noWrap/>
            <w:vAlign w:val="center"/>
            <w:hideMark/>
          </w:tcPr>
          <w:p w14:paraId="556610C9"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3.080</w:t>
            </w:r>
          </w:p>
        </w:tc>
        <w:tc>
          <w:tcPr>
            <w:tcW w:w="451" w:type="pct"/>
            <w:tcBorders>
              <w:top w:val="single" w:sz="4" w:space="0" w:color="auto"/>
            </w:tcBorders>
            <w:noWrap/>
            <w:vAlign w:val="center"/>
            <w:hideMark/>
          </w:tcPr>
          <w:p w14:paraId="479EE1A9"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1.280</w:t>
            </w:r>
          </w:p>
        </w:tc>
        <w:tc>
          <w:tcPr>
            <w:tcW w:w="1279" w:type="pct"/>
            <w:tcBorders>
              <w:top w:val="single" w:sz="4" w:space="0" w:color="auto"/>
            </w:tcBorders>
            <w:noWrap/>
            <w:vAlign w:val="center"/>
            <w:hideMark/>
          </w:tcPr>
          <w:p w14:paraId="3543E6CA"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0.943</w:t>
            </w:r>
            <w:r>
              <w:rPr>
                <w:rFonts w:eastAsia="Times New Roman" w:cs="Times New Roman"/>
                <w:color w:val="000000"/>
                <w:sz w:val="20"/>
                <w:lang w:val="en-US"/>
              </w:rPr>
              <w:t>*</w:t>
            </w:r>
          </w:p>
        </w:tc>
        <w:tc>
          <w:tcPr>
            <w:tcW w:w="302" w:type="pct"/>
            <w:tcBorders>
              <w:top w:val="single" w:sz="4" w:space="0" w:color="auto"/>
            </w:tcBorders>
            <w:noWrap/>
            <w:vAlign w:val="center"/>
            <w:hideMark/>
          </w:tcPr>
          <w:p w14:paraId="08F9976C"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0.936</w:t>
            </w:r>
            <w:r>
              <w:rPr>
                <w:rFonts w:eastAsia="Times New Roman" w:cs="Times New Roman"/>
                <w:color w:val="000000"/>
                <w:sz w:val="20"/>
                <w:lang w:val="en-US"/>
              </w:rPr>
              <w:t>*</w:t>
            </w:r>
          </w:p>
        </w:tc>
        <w:tc>
          <w:tcPr>
            <w:tcW w:w="302" w:type="pct"/>
            <w:tcBorders>
              <w:top w:val="single" w:sz="4" w:space="0" w:color="auto"/>
            </w:tcBorders>
            <w:noWrap/>
            <w:vAlign w:val="center"/>
            <w:hideMark/>
          </w:tcPr>
          <w:p w14:paraId="6A32BB03"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0.974</w:t>
            </w:r>
            <w:r>
              <w:rPr>
                <w:rFonts w:eastAsia="Times New Roman" w:cs="Times New Roman"/>
                <w:color w:val="000000"/>
                <w:sz w:val="20"/>
                <w:lang w:val="en-US"/>
              </w:rPr>
              <w:t>*</w:t>
            </w:r>
          </w:p>
        </w:tc>
        <w:tc>
          <w:tcPr>
            <w:tcW w:w="302" w:type="pct"/>
            <w:tcBorders>
              <w:top w:val="single" w:sz="4" w:space="0" w:color="auto"/>
            </w:tcBorders>
            <w:noWrap/>
            <w:vAlign w:val="center"/>
            <w:hideMark/>
          </w:tcPr>
          <w:p w14:paraId="373D4572"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0.964</w:t>
            </w:r>
            <w:r>
              <w:rPr>
                <w:rFonts w:eastAsia="Times New Roman" w:cs="Times New Roman"/>
                <w:color w:val="000000"/>
                <w:sz w:val="20"/>
                <w:lang w:val="en-US"/>
              </w:rPr>
              <w:t>*</w:t>
            </w:r>
          </w:p>
        </w:tc>
        <w:tc>
          <w:tcPr>
            <w:tcW w:w="243" w:type="pct"/>
            <w:tcBorders>
              <w:top w:val="single" w:sz="4" w:space="0" w:color="auto"/>
            </w:tcBorders>
            <w:noWrap/>
            <w:vAlign w:val="center"/>
            <w:hideMark/>
          </w:tcPr>
          <w:p w14:paraId="449DFAB5" w14:textId="77777777" w:rsidR="006B2A82" w:rsidRPr="006B2A82" w:rsidRDefault="006B2A82" w:rsidP="006B2A82">
            <w:pPr>
              <w:spacing w:after="0"/>
              <w:jc w:val="center"/>
              <w:rPr>
                <w:rFonts w:eastAsia="Times New Roman" w:cs="Times New Roman"/>
                <w:color w:val="000000"/>
                <w:sz w:val="20"/>
                <w:lang w:val="en-US"/>
              </w:rPr>
            </w:pPr>
            <w:r w:rsidRPr="006B2A82">
              <w:rPr>
                <w:rFonts w:eastAsia="Times New Roman" w:cs="Times New Roman"/>
                <w:color w:val="000000"/>
                <w:sz w:val="20"/>
                <w:lang w:val="en-US"/>
              </w:rPr>
              <w:t>1</w:t>
            </w:r>
          </w:p>
        </w:tc>
      </w:tr>
    </w:tbl>
    <w:p w14:paraId="713720FF" w14:textId="77777777" w:rsidR="00304493" w:rsidRDefault="006B2A82" w:rsidP="006B2A82">
      <w:pPr>
        <w:jc w:val="center"/>
        <w:rPr>
          <w:vertAlign w:val="subscript"/>
        </w:rPr>
      </w:pPr>
      <w:r w:rsidRPr="006B2A82">
        <w:rPr>
          <w:vertAlign w:val="subscript"/>
        </w:rPr>
        <w:t>(Note: SA, PEU, PSB, PU, &amp; ACC represent student awareness, perceived ease of use, perceived security benefits, perceived usefulness, and acceptance of blockchain-based authentication framework. * represent significance of correlation at 1%)</w:t>
      </w:r>
    </w:p>
    <w:p w14:paraId="6AF9D5F0" w14:textId="77777777" w:rsidR="006B2A82" w:rsidRDefault="006B2A82" w:rsidP="006B2A82">
      <w:pPr>
        <w:jc w:val="both"/>
      </w:pPr>
      <w:r>
        <w:t>From table 3, descriptive statistics reveal that the students reported moderate levels of agreement across all five constructs. The mean scores for each factor range narrowly between 3.000 and 3.102, indicating that respondents, on average, neither strongly agreed nor strongly disagreed with the statements related to student awareness, perceived ease of use, perceived security benefits, perceived usefulness, and acceptance of blockchain-based authentication frameworks. Standard deviations for all variables fall between 1.280 and 1.332, suggesting a relatively wide spread of responses around the mean, which reflects variability in students’ perceptions and attitudes across the sample. The correlation matrix shows strong and statistically significant positive correlations among all variables at the 1% level. Student Awareness is strongly correlated with Perceived Ease of Use (0.992) and Perceived Usefulness (0.983), suggesting that students who are more aware of blockchain tend to perceive it as easier to use and more useful. The highest correlation is observed between Perceived Security Benefits and Acceptance (0.974), followed closely by the correlation between Perceived Usefulness and Acceptance (0.964</w:t>
      </w:r>
      <w:r w:rsidR="00685CD3">
        <w:t xml:space="preserve"> The findings align with prior TAM-based research, confirming that perceived ease of use, usefulness, and security strongly influence technology adoption; consistent with Grover et al. (2019) and Junejo et al. (2024), the study shows that greater awareness and perceived benefits significantly boost acceptance of blockchain-based authentication in IoT, highlighting the importance of user education and practical value in promoting adoption.</w:t>
      </w:r>
    </w:p>
    <w:p w14:paraId="0D914968" w14:textId="77777777" w:rsidR="00936FD4" w:rsidRDefault="00936FD4" w:rsidP="00936FD4">
      <w:pPr>
        <w:pStyle w:val="Caption"/>
        <w:jc w:val="center"/>
      </w:pPr>
      <w:r>
        <w:t xml:space="preserve">Table </w:t>
      </w:r>
      <w:r>
        <w:fldChar w:fldCharType="begin"/>
      </w:r>
      <w:r>
        <w:instrText xml:space="preserve"> SEQ Table \* ARABIC </w:instrText>
      </w:r>
      <w:r>
        <w:fldChar w:fldCharType="separate"/>
      </w:r>
      <w:r>
        <w:rPr>
          <w:noProof/>
        </w:rPr>
        <w:t>4</w:t>
      </w:r>
      <w:r>
        <w:fldChar w:fldCharType="end"/>
      </w:r>
      <w:r>
        <w:t>: Mediation Results</w:t>
      </w:r>
    </w:p>
    <w:tbl>
      <w:tblPr>
        <w:tblW w:w="5000" w:type="pct"/>
        <w:tblBorders>
          <w:top w:val="single" w:sz="4" w:space="0" w:color="auto"/>
          <w:bottom w:val="single" w:sz="4" w:space="0" w:color="auto"/>
        </w:tblBorders>
        <w:tblLook w:val="04A0" w:firstRow="1" w:lastRow="0" w:firstColumn="1" w:lastColumn="0" w:noHBand="0" w:noVBand="1"/>
      </w:tblPr>
      <w:tblGrid>
        <w:gridCol w:w="1742"/>
        <w:gridCol w:w="1194"/>
        <w:gridCol w:w="1206"/>
        <w:gridCol w:w="1200"/>
        <w:gridCol w:w="1144"/>
        <w:gridCol w:w="1101"/>
        <w:gridCol w:w="895"/>
        <w:gridCol w:w="878"/>
      </w:tblGrid>
      <w:tr w:rsidR="00936FD4" w:rsidRPr="00936FD4" w14:paraId="0A830439" w14:textId="77777777" w:rsidTr="00936FD4">
        <w:trPr>
          <w:trHeight w:val="300"/>
        </w:trPr>
        <w:tc>
          <w:tcPr>
            <w:tcW w:w="931" w:type="pct"/>
            <w:tcBorders>
              <w:bottom w:val="single" w:sz="4" w:space="0" w:color="auto"/>
            </w:tcBorders>
            <w:noWrap/>
            <w:vAlign w:val="center"/>
            <w:hideMark/>
          </w:tcPr>
          <w:p w14:paraId="19B9DFF1"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Effects</w:t>
            </w:r>
          </w:p>
        </w:tc>
        <w:tc>
          <w:tcPr>
            <w:tcW w:w="638" w:type="pct"/>
            <w:tcBorders>
              <w:bottom w:val="single" w:sz="4" w:space="0" w:color="auto"/>
            </w:tcBorders>
            <w:noWrap/>
            <w:vAlign w:val="bottom"/>
            <w:hideMark/>
          </w:tcPr>
          <w:p w14:paraId="0AD0ED22"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Predictor</w:t>
            </w:r>
          </w:p>
        </w:tc>
        <w:tc>
          <w:tcPr>
            <w:tcW w:w="644" w:type="pct"/>
            <w:tcBorders>
              <w:bottom w:val="single" w:sz="4" w:space="0" w:color="auto"/>
            </w:tcBorders>
            <w:noWrap/>
            <w:vAlign w:val="bottom"/>
            <w:hideMark/>
          </w:tcPr>
          <w:p w14:paraId="0C25D6E5"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Mediator</w:t>
            </w:r>
          </w:p>
        </w:tc>
        <w:tc>
          <w:tcPr>
            <w:tcW w:w="641" w:type="pct"/>
            <w:tcBorders>
              <w:bottom w:val="single" w:sz="4" w:space="0" w:color="auto"/>
            </w:tcBorders>
            <w:noWrap/>
            <w:vAlign w:val="center"/>
            <w:hideMark/>
          </w:tcPr>
          <w:p w14:paraId="22B1C2BF"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Outcome</w:t>
            </w:r>
          </w:p>
        </w:tc>
        <w:tc>
          <w:tcPr>
            <w:tcW w:w="611" w:type="pct"/>
            <w:tcBorders>
              <w:bottom w:val="single" w:sz="4" w:space="0" w:color="auto"/>
            </w:tcBorders>
            <w:noWrap/>
            <w:vAlign w:val="center"/>
            <w:hideMark/>
          </w:tcPr>
          <w:p w14:paraId="1888CBAB"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Estimate</w:t>
            </w:r>
          </w:p>
        </w:tc>
        <w:tc>
          <w:tcPr>
            <w:tcW w:w="588" w:type="pct"/>
            <w:tcBorders>
              <w:bottom w:val="single" w:sz="4" w:space="0" w:color="auto"/>
            </w:tcBorders>
            <w:noWrap/>
            <w:vAlign w:val="center"/>
            <w:hideMark/>
          </w:tcPr>
          <w:p w14:paraId="52FA0E06"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Std. Error</w:t>
            </w:r>
          </w:p>
        </w:tc>
        <w:tc>
          <w:tcPr>
            <w:tcW w:w="478" w:type="pct"/>
            <w:tcBorders>
              <w:bottom w:val="single" w:sz="4" w:space="0" w:color="auto"/>
            </w:tcBorders>
            <w:noWrap/>
            <w:vAlign w:val="center"/>
            <w:hideMark/>
          </w:tcPr>
          <w:p w14:paraId="5DF8F124"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z-value</w:t>
            </w:r>
          </w:p>
        </w:tc>
        <w:tc>
          <w:tcPr>
            <w:tcW w:w="469" w:type="pct"/>
            <w:tcBorders>
              <w:bottom w:val="single" w:sz="4" w:space="0" w:color="auto"/>
            </w:tcBorders>
            <w:noWrap/>
            <w:vAlign w:val="center"/>
            <w:hideMark/>
          </w:tcPr>
          <w:p w14:paraId="3247E0AC"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p</w:t>
            </w:r>
          </w:p>
        </w:tc>
      </w:tr>
      <w:tr w:rsidR="00936FD4" w:rsidRPr="00936FD4" w14:paraId="1DBD4DED" w14:textId="77777777" w:rsidTr="00936FD4">
        <w:trPr>
          <w:trHeight w:val="300"/>
        </w:trPr>
        <w:tc>
          <w:tcPr>
            <w:tcW w:w="931" w:type="pct"/>
            <w:vMerge w:val="restart"/>
            <w:tcBorders>
              <w:top w:val="single" w:sz="4" w:space="0" w:color="auto"/>
              <w:bottom w:val="nil"/>
            </w:tcBorders>
            <w:noWrap/>
            <w:vAlign w:val="center"/>
            <w:hideMark/>
          </w:tcPr>
          <w:p w14:paraId="5F45BB19"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Direct Effects</w:t>
            </w:r>
          </w:p>
        </w:tc>
        <w:tc>
          <w:tcPr>
            <w:tcW w:w="638" w:type="pct"/>
            <w:tcBorders>
              <w:top w:val="single" w:sz="4" w:space="0" w:color="auto"/>
              <w:bottom w:val="nil"/>
            </w:tcBorders>
            <w:noWrap/>
            <w:vAlign w:val="bottom"/>
            <w:hideMark/>
          </w:tcPr>
          <w:p w14:paraId="1127975C"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SA</w:t>
            </w:r>
          </w:p>
        </w:tc>
        <w:tc>
          <w:tcPr>
            <w:tcW w:w="644" w:type="pct"/>
            <w:tcBorders>
              <w:top w:val="single" w:sz="4" w:space="0" w:color="auto"/>
              <w:bottom w:val="nil"/>
            </w:tcBorders>
            <w:noWrap/>
            <w:vAlign w:val="bottom"/>
            <w:hideMark/>
          </w:tcPr>
          <w:p w14:paraId="36E65FC4"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w:t>
            </w:r>
          </w:p>
        </w:tc>
        <w:tc>
          <w:tcPr>
            <w:tcW w:w="641" w:type="pct"/>
            <w:tcBorders>
              <w:top w:val="single" w:sz="4" w:space="0" w:color="auto"/>
              <w:bottom w:val="nil"/>
            </w:tcBorders>
            <w:noWrap/>
            <w:vAlign w:val="center"/>
            <w:hideMark/>
          </w:tcPr>
          <w:p w14:paraId="3EF4B6A6"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ACC</w:t>
            </w:r>
          </w:p>
        </w:tc>
        <w:tc>
          <w:tcPr>
            <w:tcW w:w="611" w:type="pct"/>
            <w:tcBorders>
              <w:top w:val="single" w:sz="4" w:space="0" w:color="auto"/>
              <w:bottom w:val="nil"/>
            </w:tcBorders>
            <w:noWrap/>
            <w:vAlign w:val="center"/>
            <w:hideMark/>
          </w:tcPr>
          <w:p w14:paraId="4D0FCCFB"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0.225</w:t>
            </w:r>
          </w:p>
        </w:tc>
        <w:tc>
          <w:tcPr>
            <w:tcW w:w="588" w:type="pct"/>
            <w:tcBorders>
              <w:top w:val="single" w:sz="4" w:space="0" w:color="auto"/>
              <w:bottom w:val="nil"/>
            </w:tcBorders>
            <w:noWrap/>
            <w:vAlign w:val="center"/>
            <w:hideMark/>
          </w:tcPr>
          <w:p w14:paraId="72378861"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0.151</w:t>
            </w:r>
          </w:p>
        </w:tc>
        <w:tc>
          <w:tcPr>
            <w:tcW w:w="478" w:type="pct"/>
            <w:tcBorders>
              <w:top w:val="single" w:sz="4" w:space="0" w:color="auto"/>
              <w:bottom w:val="nil"/>
            </w:tcBorders>
            <w:noWrap/>
            <w:vAlign w:val="center"/>
            <w:hideMark/>
          </w:tcPr>
          <w:p w14:paraId="5777F137"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1.492</w:t>
            </w:r>
          </w:p>
        </w:tc>
        <w:tc>
          <w:tcPr>
            <w:tcW w:w="469" w:type="pct"/>
            <w:tcBorders>
              <w:top w:val="single" w:sz="4" w:space="0" w:color="auto"/>
              <w:bottom w:val="nil"/>
            </w:tcBorders>
            <w:noWrap/>
            <w:vAlign w:val="center"/>
            <w:hideMark/>
          </w:tcPr>
          <w:p w14:paraId="2F6DAE1D"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0.136</w:t>
            </w:r>
          </w:p>
        </w:tc>
      </w:tr>
      <w:tr w:rsidR="00936FD4" w:rsidRPr="00936FD4" w14:paraId="1C86FDE7" w14:textId="77777777" w:rsidTr="00936FD4">
        <w:trPr>
          <w:trHeight w:val="300"/>
        </w:trPr>
        <w:tc>
          <w:tcPr>
            <w:tcW w:w="931" w:type="pct"/>
            <w:vMerge/>
            <w:tcBorders>
              <w:top w:val="nil"/>
              <w:bottom w:val="nil"/>
            </w:tcBorders>
            <w:vAlign w:val="center"/>
            <w:hideMark/>
          </w:tcPr>
          <w:p w14:paraId="02634A34" w14:textId="77777777" w:rsidR="00936FD4" w:rsidRPr="00936FD4" w:rsidRDefault="00936FD4" w:rsidP="00936FD4">
            <w:pPr>
              <w:spacing w:after="0"/>
              <w:rPr>
                <w:rFonts w:eastAsia="Times New Roman" w:cs="Times New Roman"/>
                <w:color w:val="000000"/>
                <w:sz w:val="22"/>
                <w:lang w:val="en-US"/>
              </w:rPr>
            </w:pPr>
          </w:p>
        </w:tc>
        <w:tc>
          <w:tcPr>
            <w:tcW w:w="638" w:type="pct"/>
            <w:tcBorders>
              <w:top w:val="nil"/>
              <w:bottom w:val="nil"/>
            </w:tcBorders>
            <w:noWrap/>
            <w:vAlign w:val="bottom"/>
            <w:hideMark/>
          </w:tcPr>
          <w:p w14:paraId="36225CD8"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PEU</w:t>
            </w:r>
          </w:p>
        </w:tc>
        <w:tc>
          <w:tcPr>
            <w:tcW w:w="644" w:type="pct"/>
            <w:tcBorders>
              <w:top w:val="nil"/>
              <w:bottom w:val="nil"/>
            </w:tcBorders>
            <w:noWrap/>
            <w:vAlign w:val="bottom"/>
            <w:hideMark/>
          </w:tcPr>
          <w:p w14:paraId="5F50ADE6"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w:t>
            </w:r>
          </w:p>
        </w:tc>
        <w:tc>
          <w:tcPr>
            <w:tcW w:w="641" w:type="pct"/>
            <w:tcBorders>
              <w:top w:val="nil"/>
              <w:bottom w:val="nil"/>
            </w:tcBorders>
            <w:noWrap/>
            <w:vAlign w:val="center"/>
            <w:hideMark/>
          </w:tcPr>
          <w:p w14:paraId="352C42D2"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ACC</w:t>
            </w:r>
          </w:p>
        </w:tc>
        <w:tc>
          <w:tcPr>
            <w:tcW w:w="611" w:type="pct"/>
            <w:tcBorders>
              <w:top w:val="nil"/>
              <w:bottom w:val="nil"/>
            </w:tcBorders>
            <w:noWrap/>
            <w:vAlign w:val="center"/>
            <w:hideMark/>
          </w:tcPr>
          <w:p w14:paraId="7E0C4C33"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-0.335</w:t>
            </w:r>
          </w:p>
        </w:tc>
        <w:tc>
          <w:tcPr>
            <w:tcW w:w="588" w:type="pct"/>
            <w:tcBorders>
              <w:top w:val="nil"/>
              <w:bottom w:val="nil"/>
            </w:tcBorders>
            <w:noWrap/>
            <w:vAlign w:val="center"/>
            <w:hideMark/>
          </w:tcPr>
          <w:p w14:paraId="38D43F88"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0.154</w:t>
            </w:r>
          </w:p>
        </w:tc>
        <w:tc>
          <w:tcPr>
            <w:tcW w:w="478" w:type="pct"/>
            <w:tcBorders>
              <w:top w:val="nil"/>
              <w:bottom w:val="nil"/>
            </w:tcBorders>
            <w:noWrap/>
            <w:vAlign w:val="center"/>
            <w:hideMark/>
          </w:tcPr>
          <w:p w14:paraId="419619C0"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-2.177</w:t>
            </w:r>
          </w:p>
        </w:tc>
        <w:tc>
          <w:tcPr>
            <w:tcW w:w="469" w:type="pct"/>
            <w:tcBorders>
              <w:top w:val="nil"/>
              <w:bottom w:val="nil"/>
            </w:tcBorders>
            <w:noWrap/>
            <w:vAlign w:val="center"/>
            <w:hideMark/>
          </w:tcPr>
          <w:p w14:paraId="3666B052"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0.029</w:t>
            </w:r>
          </w:p>
        </w:tc>
      </w:tr>
      <w:tr w:rsidR="00936FD4" w:rsidRPr="00936FD4" w14:paraId="6D0A1CB2" w14:textId="77777777" w:rsidTr="00936FD4">
        <w:trPr>
          <w:trHeight w:val="300"/>
        </w:trPr>
        <w:tc>
          <w:tcPr>
            <w:tcW w:w="931" w:type="pct"/>
            <w:vMerge/>
            <w:tcBorders>
              <w:top w:val="nil"/>
              <w:bottom w:val="single" w:sz="4" w:space="0" w:color="auto"/>
            </w:tcBorders>
            <w:vAlign w:val="center"/>
            <w:hideMark/>
          </w:tcPr>
          <w:p w14:paraId="01C73EAB" w14:textId="77777777" w:rsidR="00936FD4" w:rsidRPr="00936FD4" w:rsidRDefault="00936FD4" w:rsidP="00936FD4">
            <w:pPr>
              <w:spacing w:after="0"/>
              <w:rPr>
                <w:rFonts w:eastAsia="Times New Roman" w:cs="Times New Roman"/>
                <w:color w:val="000000"/>
                <w:sz w:val="22"/>
                <w:lang w:val="en-US"/>
              </w:rPr>
            </w:pPr>
          </w:p>
        </w:tc>
        <w:tc>
          <w:tcPr>
            <w:tcW w:w="638" w:type="pct"/>
            <w:tcBorders>
              <w:top w:val="nil"/>
              <w:bottom w:val="single" w:sz="4" w:space="0" w:color="auto"/>
            </w:tcBorders>
            <w:noWrap/>
            <w:vAlign w:val="bottom"/>
            <w:hideMark/>
          </w:tcPr>
          <w:p w14:paraId="53BBDEFE"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PSB</w:t>
            </w:r>
          </w:p>
        </w:tc>
        <w:tc>
          <w:tcPr>
            <w:tcW w:w="644" w:type="pct"/>
            <w:tcBorders>
              <w:top w:val="nil"/>
              <w:bottom w:val="single" w:sz="4" w:space="0" w:color="auto"/>
            </w:tcBorders>
            <w:noWrap/>
            <w:vAlign w:val="bottom"/>
            <w:hideMark/>
          </w:tcPr>
          <w:p w14:paraId="69668AF1"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w:t>
            </w:r>
          </w:p>
        </w:tc>
        <w:tc>
          <w:tcPr>
            <w:tcW w:w="641" w:type="pct"/>
            <w:tcBorders>
              <w:top w:val="nil"/>
              <w:bottom w:val="single" w:sz="4" w:space="0" w:color="auto"/>
            </w:tcBorders>
            <w:noWrap/>
            <w:vAlign w:val="center"/>
            <w:hideMark/>
          </w:tcPr>
          <w:p w14:paraId="1DED3A23"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ACC</w:t>
            </w:r>
          </w:p>
        </w:tc>
        <w:tc>
          <w:tcPr>
            <w:tcW w:w="611" w:type="pct"/>
            <w:tcBorders>
              <w:top w:val="nil"/>
              <w:bottom w:val="single" w:sz="4" w:space="0" w:color="auto"/>
            </w:tcBorders>
            <w:noWrap/>
            <w:vAlign w:val="center"/>
            <w:hideMark/>
          </w:tcPr>
          <w:p w14:paraId="30DC0A7C"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0.575</w:t>
            </w:r>
          </w:p>
        </w:tc>
        <w:tc>
          <w:tcPr>
            <w:tcW w:w="588" w:type="pct"/>
            <w:tcBorders>
              <w:top w:val="nil"/>
              <w:bottom w:val="single" w:sz="4" w:space="0" w:color="auto"/>
            </w:tcBorders>
            <w:noWrap/>
            <w:vAlign w:val="center"/>
            <w:hideMark/>
          </w:tcPr>
          <w:p w14:paraId="048B129D"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0.064</w:t>
            </w:r>
          </w:p>
        </w:tc>
        <w:tc>
          <w:tcPr>
            <w:tcW w:w="478" w:type="pct"/>
            <w:tcBorders>
              <w:top w:val="nil"/>
              <w:bottom w:val="single" w:sz="4" w:space="0" w:color="auto"/>
            </w:tcBorders>
            <w:noWrap/>
            <w:vAlign w:val="center"/>
            <w:hideMark/>
          </w:tcPr>
          <w:p w14:paraId="6655C329"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9.029</w:t>
            </w:r>
          </w:p>
        </w:tc>
        <w:tc>
          <w:tcPr>
            <w:tcW w:w="469" w:type="pct"/>
            <w:tcBorders>
              <w:top w:val="nil"/>
              <w:bottom w:val="single" w:sz="4" w:space="0" w:color="auto"/>
            </w:tcBorders>
            <w:noWrap/>
            <w:vAlign w:val="center"/>
            <w:hideMark/>
          </w:tcPr>
          <w:p w14:paraId="032CE998"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&lt; .001</w:t>
            </w:r>
          </w:p>
        </w:tc>
      </w:tr>
      <w:tr w:rsidR="00936FD4" w:rsidRPr="00936FD4" w14:paraId="678B97E3" w14:textId="77777777" w:rsidTr="00936FD4">
        <w:trPr>
          <w:trHeight w:val="300"/>
        </w:trPr>
        <w:tc>
          <w:tcPr>
            <w:tcW w:w="931" w:type="pct"/>
            <w:vMerge w:val="restart"/>
            <w:tcBorders>
              <w:top w:val="single" w:sz="4" w:space="0" w:color="auto"/>
            </w:tcBorders>
            <w:noWrap/>
            <w:vAlign w:val="center"/>
            <w:hideMark/>
          </w:tcPr>
          <w:p w14:paraId="37FBC683"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Indirect Effects</w:t>
            </w:r>
          </w:p>
        </w:tc>
        <w:tc>
          <w:tcPr>
            <w:tcW w:w="638" w:type="pct"/>
            <w:tcBorders>
              <w:top w:val="single" w:sz="4" w:space="0" w:color="auto"/>
            </w:tcBorders>
            <w:noWrap/>
            <w:vAlign w:val="bottom"/>
            <w:hideMark/>
          </w:tcPr>
          <w:p w14:paraId="50FB6515"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SA</w:t>
            </w:r>
          </w:p>
        </w:tc>
        <w:tc>
          <w:tcPr>
            <w:tcW w:w="644" w:type="pct"/>
            <w:tcBorders>
              <w:top w:val="single" w:sz="4" w:space="0" w:color="auto"/>
            </w:tcBorders>
            <w:noWrap/>
            <w:vAlign w:val="bottom"/>
            <w:hideMark/>
          </w:tcPr>
          <w:p w14:paraId="5761BA22"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→PU</w:t>
            </w:r>
          </w:p>
        </w:tc>
        <w:tc>
          <w:tcPr>
            <w:tcW w:w="641" w:type="pct"/>
            <w:tcBorders>
              <w:top w:val="single" w:sz="4" w:space="0" w:color="auto"/>
            </w:tcBorders>
            <w:noWrap/>
            <w:vAlign w:val="center"/>
            <w:hideMark/>
          </w:tcPr>
          <w:p w14:paraId="5B2E8C95"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→ACC</w:t>
            </w:r>
          </w:p>
        </w:tc>
        <w:tc>
          <w:tcPr>
            <w:tcW w:w="611" w:type="pct"/>
            <w:tcBorders>
              <w:top w:val="single" w:sz="4" w:space="0" w:color="auto"/>
            </w:tcBorders>
            <w:noWrap/>
            <w:vAlign w:val="center"/>
            <w:hideMark/>
          </w:tcPr>
          <w:p w14:paraId="23D40EFD"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0.154</w:t>
            </w:r>
          </w:p>
        </w:tc>
        <w:tc>
          <w:tcPr>
            <w:tcW w:w="588" w:type="pct"/>
            <w:tcBorders>
              <w:top w:val="single" w:sz="4" w:space="0" w:color="auto"/>
            </w:tcBorders>
            <w:noWrap/>
            <w:vAlign w:val="center"/>
            <w:hideMark/>
          </w:tcPr>
          <w:p w14:paraId="194FD81A"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0.068</w:t>
            </w:r>
          </w:p>
        </w:tc>
        <w:tc>
          <w:tcPr>
            <w:tcW w:w="478" w:type="pct"/>
            <w:tcBorders>
              <w:top w:val="single" w:sz="4" w:space="0" w:color="auto"/>
            </w:tcBorders>
            <w:noWrap/>
            <w:vAlign w:val="center"/>
            <w:hideMark/>
          </w:tcPr>
          <w:p w14:paraId="27222F45"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2.268</w:t>
            </w:r>
          </w:p>
        </w:tc>
        <w:tc>
          <w:tcPr>
            <w:tcW w:w="469" w:type="pct"/>
            <w:tcBorders>
              <w:top w:val="single" w:sz="4" w:space="0" w:color="auto"/>
            </w:tcBorders>
            <w:noWrap/>
            <w:vAlign w:val="center"/>
            <w:hideMark/>
          </w:tcPr>
          <w:p w14:paraId="657C2B07"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0.023</w:t>
            </w:r>
          </w:p>
        </w:tc>
      </w:tr>
      <w:tr w:rsidR="00936FD4" w:rsidRPr="00936FD4" w14:paraId="0C9F31DD" w14:textId="77777777" w:rsidTr="00936FD4">
        <w:trPr>
          <w:trHeight w:val="300"/>
        </w:trPr>
        <w:tc>
          <w:tcPr>
            <w:tcW w:w="931" w:type="pct"/>
            <w:vMerge/>
            <w:vAlign w:val="center"/>
            <w:hideMark/>
          </w:tcPr>
          <w:p w14:paraId="714ED254" w14:textId="77777777" w:rsidR="00936FD4" w:rsidRPr="00936FD4" w:rsidRDefault="00936FD4" w:rsidP="00936FD4">
            <w:pPr>
              <w:spacing w:after="0"/>
              <w:rPr>
                <w:rFonts w:eastAsia="Times New Roman" w:cs="Times New Roman"/>
                <w:color w:val="000000"/>
                <w:sz w:val="22"/>
                <w:lang w:val="en-US"/>
              </w:rPr>
            </w:pPr>
          </w:p>
        </w:tc>
        <w:tc>
          <w:tcPr>
            <w:tcW w:w="638" w:type="pct"/>
            <w:noWrap/>
            <w:vAlign w:val="bottom"/>
            <w:hideMark/>
          </w:tcPr>
          <w:p w14:paraId="77E7CBCF"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PEU</w:t>
            </w:r>
          </w:p>
        </w:tc>
        <w:tc>
          <w:tcPr>
            <w:tcW w:w="644" w:type="pct"/>
            <w:noWrap/>
            <w:vAlign w:val="bottom"/>
            <w:hideMark/>
          </w:tcPr>
          <w:p w14:paraId="1282C89A"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→PU</w:t>
            </w:r>
          </w:p>
        </w:tc>
        <w:tc>
          <w:tcPr>
            <w:tcW w:w="641" w:type="pct"/>
            <w:noWrap/>
            <w:vAlign w:val="center"/>
            <w:hideMark/>
          </w:tcPr>
          <w:p w14:paraId="3E566DEC"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→ACC</w:t>
            </w:r>
          </w:p>
        </w:tc>
        <w:tc>
          <w:tcPr>
            <w:tcW w:w="611" w:type="pct"/>
            <w:noWrap/>
            <w:vAlign w:val="center"/>
            <w:hideMark/>
          </w:tcPr>
          <w:p w14:paraId="14C3D67F"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0.206</w:t>
            </w:r>
          </w:p>
        </w:tc>
        <w:tc>
          <w:tcPr>
            <w:tcW w:w="588" w:type="pct"/>
            <w:noWrap/>
            <w:vAlign w:val="center"/>
            <w:hideMark/>
          </w:tcPr>
          <w:p w14:paraId="38087EDC"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0.077</w:t>
            </w:r>
          </w:p>
        </w:tc>
        <w:tc>
          <w:tcPr>
            <w:tcW w:w="478" w:type="pct"/>
            <w:noWrap/>
            <w:vAlign w:val="center"/>
            <w:hideMark/>
          </w:tcPr>
          <w:p w14:paraId="38F784A8"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2.682</w:t>
            </w:r>
          </w:p>
        </w:tc>
        <w:tc>
          <w:tcPr>
            <w:tcW w:w="469" w:type="pct"/>
            <w:noWrap/>
            <w:vAlign w:val="center"/>
            <w:hideMark/>
          </w:tcPr>
          <w:p w14:paraId="0AA8E67E"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0.007</w:t>
            </w:r>
          </w:p>
        </w:tc>
      </w:tr>
      <w:tr w:rsidR="00936FD4" w:rsidRPr="00936FD4" w14:paraId="662EFA5E" w14:textId="77777777" w:rsidTr="00936FD4">
        <w:trPr>
          <w:trHeight w:val="300"/>
        </w:trPr>
        <w:tc>
          <w:tcPr>
            <w:tcW w:w="931" w:type="pct"/>
            <w:vMerge/>
            <w:vAlign w:val="center"/>
            <w:hideMark/>
          </w:tcPr>
          <w:p w14:paraId="5248A6B4" w14:textId="77777777" w:rsidR="00936FD4" w:rsidRPr="00936FD4" w:rsidRDefault="00936FD4" w:rsidP="00936FD4">
            <w:pPr>
              <w:spacing w:after="0"/>
              <w:rPr>
                <w:rFonts w:eastAsia="Times New Roman" w:cs="Times New Roman"/>
                <w:color w:val="000000"/>
                <w:sz w:val="22"/>
                <w:lang w:val="en-US"/>
              </w:rPr>
            </w:pPr>
          </w:p>
        </w:tc>
        <w:tc>
          <w:tcPr>
            <w:tcW w:w="638" w:type="pct"/>
            <w:noWrap/>
            <w:vAlign w:val="bottom"/>
            <w:hideMark/>
          </w:tcPr>
          <w:p w14:paraId="483022CE"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PSB</w:t>
            </w:r>
          </w:p>
        </w:tc>
        <w:tc>
          <w:tcPr>
            <w:tcW w:w="644" w:type="pct"/>
            <w:noWrap/>
            <w:vAlign w:val="bottom"/>
            <w:hideMark/>
          </w:tcPr>
          <w:p w14:paraId="79B40363" w14:textId="77777777" w:rsidR="00936FD4" w:rsidRPr="00936FD4" w:rsidRDefault="00936FD4" w:rsidP="00936FD4">
            <w:pPr>
              <w:spacing w:after="0"/>
              <w:rPr>
                <w:rFonts w:eastAsia="Times New Roman" w:cs="Times New Roman"/>
                <w:color w:val="000000"/>
                <w:sz w:val="22"/>
                <w:lang w:val="en-US"/>
              </w:rPr>
            </w:pPr>
            <w:r w:rsidRPr="00936FD4">
              <w:rPr>
                <w:rFonts w:eastAsia="Times New Roman" w:cs="Times New Roman"/>
                <w:color w:val="000000"/>
                <w:sz w:val="22"/>
                <w:lang w:val="en-US"/>
              </w:rPr>
              <w:t>→PU</w:t>
            </w:r>
          </w:p>
        </w:tc>
        <w:tc>
          <w:tcPr>
            <w:tcW w:w="641" w:type="pct"/>
            <w:noWrap/>
            <w:vAlign w:val="center"/>
            <w:hideMark/>
          </w:tcPr>
          <w:p w14:paraId="09F2E2E8"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→ACC</w:t>
            </w:r>
          </w:p>
        </w:tc>
        <w:tc>
          <w:tcPr>
            <w:tcW w:w="611" w:type="pct"/>
            <w:noWrap/>
            <w:vAlign w:val="center"/>
            <w:hideMark/>
          </w:tcPr>
          <w:p w14:paraId="45F78E29"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0.140</w:t>
            </w:r>
          </w:p>
        </w:tc>
        <w:tc>
          <w:tcPr>
            <w:tcW w:w="588" w:type="pct"/>
            <w:noWrap/>
            <w:vAlign w:val="center"/>
            <w:hideMark/>
          </w:tcPr>
          <w:p w14:paraId="4515975B"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0.042</w:t>
            </w:r>
          </w:p>
        </w:tc>
        <w:tc>
          <w:tcPr>
            <w:tcW w:w="478" w:type="pct"/>
            <w:noWrap/>
            <w:vAlign w:val="center"/>
            <w:hideMark/>
          </w:tcPr>
          <w:p w14:paraId="685C5D71"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3.319</w:t>
            </w:r>
          </w:p>
        </w:tc>
        <w:tc>
          <w:tcPr>
            <w:tcW w:w="469" w:type="pct"/>
            <w:noWrap/>
            <w:vAlign w:val="center"/>
            <w:hideMark/>
          </w:tcPr>
          <w:p w14:paraId="3A799AA8" w14:textId="77777777" w:rsidR="00936FD4" w:rsidRPr="00936FD4" w:rsidRDefault="00936FD4" w:rsidP="00936FD4">
            <w:pPr>
              <w:spacing w:after="0"/>
              <w:jc w:val="center"/>
              <w:rPr>
                <w:rFonts w:eastAsia="Times New Roman" w:cs="Times New Roman"/>
                <w:color w:val="000000"/>
                <w:sz w:val="22"/>
                <w:lang w:val="en-US"/>
              </w:rPr>
            </w:pPr>
            <w:r w:rsidRPr="00936FD4">
              <w:rPr>
                <w:rFonts w:eastAsia="Times New Roman" w:cs="Times New Roman"/>
                <w:color w:val="000000"/>
                <w:sz w:val="22"/>
                <w:lang w:val="en-US"/>
              </w:rPr>
              <w:t>&lt; .001</w:t>
            </w:r>
          </w:p>
        </w:tc>
      </w:tr>
    </w:tbl>
    <w:p w14:paraId="3347D219" w14:textId="77777777" w:rsidR="00936FD4" w:rsidRDefault="00936FD4" w:rsidP="00936FD4">
      <w:pPr>
        <w:jc w:val="both"/>
      </w:pPr>
      <w:r>
        <w:lastRenderedPageBreak/>
        <w:t>The mediation analysis of direct effects shows Student Awareness has a positive but statistically insignificant effect on acceptance (estimate = 0.225, p = 0.136), suggesting that awareness alone may not directly lead to adoption. Interestingly, Perceived Ease of Use has a significant negative direct effect on acceptance (estimate = -0.335, p = 0.029), implying that ease of use may not directly translate into acceptance when considered in isolation. In contrast, Perceived Security Benefits have a strong and significant positive effect on acceptance (estimate = 0.575, p &lt; .001), indicating that students are more likely to accept blockchain-based authentication if they perceive it to enhance security.</w:t>
      </w:r>
    </w:p>
    <w:p w14:paraId="6553DCC6" w14:textId="77777777" w:rsidR="00F649FD" w:rsidRDefault="00936FD4" w:rsidP="00936FD4">
      <w:pPr>
        <w:jc w:val="both"/>
      </w:pPr>
      <w:r>
        <w:t>When considering Perceived Usefulness as a mediating variable, the indirect effects reveal meaningful pathways of influence. Student Awareness shows a significant indirect effect on acceptance through usefulness (estimate = 0.154, p = 0.023), suggesting that awareness contributes to acceptance when students also find the system useful. Perceived Ease of Use also exerts a significant indirect effect via usefulness (estimate = 0.206, p = 0.007), showing that although ease of use may have a negative direct effect, it positively contributes to acceptance when it enhances perceived usefulness. Likewise, Perceived Security Benefits have a strong and significant indirect effect through usefulness (estimate = 0.140, p &lt; .001), reinforcing that perceived security increases acceptance more effectively when students also recognize the practical value of the system. These findings emphasize the pivotal role of perceived usefulness as a mediator in shaping acceptance behavior.</w:t>
      </w:r>
      <w:r w:rsidR="00F649FD">
        <w:t xml:space="preserve"> </w:t>
      </w:r>
    </w:p>
    <w:p w14:paraId="5D499402" w14:textId="77777777" w:rsidR="00F649FD" w:rsidRDefault="00F649FD" w:rsidP="00936FD4">
      <w:pPr>
        <w:jc w:val="both"/>
      </w:pPr>
      <w:r w:rsidRPr="00F649FD">
        <w:t xml:space="preserve">The current study's findings reinforce a well-documented trend in technology adoption literature: perceived usefulness plays a pivotal mediating role in shaping user acceptance. As proposed by </w:t>
      </w:r>
      <w:r w:rsidR="00101A7E">
        <w:t>Wallace et al. (2014)</w:t>
      </w:r>
      <w:r w:rsidRPr="00F649FD">
        <w:t xml:space="preserve"> in the original </w:t>
      </w:r>
      <w:r w:rsidR="00685CD3">
        <w:t>TAM Model</w:t>
      </w:r>
      <w:r w:rsidRPr="00F649FD">
        <w:t xml:space="preserve"> the perception of a technology’s practical utility is often the strongest predictor of adoption. This is further supported by </w:t>
      </w:r>
      <w:r w:rsidR="00101A7E">
        <w:t>(</w:t>
      </w:r>
      <w:proofErr w:type="spellStart"/>
      <w:r w:rsidR="00101A7E">
        <w:t>Wiprayoga</w:t>
      </w:r>
      <w:proofErr w:type="spellEnd"/>
      <w:r w:rsidR="00101A7E">
        <w:t xml:space="preserve"> et al., 2023; Alshammari &amp; Babu, 2025)</w:t>
      </w:r>
      <w:r w:rsidRPr="00F649FD">
        <w:t xml:space="preserve"> who emphasized the mediating power of perceived usefulness between external variables and </w:t>
      </w:r>
      <w:r w:rsidR="00101A7E" w:rsidRPr="00F649FD">
        <w:t>behavioural</w:t>
      </w:r>
      <w:r w:rsidRPr="00F649FD">
        <w:t xml:space="preserve"> intention. In the context of blockchain and IoT, </w:t>
      </w:r>
      <w:r w:rsidR="00101A7E">
        <w:t xml:space="preserve">Ming et al. (2021) and </w:t>
      </w:r>
      <w:proofErr w:type="spellStart"/>
      <w:r w:rsidR="00101A7E">
        <w:t>Prasetyo</w:t>
      </w:r>
      <w:proofErr w:type="spellEnd"/>
      <w:r w:rsidR="00101A7E">
        <w:t xml:space="preserve"> et al. (2025)</w:t>
      </w:r>
      <w:r w:rsidRPr="00F649FD">
        <w:t xml:space="preserve"> found that awareness and perceived ease of use only translate into actual acceptance when users believe the technology enhances their performance or decision-making. Likewise, </w:t>
      </w:r>
      <w:r w:rsidR="00101A7E">
        <w:t>Schnall et al. (2015)</w:t>
      </w:r>
      <w:r w:rsidRPr="00F649FD">
        <w:t xml:space="preserve"> </w:t>
      </w:r>
      <w:r w:rsidR="00685CD3" w:rsidRPr="00F649FD">
        <w:t xml:space="preserve">and </w:t>
      </w:r>
      <w:r w:rsidR="00685CD3">
        <w:t>Zhang</w:t>
      </w:r>
      <w:r w:rsidR="00101A7E">
        <w:t xml:space="preserve"> et al. (2019)</w:t>
      </w:r>
      <w:r w:rsidRPr="00F649FD">
        <w:t xml:space="preserve"> highlight that even security and trust factors exert a stronger influence when filtered through perceived usefulness. More specifically, </w:t>
      </w:r>
      <w:r w:rsidR="00101A7E">
        <w:t>Mou et al. (2017)</w:t>
      </w:r>
      <w:r w:rsidRPr="00F649FD">
        <w:t xml:space="preserve"> demonstrated in a blockchain-specific context that usefulness perceptions significantly mediate the relationship between trust, system features, and acceptance. </w:t>
      </w:r>
      <w:proofErr w:type="spellStart"/>
      <w:r w:rsidR="00101A7E">
        <w:t>Chinomona</w:t>
      </w:r>
      <w:proofErr w:type="spellEnd"/>
      <w:r w:rsidR="00101A7E">
        <w:t xml:space="preserve"> (2013)</w:t>
      </w:r>
      <w:r w:rsidRPr="00F649FD">
        <w:t xml:space="preserve"> observed similar patterns in IoT environments, where perceived usefulness acted as a bridge between technological features and user intention. The current study confirms these patterns: student awareness and ease of use did not directly influence acceptance but showed significant indirect effects through perceived usefulness, underscoring its central role in the adoption of blockchain-based authentication frameworks in IoT.</w:t>
      </w:r>
    </w:p>
    <w:p w14:paraId="6AC00922" w14:textId="77777777" w:rsidR="00F649FD" w:rsidRDefault="00F649FD" w:rsidP="00F649FD">
      <w:pPr>
        <w:pStyle w:val="Heading1"/>
      </w:pPr>
      <w:r>
        <w:t>5:</w:t>
      </w:r>
      <w:r>
        <w:tab/>
        <w:t>CONCLUSION</w:t>
      </w:r>
    </w:p>
    <w:p w14:paraId="642B5995" w14:textId="77777777" w:rsidR="00F649FD" w:rsidRDefault="0098726A" w:rsidP="00936FD4">
      <w:pPr>
        <w:jc w:val="both"/>
      </w:pPr>
      <w:r>
        <w:t xml:space="preserve">Increased awareness of blockchain technology significantly enhances users' perceived usefulness, trust, and acceptance of blockchain-based authentication in IoT applications, especially among digitally literate students. The current study empirically investigated the impact of student awareness, perceived ease of use, and perceived security benefits on acceptance of blockchain-based authentication frameworks in IoT in the presence perceived usefulness. The first research hypothesis (H1) is supported indirectly, as student awareness significantly influences the </w:t>
      </w:r>
      <w:r>
        <w:lastRenderedPageBreak/>
        <w:t>acceptance of blockchain-based authentication in IoT applications through the mediating role of perceived usefulness.</w:t>
      </w:r>
      <w:r w:rsidRPr="0098726A">
        <w:t xml:space="preserve"> </w:t>
      </w:r>
      <w:r>
        <w:t xml:space="preserve">This finding is supported by </w:t>
      </w:r>
      <w:r w:rsidR="00101A7E">
        <w:t>Shrestha et al. (2021) and Raddatz et al. (2023)</w:t>
      </w:r>
      <w:r>
        <w:t xml:space="preserve"> who highlighted that increased awareness of blockchain technology enhances perceived usefulness and trust, thereby fostering greater acceptance among users.</w:t>
      </w:r>
      <w:r w:rsidRPr="0098726A">
        <w:t xml:space="preserve"> </w:t>
      </w:r>
      <w:r>
        <w:t xml:space="preserve">The second hypothesis (H2) is supported only indirectly, as perceived ease of use has a significant positive effect on the acceptance of blockchain-based authentication in IoT applications through perceived usefulness, despite its negative direct effect. The findings match with the study of </w:t>
      </w:r>
      <w:proofErr w:type="spellStart"/>
      <w:r w:rsidR="00101A7E">
        <w:t>Chinomona</w:t>
      </w:r>
      <w:proofErr w:type="spellEnd"/>
      <w:r w:rsidR="00101A7E">
        <w:t xml:space="preserve"> (2013) and He et al. (2018)</w:t>
      </w:r>
      <w:r>
        <w:t xml:space="preserve"> who found that perceived ease of use enhances technology acceptance primarily through its influence on perceived usefulness. The third hypothesis (H3) is fully supported, as perceived security benefits have both a significant direct effect and a significant indirect effect—through perceived usefulness—on the acceptance of blockchain-based authentication frameworks in IoT applications.</w:t>
      </w:r>
      <w:r w:rsidRPr="0098726A">
        <w:t xml:space="preserve"> </w:t>
      </w:r>
      <w:r>
        <w:t>Lin et al. (2020) and Malaquias and Silva (2020), reported that perceived security significantly enhances both perceived usefulness and user acceptance of blockchain-based IoT systems. The fourth hypothesis (H4) is supported, as perceived usefulness significantly and positively influences the acceptance of blockchain-based authentication frameworks in IoT applications.</w:t>
      </w:r>
      <w:r w:rsidRPr="0098726A">
        <w:t xml:space="preserve"> </w:t>
      </w:r>
      <w:r>
        <w:t>Perceived usefulness has been consistently shown to positively influence users’ acceptance of emerging technologies, including blockchain-based systems in IoT, by enhancing the perceived benefits and ease of use (Alzahrani et al., 2020).</w:t>
      </w:r>
    </w:p>
    <w:p w14:paraId="6E18891C" w14:textId="77777777" w:rsidR="00517349" w:rsidRDefault="0098726A" w:rsidP="00936FD4">
      <w:pPr>
        <w:jc w:val="both"/>
      </w:pPr>
      <w:r>
        <w:t>Enhancing student awareness and education programs that highlight the practical benefits and usefulness of blockchain-based authentication can effectively increase its acceptance in IoT applications.</w:t>
      </w:r>
      <w:r w:rsidRPr="0098726A">
        <w:t xml:space="preserve"> </w:t>
      </w:r>
      <w:r>
        <w:t>Increasing user awareness and education about blockchain technology’s benefits has been shown to significantly improve technology acceptance and adoption in IoT contexts (</w:t>
      </w:r>
      <w:r w:rsidR="00101A7E">
        <w:t>Schuetz and Venkatesh, 2020</w:t>
      </w:r>
      <w:r>
        <w:t xml:space="preserve">). Policies that improve the ease of use of blockchain-based authentication should emphasize its contribution to perceived usefulness to effectively enhance user acceptance in IoT applications. Because, Davis (1989) emphasize the role of perceived ease of use in enhancing perceived usefulness in key for technology adoption as ease of use indirectly influences acceptance by shaping user’s perceptions of usefulness. </w:t>
      </w:r>
      <w:r w:rsidR="00517349">
        <w:t>The current study’s findings highlight the practical benefits and effectiveness of blockchain-based authentication significantly increase user acceptance in IoT applications. Thus, policies that promote awareness of the tangible benefits and efficiency of blockchain-based authentication frameworks can accelerate their adoption.</w:t>
      </w:r>
      <w:r w:rsidR="00517349" w:rsidRPr="00517349">
        <w:t xml:space="preserve"> </w:t>
      </w:r>
      <w:r w:rsidR="00517349">
        <w:t xml:space="preserve">This study is limited by its reliance on self-reported survey data, which may introduce response biases and limit the generalizability of the findings with cross sectional nature restricts the ability to establish causal relationships between the variables. Summing up, the current study concludes that enhancing student awareness and emphasizing the perceived usefulness and ease of use are essential for increasing acceptance of blockchain-based authentication frameworks in IoT applications. </w:t>
      </w:r>
    </w:p>
    <w:p w14:paraId="3E50EB29" w14:textId="77777777" w:rsidR="00517349" w:rsidRDefault="00517349" w:rsidP="00936FD4">
      <w:pPr>
        <w:jc w:val="both"/>
      </w:pPr>
    </w:p>
    <w:p w14:paraId="415A64A1" w14:textId="77777777" w:rsidR="00517349" w:rsidRDefault="00101A7E" w:rsidP="00101A7E">
      <w:pPr>
        <w:pStyle w:val="Heading1"/>
      </w:pPr>
      <w:r>
        <w:t>References</w:t>
      </w:r>
    </w:p>
    <w:p w14:paraId="43D33B12" w14:textId="77777777" w:rsidR="00101A7E" w:rsidRPr="00101A7E" w:rsidRDefault="00101A7E" w:rsidP="00101A7E">
      <w:pPr>
        <w:jc w:val="both"/>
      </w:pPr>
      <w:r w:rsidRPr="00101A7E">
        <w:t>Abbas, S., Talib, M. A., Ahmed, A., Khan, F., Ahmad, S., &amp; Kim, D. H. (2021). Blockchain-based authentication in internet of vehicles: A survey. </w:t>
      </w:r>
      <w:r w:rsidRPr="00101A7E">
        <w:rPr>
          <w:i/>
          <w:iCs/>
        </w:rPr>
        <w:t>Sensors</w:t>
      </w:r>
      <w:r w:rsidRPr="00101A7E">
        <w:t>, </w:t>
      </w:r>
      <w:r w:rsidRPr="00101A7E">
        <w:rPr>
          <w:i/>
          <w:iCs/>
        </w:rPr>
        <w:t>21</w:t>
      </w:r>
      <w:r w:rsidRPr="00101A7E">
        <w:t>(23), 7927.</w:t>
      </w:r>
    </w:p>
    <w:p w14:paraId="198DFF6D" w14:textId="77777777" w:rsidR="00101A7E" w:rsidRPr="00101A7E" w:rsidRDefault="00101A7E" w:rsidP="00101A7E">
      <w:pPr>
        <w:jc w:val="both"/>
      </w:pPr>
      <w:r w:rsidRPr="00101A7E">
        <w:lastRenderedPageBreak/>
        <w:t>Ahmed, I., Zhang, Y., Jeon, G., Lin, W., Khosravi, M. R., &amp; Qi, L. (2022). A blockchain‐and artificial intelligence‐enabled smart IoT framework for sustainable city. </w:t>
      </w:r>
      <w:r w:rsidRPr="00101A7E">
        <w:rPr>
          <w:i/>
          <w:iCs/>
        </w:rPr>
        <w:t>International Journal of Intelligent Systems</w:t>
      </w:r>
      <w:r w:rsidRPr="00101A7E">
        <w:t>, </w:t>
      </w:r>
      <w:r w:rsidRPr="00101A7E">
        <w:rPr>
          <w:i/>
          <w:iCs/>
        </w:rPr>
        <w:t>37</w:t>
      </w:r>
      <w:r w:rsidRPr="00101A7E">
        <w:t>(9), 6493-6507.</w:t>
      </w:r>
    </w:p>
    <w:p w14:paraId="778CC2EC" w14:textId="77777777" w:rsidR="00101A7E" w:rsidRPr="00101A7E" w:rsidRDefault="00101A7E" w:rsidP="00101A7E">
      <w:pPr>
        <w:jc w:val="both"/>
      </w:pPr>
      <w:r w:rsidRPr="00101A7E">
        <w:t>Alshahrani, M., Beloff, N., &amp; White, M. (2016). Towards a blockchain-based smart certification system for higher education: an empirical study. </w:t>
      </w:r>
      <w:r w:rsidRPr="00101A7E">
        <w:rPr>
          <w:i/>
          <w:iCs/>
        </w:rPr>
        <w:t>Int. J. Com. Dig. Sys</w:t>
      </w:r>
      <w:r w:rsidRPr="00101A7E">
        <w:t>, </w:t>
      </w:r>
      <w:r w:rsidRPr="00101A7E">
        <w:rPr>
          <w:i/>
          <w:iCs/>
        </w:rPr>
        <w:t>5</w:t>
      </w:r>
      <w:r w:rsidRPr="00101A7E">
        <w:t>(3).</w:t>
      </w:r>
    </w:p>
    <w:p w14:paraId="6E1EDF21" w14:textId="77777777" w:rsidR="00101A7E" w:rsidRPr="00101A7E" w:rsidRDefault="00101A7E" w:rsidP="00101A7E">
      <w:pPr>
        <w:jc w:val="both"/>
      </w:pPr>
      <w:r w:rsidRPr="00101A7E">
        <w:t>Alshammari, S. H., &amp; Babu, E. (2025). The mediating role of satisfaction in the relationship between perceived usefulness, perceived ease of use and students’ behavioural intention to use ChatGPT. </w:t>
      </w:r>
      <w:r w:rsidRPr="00101A7E">
        <w:rPr>
          <w:i/>
          <w:iCs/>
        </w:rPr>
        <w:t>Scientific Reports</w:t>
      </w:r>
      <w:r w:rsidRPr="00101A7E">
        <w:t>, </w:t>
      </w:r>
      <w:r w:rsidRPr="00101A7E">
        <w:rPr>
          <w:i/>
          <w:iCs/>
        </w:rPr>
        <w:t>15</w:t>
      </w:r>
      <w:r w:rsidRPr="00101A7E">
        <w:t>(1), 7169.</w:t>
      </w:r>
    </w:p>
    <w:p w14:paraId="3162D785" w14:textId="77777777" w:rsidR="00101A7E" w:rsidRPr="00101A7E" w:rsidRDefault="00101A7E" w:rsidP="00101A7E">
      <w:pPr>
        <w:jc w:val="both"/>
      </w:pPr>
      <w:r w:rsidRPr="00101A7E">
        <w:t>Anwar, M. (2015). What does it mean to be ethical in research? What should it mean. </w:t>
      </w:r>
      <w:proofErr w:type="spellStart"/>
      <w:r w:rsidRPr="00101A7E">
        <w:rPr>
          <w:i/>
          <w:iCs/>
        </w:rPr>
        <w:t>Jurnal</w:t>
      </w:r>
      <w:proofErr w:type="spellEnd"/>
      <w:r w:rsidRPr="00101A7E">
        <w:rPr>
          <w:i/>
          <w:iCs/>
        </w:rPr>
        <w:t xml:space="preserve"> </w:t>
      </w:r>
      <w:proofErr w:type="spellStart"/>
      <w:r w:rsidRPr="00101A7E">
        <w:rPr>
          <w:i/>
          <w:iCs/>
        </w:rPr>
        <w:t>Bisnis</w:t>
      </w:r>
      <w:proofErr w:type="spellEnd"/>
      <w:r w:rsidRPr="00101A7E">
        <w:rPr>
          <w:i/>
          <w:iCs/>
        </w:rPr>
        <w:t xml:space="preserve"> &amp; </w:t>
      </w:r>
      <w:proofErr w:type="spellStart"/>
      <w:r w:rsidRPr="00101A7E">
        <w:rPr>
          <w:i/>
          <w:iCs/>
        </w:rPr>
        <w:t>Manajemen</w:t>
      </w:r>
      <w:proofErr w:type="spellEnd"/>
      <w:r w:rsidRPr="00101A7E">
        <w:t>, </w:t>
      </w:r>
      <w:r w:rsidRPr="00101A7E">
        <w:rPr>
          <w:i/>
          <w:iCs/>
        </w:rPr>
        <w:t>16</w:t>
      </w:r>
      <w:r w:rsidRPr="00101A7E">
        <w:t>(1), 22-28.</w:t>
      </w:r>
    </w:p>
    <w:p w14:paraId="37F2DDC3" w14:textId="77777777" w:rsidR="00101A7E" w:rsidRPr="00101A7E" w:rsidRDefault="00101A7E" w:rsidP="00101A7E">
      <w:pPr>
        <w:jc w:val="both"/>
      </w:pPr>
      <w:r w:rsidRPr="00101A7E">
        <w:t xml:space="preserve">Awale, A. A., &amp; </w:t>
      </w:r>
      <w:proofErr w:type="spellStart"/>
      <w:r w:rsidRPr="00101A7E">
        <w:t>Kulmie</w:t>
      </w:r>
      <w:proofErr w:type="spellEnd"/>
      <w:r w:rsidRPr="00101A7E">
        <w:t>, D. A. (2024). Assessing Fintech Awareness and Knowledge Among Students at Selected Universities in Somalia. </w:t>
      </w:r>
      <w:r w:rsidRPr="00101A7E">
        <w:rPr>
          <w:i/>
          <w:iCs/>
        </w:rPr>
        <w:t>International Journal of Economics and Financial Issues</w:t>
      </w:r>
      <w:r w:rsidRPr="00101A7E">
        <w:t>, </w:t>
      </w:r>
      <w:r w:rsidRPr="00101A7E">
        <w:rPr>
          <w:i/>
          <w:iCs/>
        </w:rPr>
        <w:t>14</w:t>
      </w:r>
      <w:r w:rsidRPr="00101A7E">
        <w:t>(6), 88-96.</w:t>
      </w:r>
    </w:p>
    <w:p w14:paraId="7B325083" w14:textId="77777777" w:rsidR="00101A7E" w:rsidRPr="00101A7E" w:rsidRDefault="00101A7E" w:rsidP="00101A7E">
      <w:pPr>
        <w:jc w:val="both"/>
      </w:pPr>
      <w:r w:rsidRPr="00101A7E">
        <w:t>Bennet, D., Maria, L., Sanjaya, Y. P. A., &amp; Zahra, A. R. A. (2024). Blockchain technology: Revolutionizing transactions in the digital age. </w:t>
      </w:r>
      <w:r w:rsidRPr="00101A7E">
        <w:rPr>
          <w:i/>
          <w:iCs/>
        </w:rPr>
        <w:t>ADI Journal on Recent Innovation</w:t>
      </w:r>
      <w:r w:rsidRPr="00101A7E">
        <w:t>, </w:t>
      </w:r>
      <w:r w:rsidRPr="00101A7E">
        <w:rPr>
          <w:i/>
          <w:iCs/>
        </w:rPr>
        <w:t>5</w:t>
      </w:r>
      <w:r w:rsidRPr="00101A7E">
        <w:t>(2), 192-199.</w:t>
      </w:r>
    </w:p>
    <w:p w14:paraId="5447A727" w14:textId="77777777" w:rsidR="00101A7E" w:rsidRPr="00101A7E" w:rsidRDefault="00101A7E" w:rsidP="00101A7E">
      <w:pPr>
        <w:jc w:val="both"/>
      </w:pPr>
      <w:r w:rsidRPr="00101A7E">
        <w:t>Brennen, J. S., &amp; Kreiss, D. (2016). Digitalization. </w:t>
      </w:r>
      <w:r w:rsidRPr="00101A7E">
        <w:rPr>
          <w:i/>
          <w:iCs/>
        </w:rPr>
        <w:t xml:space="preserve">The international </w:t>
      </w:r>
      <w:proofErr w:type="spellStart"/>
      <w:r w:rsidRPr="00101A7E">
        <w:rPr>
          <w:i/>
          <w:iCs/>
        </w:rPr>
        <w:t>encyclopedia</w:t>
      </w:r>
      <w:proofErr w:type="spellEnd"/>
      <w:r w:rsidRPr="00101A7E">
        <w:rPr>
          <w:i/>
          <w:iCs/>
        </w:rPr>
        <w:t xml:space="preserve"> of communication theory and philosophy</w:t>
      </w:r>
      <w:r w:rsidRPr="00101A7E">
        <w:t>, 1-11.</w:t>
      </w:r>
    </w:p>
    <w:p w14:paraId="5BE45CDB" w14:textId="77777777" w:rsidR="00101A7E" w:rsidRPr="00101A7E" w:rsidRDefault="00101A7E" w:rsidP="00101A7E">
      <w:pPr>
        <w:jc w:val="both"/>
      </w:pPr>
      <w:proofErr w:type="spellStart"/>
      <w:r w:rsidRPr="00101A7E">
        <w:t>Bucea</w:t>
      </w:r>
      <w:proofErr w:type="spellEnd"/>
      <w:r w:rsidRPr="00101A7E">
        <w:t>-Manea-</w:t>
      </w:r>
      <w:proofErr w:type="spellStart"/>
      <w:r w:rsidRPr="00101A7E">
        <w:t>Țoniş</w:t>
      </w:r>
      <w:proofErr w:type="spellEnd"/>
      <w:r w:rsidRPr="00101A7E">
        <w:t xml:space="preserve">, R., Martins, O. M., </w:t>
      </w:r>
      <w:proofErr w:type="spellStart"/>
      <w:r w:rsidRPr="00101A7E">
        <w:t>Bucea</w:t>
      </w:r>
      <w:proofErr w:type="spellEnd"/>
      <w:r w:rsidRPr="00101A7E">
        <w:t>-Manea-</w:t>
      </w:r>
      <w:proofErr w:type="spellStart"/>
      <w:r w:rsidRPr="00101A7E">
        <w:t>Țoniş</w:t>
      </w:r>
      <w:proofErr w:type="spellEnd"/>
      <w:r w:rsidRPr="00101A7E">
        <w:t xml:space="preserve">, R., </w:t>
      </w:r>
      <w:proofErr w:type="spellStart"/>
      <w:r w:rsidRPr="00101A7E">
        <w:t>Gheorghiță</w:t>
      </w:r>
      <w:proofErr w:type="spellEnd"/>
      <w:r w:rsidRPr="00101A7E">
        <w:t xml:space="preserve">, C., </w:t>
      </w:r>
      <w:proofErr w:type="spellStart"/>
      <w:r w:rsidRPr="00101A7E">
        <w:t>Kuleto</w:t>
      </w:r>
      <w:proofErr w:type="spellEnd"/>
      <w:r w:rsidRPr="00101A7E">
        <w:t>, V., Ilić, M. P., &amp; Simion, V. E. (2021). Blockchain technology enhances sustainable higher education. </w:t>
      </w:r>
      <w:r w:rsidRPr="00101A7E">
        <w:rPr>
          <w:i/>
          <w:iCs/>
        </w:rPr>
        <w:t>Sustainability</w:t>
      </w:r>
      <w:r w:rsidRPr="00101A7E">
        <w:t>, </w:t>
      </w:r>
      <w:r w:rsidRPr="00101A7E">
        <w:rPr>
          <w:i/>
          <w:iCs/>
        </w:rPr>
        <w:t>13</w:t>
      </w:r>
      <w:r w:rsidRPr="00101A7E">
        <w:t>(22), 12347.</w:t>
      </w:r>
    </w:p>
    <w:p w14:paraId="62CB27A8" w14:textId="77777777" w:rsidR="00101A7E" w:rsidRPr="00101A7E" w:rsidRDefault="00101A7E" w:rsidP="00101A7E">
      <w:pPr>
        <w:jc w:val="both"/>
      </w:pPr>
      <w:proofErr w:type="spellStart"/>
      <w:r w:rsidRPr="00101A7E">
        <w:t>Chengyue</w:t>
      </w:r>
      <w:proofErr w:type="spellEnd"/>
      <w:r w:rsidRPr="00101A7E">
        <w:t xml:space="preserve">, Y., Prabhu, M., Goli, M., &amp; Sahu, A. K. (2021). Factors affecting the adoption of blockchain technology in the complex industrial systems: data </w:t>
      </w:r>
      <w:proofErr w:type="spellStart"/>
      <w:r w:rsidRPr="00101A7E">
        <w:t>modeling</w:t>
      </w:r>
      <w:proofErr w:type="spellEnd"/>
      <w:r w:rsidRPr="00101A7E">
        <w:t>. </w:t>
      </w:r>
      <w:r w:rsidRPr="00101A7E">
        <w:rPr>
          <w:i/>
          <w:iCs/>
        </w:rPr>
        <w:t>Complexity</w:t>
      </w:r>
      <w:r w:rsidRPr="00101A7E">
        <w:t>, </w:t>
      </w:r>
      <w:r w:rsidRPr="00101A7E">
        <w:rPr>
          <w:i/>
          <w:iCs/>
        </w:rPr>
        <w:t>2021</w:t>
      </w:r>
      <w:r w:rsidRPr="00101A7E">
        <w:t>(1), 8329487.</w:t>
      </w:r>
    </w:p>
    <w:p w14:paraId="26BD39AA" w14:textId="77777777" w:rsidR="00101A7E" w:rsidRPr="00101A7E" w:rsidRDefault="00101A7E" w:rsidP="00101A7E">
      <w:pPr>
        <w:jc w:val="both"/>
      </w:pPr>
      <w:proofErr w:type="spellStart"/>
      <w:r w:rsidRPr="00101A7E">
        <w:t>Chinomona</w:t>
      </w:r>
      <w:proofErr w:type="spellEnd"/>
      <w:r w:rsidRPr="00101A7E">
        <w:t>, R. (2013). The influence of perceived ease of use and perceived usefulness on trust and intention to use mobile social software: technology and innovation. </w:t>
      </w:r>
      <w:r w:rsidRPr="00101A7E">
        <w:rPr>
          <w:i/>
          <w:iCs/>
        </w:rPr>
        <w:t>African Journal for Physical Health Education, Recreation and Dance</w:t>
      </w:r>
      <w:r w:rsidRPr="00101A7E">
        <w:t>, </w:t>
      </w:r>
      <w:r w:rsidRPr="00101A7E">
        <w:rPr>
          <w:i/>
          <w:iCs/>
        </w:rPr>
        <w:t>19</w:t>
      </w:r>
      <w:r w:rsidRPr="00101A7E">
        <w:t>(2), 258-273.</w:t>
      </w:r>
    </w:p>
    <w:p w14:paraId="4459FC3C" w14:textId="77777777" w:rsidR="00101A7E" w:rsidRPr="00101A7E" w:rsidRDefault="00101A7E" w:rsidP="00101A7E">
      <w:pPr>
        <w:jc w:val="both"/>
      </w:pPr>
      <w:r w:rsidRPr="00101A7E">
        <w:t xml:space="preserve">Conte de Leon, D., </w:t>
      </w:r>
      <w:proofErr w:type="spellStart"/>
      <w:r w:rsidRPr="00101A7E">
        <w:t>Stalick</w:t>
      </w:r>
      <w:proofErr w:type="spellEnd"/>
      <w:r w:rsidRPr="00101A7E">
        <w:t>, A. Q., Jillepalli, A. A., Haney, M. A., &amp; Sheldon, F. T. (2017). Blockchain: properties and misconceptions. </w:t>
      </w:r>
      <w:r w:rsidRPr="00101A7E">
        <w:rPr>
          <w:i/>
          <w:iCs/>
        </w:rPr>
        <w:t>Asia Pacific Journal of Innovation and Entrepreneurship</w:t>
      </w:r>
      <w:r w:rsidRPr="00101A7E">
        <w:t>, </w:t>
      </w:r>
      <w:r w:rsidRPr="00101A7E">
        <w:rPr>
          <w:i/>
          <w:iCs/>
        </w:rPr>
        <w:t>11</w:t>
      </w:r>
      <w:r w:rsidRPr="00101A7E">
        <w:t>(3), 286-300.</w:t>
      </w:r>
    </w:p>
    <w:p w14:paraId="4B2E5C98" w14:textId="77777777" w:rsidR="00101A7E" w:rsidRPr="00101A7E" w:rsidRDefault="00101A7E" w:rsidP="00101A7E">
      <w:pPr>
        <w:jc w:val="both"/>
      </w:pPr>
      <w:r w:rsidRPr="00101A7E">
        <w:t>Davis, F. D. (1989). Perceived usefulness, perceived ease of use, and user acceptance of information technology. </w:t>
      </w:r>
      <w:r w:rsidRPr="00101A7E">
        <w:rPr>
          <w:i/>
          <w:iCs/>
        </w:rPr>
        <w:t>MIS quarterly</w:t>
      </w:r>
      <w:r w:rsidRPr="00101A7E">
        <w:t>, 319-340.</w:t>
      </w:r>
    </w:p>
    <w:p w14:paraId="4CA3020B" w14:textId="77777777" w:rsidR="00101A7E" w:rsidRPr="00101A7E" w:rsidRDefault="00101A7E" w:rsidP="00101A7E">
      <w:pPr>
        <w:jc w:val="both"/>
      </w:pPr>
      <w:r w:rsidRPr="00101A7E">
        <w:t>Dong, X., Chang, Y., Wang, Y., &amp; Yan, J. (2017). Understanding usage of Internet of Things (IOT) systems in China: Cognitive experience and affect experience as moderator. </w:t>
      </w:r>
      <w:r w:rsidRPr="00101A7E">
        <w:rPr>
          <w:i/>
          <w:iCs/>
        </w:rPr>
        <w:t>Information Technology &amp; People</w:t>
      </w:r>
      <w:r w:rsidRPr="00101A7E">
        <w:t>, </w:t>
      </w:r>
      <w:r w:rsidRPr="00101A7E">
        <w:rPr>
          <w:i/>
          <w:iCs/>
        </w:rPr>
        <w:t>30</w:t>
      </w:r>
      <w:r w:rsidRPr="00101A7E">
        <w:t>(1), 117-138.</w:t>
      </w:r>
    </w:p>
    <w:p w14:paraId="24923D22" w14:textId="77777777" w:rsidR="00101A7E" w:rsidRPr="00101A7E" w:rsidRDefault="00101A7E" w:rsidP="00101A7E">
      <w:pPr>
        <w:jc w:val="both"/>
      </w:pPr>
      <w:r w:rsidRPr="00101A7E">
        <w:t>Dudek, D. (2023). Blockchain in OER: students' perspectives on the use of blockchain technology for credential authentication. </w:t>
      </w:r>
      <w:r w:rsidRPr="00101A7E">
        <w:rPr>
          <w:i/>
          <w:iCs/>
        </w:rPr>
        <w:t>Procedia Computer Science</w:t>
      </w:r>
      <w:r w:rsidRPr="00101A7E">
        <w:t>, </w:t>
      </w:r>
      <w:r w:rsidRPr="00101A7E">
        <w:rPr>
          <w:i/>
          <w:iCs/>
        </w:rPr>
        <w:t>225</w:t>
      </w:r>
      <w:r w:rsidRPr="00101A7E">
        <w:t>, 4648-4656.</w:t>
      </w:r>
    </w:p>
    <w:p w14:paraId="194012BA" w14:textId="77777777" w:rsidR="00101A7E" w:rsidRPr="00101A7E" w:rsidRDefault="00101A7E" w:rsidP="00101A7E">
      <w:pPr>
        <w:jc w:val="both"/>
      </w:pPr>
      <w:r w:rsidRPr="00101A7E">
        <w:lastRenderedPageBreak/>
        <w:t xml:space="preserve">Elango, D., &amp; </w:t>
      </w:r>
      <w:proofErr w:type="spellStart"/>
      <w:r w:rsidRPr="00101A7E">
        <w:t>Kulcharatyothin</w:t>
      </w:r>
      <w:proofErr w:type="spellEnd"/>
      <w:r w:rsidRPr="00101A7E">
        <w:t>, C. (2018). A Study on Perception of Perceived Ease of Use Towards Perceived Usefulness on SMART Education. </w:t>
      </w:r>
      <w:r w:rsidRPr="00101A7E">
        <w:rPr>
          <w:i/>
          <w:iCs/>
        </w:rPr>
        <w:t>Available at SSRN 3284358</w:t>
      </w:r>
      <w:r w:rsidRPr="00101A7E">
        <w:t>.</w:t>
      </w:r>
    </w:p>
    <w:p w14:paraId="4A1B2716" w14:textId="77777777" w:rsidR="00101A7E" w:rsidRPr="00101A7E" w:rsidRDefault="00101A7E" w:rsidP="00101A7E">
      <w:pPr>
        <w:jc w:val="both"/>
      </w:pPr>
      <w:r w:rsidRPr="00101A7E">
        <w:t>Esposito, C., Ficco, M., &amp; Gupta, B. B. (2021). Blockchain-based authentication and authorization for smart city applications. </w:t>
      </w:r>
      <w:r w:rsidRPr="00101A7E">
        <w:rPr>
          <w:i/>
          <w:iCs/>
        </w:rPr>
        <w:t>Information Processing &amp; Management</w:t>
      </w:r>
      <w:r w:rsidRPr="00101A7E">
        <w:t>, </w:t>
      </w:r>
      <w:r w:rsidRPr="00101A7E">
        <w:rPr>
          <w:i/>
          <w:iCs/>
        </w:rPr>
        <w:t>58</w:t>
      </w:r>
      <w:r w:rsidRPr="00101A7E">
        <w:t>(2), 102468.</w:t>
      </w:r>
    </w:p>
    <w:p w14:paraId="0EB755B4" w14:textId="77777777" w:rsidR="00101A7E" w:rsidRPr="00101A7E" w:rsidRDefault="00101A7E" w:rsidP="00101A7E">
      <w:pPr>
        <w:jc w:val="both"/>
      </w:pPr>
      <w:r w:rsidRPr="00101A7E">
        <w:t xml:space="preserve">Ghahremani-Nahr, J., </w:t>
      </w:r>
      <w:proofErr w:type="spellStart"/>
      <w:r w:rsidRPr="00101A7E">
        <w:t>Aliahmadi</w:t>
      </w:r>
      <w:proofErr w:type="spellEnd"/>
      <w:r w:rsidRPr="00101A7E">
        <w:t xml:space="preserve">, A., &amp; </w:t>
      </w:r>
      <w:proofErr w:type="spellStart"/>
      <w:r w:rsidRPr="00101A7E">
        <w:t>Nozari</w:t>
      </w:r>
      <w:proofErr w:type="spellEnd"/>
      <w:r w:rsidRPr="00101A7E">
        <w:t>, H. (2022). An IoT-based sustainable supply chain framework and blockchain. </w:t>
      </w:r>
      <w:r w:rsidRPr="00101A7E">
        <w:rPr>
          <w:i/>
          <w:iCs/>
        </w:rPr>
        <w:t>International Journal of Innovation in Engineering</w:t>
      </w:r>
      <w:r w:rsidRPr="00101A7E">
        <w:t>, </w:t>
      </w:r>
      <w:r w:rsidRPr="00101A7E">
        <w:rPr>
          <w:i/>
          <w:iCs/>
        </w:rPr>
        <w:t>2</w:t>
      </w:r>
      <w:r w:rsidRPr="00101A7E">
        <w:t>(1), 12-21.</w:t>
      </w:r>
    </w:p>
    <w:p w14:paraId="2A5FA4A5" w14:textId="77777777" w:rsidR="00101A7E" w:rsidRPr="00101A7E" w:rsidRDefault="00101A7E" w:rsidP="00101A7E">
      <w:pPr>
        <w:jc w:val="both"/>
      </w:pPr>
      <w:r w:rsidRPr="00101A7E">
        <w:t>Grover, P., Kar, A. K., Janssen, M., &amp; Ilavarasan, P. V. (2019). Perceived usefulness, ease of use and user acceptance of blockchain technology for digital transactions–insights from user-generated content on Twitter. </w:t>
      </w:r>
      <w:r w:rsidRPr="00101A7E">
        <w:rPr>
          <w:i/>
          <w:iCs/>
        </w:rPr>
        <w:t>Enterprise Information Systems</w:t>
      </w:r>
      <w:r w:rsidRPr="00101A7E">
        <w:t>, </w:t>
      </w:r>
      <w:r w:rsidRPr="00101A7E">
        <w:rPr>
          <w:i/>
          <w:iCs/>
        </w:rPr>
        <w:t>13</w:t>
      </w:r>
      <w:r w:rsidRPr="00101A7E">
        <w:t>(6), 771-800.</w:t>
      </w:r>
    </w:p>
    <w:p w14:paraId="323C2802" w14:textId="77777777" w:rsidR="00101A7E" w:rsidRPr="00101A7E" w:rsidRDefault="00101A7E" w:rsidP="00101A7E">
      <w:pPr>
        <w:jc w:val="both"/>
      </w:pPr>
      <w:r w:rsidRPr="00101A7E">
        <w:t xml:space="preserve">Hammi, M. T., Hammi, B., Bellot, P., &amp; </w:t>
      </w:r>
      <w:proofErr w:type="spellStart"/>
      <w:r w:rsidRPr="00101A7E">
        <w:t>Serhrouchni</w:t>
      </w:r>
      <w:proofErr w:type="spellEnd"/>
      <w:r w:rsidRPr="00101A7E">
        <w:t>, A. (2018). Bubbles of Trust: A decentralized blockchain-based authentication system for IoT. </w:t>
      </w:r>
      <w:r w:rsidRPr="00101A7E">
        <w:rPr>
          <w:i/>
          <w:iCs/>
        </w:rPr>
        <w:t>Computers &amp; Security</w:t>
      </w:r>
      <w:r w:rsidRPr="00101A7E">
        <w:t>, </w:t>
      </w:r>
      <w:r w:rsidRPr="00101A7E">
        <w:rPr>
          <w:i/>
          <w:iCs/>
        </w:rPr>
        <w:t>78</w:t>
      </w:r>
      <w:r w:rsidRPr="00101A7E">
        <w:t>, 126-142.</w:t>
      </w:r>
    </w:p>
    <w:p w14:paraId="48D794F1" w14:textId="77777777" w:rsidR="00101A7E" w:rsidRPr="00101A7E" w:rsidRDefault="00101A7E" w:rsidP="00101A7E">
      <w:pPr>
        <w:jc w:val="both"/>
      </w:pPr>
      <w:r w:rsidRPr="00101A7E">
        <w:t xml:space="preserve">He, Y., Chen, Q., &amp; </w:t>
      </w:r>
      <w:proofErr w:type="spellStart"/>
      <w:r w:rsidRPr="00101A7E">
        <w:t>Kitkuakul</w:t>
      </w:r>
      <w:proofErr w:type="spellEnd"/>
      <w:r w:rsidRPr="00101A7E">
        <w:t>, S. (2018). Regulatory focus and technology acceptance: Perceived ease of use and usefulness as efficacy. </w:t>
      </w:r>
      <w:r w:rsidRPr="00101A7E">
        <w:rPr>
          <w:i/>
          <w:iCs/>
        </w:rPr>
        <w:t>Cogent Business &amp; Management</w:t>
      </w:r>
      <w:r w:rsidRPr="00101A7E">
        <w:t>, </w:t>
      </w:r>
      <w:r w:rsidRPr="00101A7E">
        <w:rPr>
          <w:i/>
          <w:iCs/>
        </w:rPr>
        <w:t>5</w:t>
      </w:r>
      <w:r w:rsidRPr="00101A7E">
        <w:t>(1), 1459006.</w:t>
      </w:r>
    </w:p>
    <w:p w14:paraId="1179AE95" w14:textId="77777777" w:rsidR="00101A7E" w:rsidRPr="00101A7E" w:rsidRDefault="00101A7E" w:rsidP="00101A7E">
      <w:pPr>
        <w:jc w:val="both"/>
      </w:pPr>
      <w:r w:rsidRPr="00101A7E">
        <w:t>Helmi, R. A. A., &amp; Ren, C. S. (2022). Securing Digital Payment by using Blockchain Technology. In </w:t>
      </w:r>
      <w:r w:rsidRPr="00101A7E">
        <w:rPr>
          <w:i/>
          <w:iCs/>
        </w:rPr>
        <w:t>2022 IEEE 10th Conference on Systems, Process &amp; Control (ICSPC)</w:t>
      </w:r>
      <w:r w:rsidRPr="00101A7E">
        <w:t>, pp. 180-185.</w:t>
      </w:r>
    </w:p>
    <w:p w14:paraId="042B331E" w14:textId="77777777" w:rsidR="00101A7E" w:rsidRPr="00101A7E" w:rsidRDefault="00101A7E" w:rsidP="00101A7E">
      <w:pPr>
        <w:jc w:val="both"/>
      </w:pPr>
      <w:r w:rsidRPr="00101A7E">
        <w:t xml:space="preserve">Idrees, M., Khan, S., </w:t>
      </w:r>
      <w:proofErr w:type="spellStart"/>
      <w:r w:rsidRPr="00101A7E">
        <w:t>Furquan</w:t>
      </w:r>
      <w:proofErr w:type="spellEnd"/>
      <w:r w:rsidRPr="00101A7E">
        <w:t>, M., &amp; Zafar, M. (2024). the awareness, acceptance and adoption of cryptocurrency with the moderating effect of trust: A perspective of TAM. </w:t>
      </w:r>
      <w:r w:rsidRPr="00101A7E">
        <w:rPr>
          <w:i/>
          <w:iCs/>
        </w:rPr>
        <w:t>Migration Letters</w:t>
      </w:r>
      <w:r w:rsidRPr="00101A7E">
        <w:t>, </w:t>
      </w:r>
      <w:r w:rsidRPr="00101A7E">
        <w:rPr>
          <w:i/>
          <w:iCs/>
        </w:rPr>
        <w:t>21</w:t>
      </w:r>
      <w:r w:rsidRPr="00101A7E">
        <w:t>(S8), 600-617.</w:t>
      </w:r>
    </w:p>
    <w:p w14:paraId="0854C717" w14:textId="77777777" w:rsidR="00101A7E" w:rsidRPr="00101A7E" w:rsidRDefault="00101A7E" w:rsidP="00101A7E">
      <w:pPr>
        <w:jc w:val="both"/>
      </w:pPr>
      <w:r w:rsidRPr="00101A7E">
        <w:t>Jha, A. K., Kumar, S., &amp; Jain, A. (2025). Don’t overdo it with blockchain–understanding the impact of blockchain on users’ security perception. </w:t>
      </w:r>
      <w:r w:rsidRPr="00101A7E">
        <w:rPr>
          <w:i/>
          <w:iCs/>
        </w:rPr>
        <w:t>Marketing Intelligence &amp; Planning</w:t>
      </w:r>
      <w:r w:rsidRPr="00101A7E">
        <w:t>, </w:t>
      </w:r>
      <w:r w:rsidRPr="00101A7E">
        <w:rPr>
          <w:i/>
          <w:iCs/>
        </w:rPr>
        <w:t>43</w:t>
      </w:r>
      <w:r w:rsidRPr="00101A7E">
        <w:t>(4), 777-801.</w:t>
      </w:r>
    </w:p>
    <w:p w14:paraId="376671E2" w14:textId="77777777" w:rsidR="00101A7E" w:rsidRPr="00101A7E" w:rsidRDefault="00101A7E" w:rsidP="00101A7E">
      <w:pPr>
        <w:jc w:val="both"/>
      </w:pPr>
      <w:r w:rsidRPr="00101A7E">
        <w:t xml:space="preserve">Junejo, I., Buriro, T. Z., Ramish, M. S., &amp; Salahuddin, S. (2024). Impact of Perceived Ease of Use and Perceived Usefulness on </w:t>
      </w:r>
      <w:proofErr w:type="spellStart"/>
      <w:r w:rsidRPr="00101A7E">
        <w:t>Behavioral</w:t>
      </w:r>
      <w:proofErr w:type="spellEnd"/>
      <w:r w:rsidRPr="00101A7E">
        <w:t xml:space="preserve"> Intention to Use Blockchain in Food Supply Firms: The Mediating Role of Employee Attitude. </w:t>
      </w:r>
      <w:r w:rsidRPr="00101A7E">
        <w:rPr>
          <w:i/>
          <w:iCs/>
        </w:rPr>
        <w:t>Bulletin of Business and Economics (BBE)</w:t>
      </w:r>
      <w:r w:rsidRPr="00101A7E">
        <w:t>, </w:t>
      </w:r>
      <w:r w:rsidRPr="00101A7E">
        <w:rPr>
          <w:i/>
          <w:iCs/>
        </w:rPr>
        <w:t>13</w:t>
      </w:r>
      <w:r w:rsidRPr="00101A7E">
        <w:t>(2), 174-180.</w:t>
      </w:r>
    </w:p>
    <w:p w14:paraId="702BAB3D" w14:textId="77777777" w:rsidR="00101A7E" w:rsidRPr="00101A7E" w:rsidRDefault="00101A7E" w:rsidP="00101A7E">
      <w:pPr>
        <w:jc w:val="both"/>
      </w:pPr>
      <w:r w:rsidRPr="00101A7E">
        <w:t>Jung, J., Chan-Olmsted, S., Park, B., &amp; Kim, Y. (2012). Factors affecting e-book reader awareness, interest, and intention to use. </w:t>
      </w:r>
      <w:r w:rsidRPr="00101A7E">
        <w:rPr>
          <w:i/>
          <w:iCs/>
        </w:rPr>
        <w:t>New media &amp; society</w:t>
      </w:r>
      <w:r w:rsidRPr="00101A7E">
        <w:t>, </w:t>
      </w:r>
      <w:r w:rsidRPr="00101A7E">
        <w:rPr>
          <w:i/>
          <w:iCs/>
        </w:rPr>
        <w:t>14</w:t>
      </w:r>
      <w:r w:rsidRPr="00101A7E">
        <w:t>(2), 204-224.</w:t>
      </w:r>
    </w:p>
    <w:p w14:paraId="56552F95" w14:textId="77777777" w:rsidR="00101A7E" w:rsidRPr="00101A7E" w:rsidRDefault="00101A7E" w:rsidP="00101A7E">
      <w:pPr>
        <w:jc w:val="both"/>
      </w:pPr>
      <w:r w:rsidRPr="00101A7E">
        <w:t>Kang, M. J., &amp; Hwang, Y. C. (2022). Exploring the factors affecting the continued usage intention of IoT-based healthcare wearable devices using the TAM model. </w:t>
      </w:r>
      <w:r w:rsidRPr="00101A7E">
        <w:rPr>
          <w:i/>
          <w:iCs/>
        </w:rPr>
        <w:t>Sustainability</w:t>
      </w:r>
      <w:r w:rsidRPr="00101A7E">
        <w:t>, </w:t>
      </w:r>
      <w:r w:rsidRPr="00101A7E">
        <w:rPr>
          <w:i/>
          <w:iCs/>
        </w:rPr>
        <w:t>14</w:t>
      </w:r>
      <w:r w:rsidRPr="00101A7E">
        <w:t>(19), 12492.</w:t>
      </w:r>
    </w:p>
    <w:p w14:paraId="1D0F3AAD" w14:textId="77777777" w:rsidR="00101A7E" w:rsidRPr="00101A7E" w:rsidRDefault="00101A7E" w:rsidP="00101A7E">
      <w:pPr>
        <w:jc w:val="both"/>
      </w:pPr>
      <w:r w:rsidRPr="00101A7E">
        <w:t>Khalid, U., Asim, M., Baker, T., Hung, P. C., Tariq, M. A., &amp; Rafferty, L. (2020). A decentralized lightweight blockchain-based authentication mechanism for IoT systems. </w:t>
      </w:r>
      <w:r w:rsidRPr="00101A7E">
        <w:rPr>
          <w:i/>
          <w:iCs/>
        </w:rPr>
        <w:t>Cluster Computing</w:t>
      </w:r>
      <w:r w:rsidRPr="00101A7E">
        <w:t>, </w:t>
      </w:r>
      <w:r w:rsidRPr="00101A7E">
        <w:rPr>
          <w:i/>
          <w:iCs/>
        </w:rPr>
        <w:t>23</w:t>
      </w:r>
      <w:r w:rsidRPr="00101A7E">
        <w:t>(3), 2067-2087.</w:t>
      </w:r>
    </w:p>
    <w:p w14:paraId="6C4AC6A0" w14:textId="77777777" w:rsidR="00101A7E" w:rsidRPr="00101A7E" w:rsidRDefault="00101A7E" w:rsidP="00101A7E">
      <w:pPr>
        <w:jc w:val="both"/>
      </w:pPr>
      <w:r w:rsidRPr="00101A7E">
        <w:t>Kim, E. J., Kim, J. J., &amp; Han, S. H. (2021). Understanding student acceptance of online learning systems in higher education: Application of social psychology theories with consideration of user innovativeness. </w:t>
      </w:r>
      <w:r w:rsidRPr="00101A7E">
        <w:rPr>
          <w:i/>
          <w:iCs/>
        </w:rPr>
        <w:t>Sustainability</w:t>
      </w:r>
      <w:r w:rsidRPr="00101A7E">
        <w:t>, </w:t>
      </w:r>
      <w:r w:rsidRPr="00101A7E">
        <w:rPr>
          <w:i/>
          <w:iCs/>
        </w:rPr>
        <w:t>13</w:t>
      </w:r>
      <w:r w:rsidRPr="00101A7E">
        <w:t>(2), 896.</w:t>
      </w:r>
    </w:p>
    <w:p w14:paraId="0BB2E8C8" w14:textId="77777777" w:rsidR="00101A7E" w:rsidRPr="00101A7E" w:rsidRDefault="00101A7E" w:rsidP="00101A7E">
      <w:pPr>
        <w:jc w:val="both"/>
      </w:pPr>
      <w:r w:rsidRPr="00101A7E">
        <w:t xml:space="preserve">Koroma, J., </w:t>
      </w:r>
      <w:proofErr w:type="spellStart"/>
      <w:r w:rsidRPr="00101A7E">
        <w:t>Rongting</w:t>
      </w:r>
      <w:proofErr w:type="spellEnd"/>
      <w:r w:rsidRPr="00101A7E">
        <w:t xml:space="preserve">, Z., </w:t>
      </w:r>
      <w:proofErr w:type="spellStart"/>
      <w:r w:rsidRPr="00101A7E">
        <w:t>Muhideen</w:t>
      </w:r>
      <w:proofErr w:type="spellEnd"/>
      <w:r w:rsidRPr="00101A7E">
        <w:t xml:space="preserve">, S., Akintunde, T. Y., </w:t>
      </w:r>
      <w:proofErr w:type="spellStart"/>
      <w:r w:rsidRPr="00101A7E">
        <w:t>Amosun</w:t>
      </w:r>
      <w:proofErr w:type="spellEnd"/>
      <w:r w:rsidRPr="00101A7E">
        <w:t xml:space="preserve">, T. S., Dauda, S. J., &amp; </w:t>
      </w:r>
      <w:proofErr w:type="spellStart"/>
      <w:r w:rsidRPr="00101A7E">
        <w:t>Sawaneh</w:t>
      </w:r>
      <w:proofErr w:type="spellEnd"/>
      <w:r w:rsidRPr="00101A7E">
        <w:t xml:space="preserve">, I. A. (2022). Assessing citizens' behavior towards blockchain cryptocurrency adoption </w:t>
      </w:r>
      <w:r w:rsidRPr="00101A7E">
        <w:lastRenderedPageBreak/>
        <w:t>in the Mano River Union States: Mediation, moderation role of trust and ethical issues. </w:t>
      </w:r>
      <w:r w:rsidRPr="00101A7E">
        <w:rPr>
          <w:i/>
          <w:iCs/>
        </w:rPr>
        <w:t>Technology in society</w:t>
      </w:r>
      <w:r w:rsidRPr="00101A7E">
        <w:t>, </w:t>
      </w:r>
      <w:r w:rsidRPr="00101A7E">
        <w:rPr>
          <w:i/>
          <w:iCs/>
        </w:rPr>
        <w:t>68</w:t>
      </w:r>
      <w:r w:rsidRPr="00101A7E">
        <w:t>, 101885.</w:t>
      </w:r>
    </w:p>
    <w:p w14:paraId="6998EF7C" w14:textId="77777777" w:rsidR="00101A7E" w:rsidRPr="00101A7E" w:rsidRDefault="00101A7E" w:rsidP="00101A7E">
      <w:pPr>
        <w:jc w:val="both"/>
      </w:pPr>
      <w:r w:rsidRPr="00101A7E">
        <w:t>Kramer, M. (2019). An overview of blockchain technology based on a study of public awareness. </w:t>
      </w:r>
      <w:r w:rsidRPr="00101A7E">
        <w:rPr>
          <w:i/>
          <w:iCs/>
        </w:rPr>
        <w:t>Global Journal of Business Research</w:t>
      </w:r>
      <w:r w:rsidRPr="00101A7E">
        <w:t>, </w:t>
      </w:r>
      <w:r w:rsidRPr="00101A7E">
        <w:rPr>
          <w:i/>
          <w:iCs/>
        </w:rPr>
        <w:t>13</w:t>
      </w:r>
      <w:r w:rsidRPr="00101A7E">
        <w:t>(1), 83-91.</w:t>
      </w:r>
    </w:p>
    <w:p w14:paraId="2B28560B" w14:textId="77777777" w:rsidR="00101A7E" w:rsidRPr="00101A7E" w:rsidRDefault="00101A7E" w:rsidP="00101A7E">
      <w:pPr>
        <w:jc w:val="both"/>
      </w:pPr>
      <w:r w:rsidRPr="00101A7E">
        <w:t>Kumar, G., Saha, R., Lal, C., &amp; Conti, M. (2021). Internet-of-Forensic (</w:t>
      </w:r>
      <w:proofErr w:type="spellStart"/>
      <w:r w:rsidRPr="00101A7E">
        <w:t>IoF</w:t>
      </w:r>
      <w:proofErr w:type="spellEnd"/>
      <w:r w:rsidRPr="00101A7E">
        <w:t>): A blockchain based digital forensics framework for IoT applications. </w:t>
      </w:r>
      <w:r w:rsidRPr="00101A7E">
        <w:rPr>
          <w:i/>
          <w:iCs/>
        </w:rPr>
        <w:t>Future Generation Computer Systems</w:t>
      </w:r>
      <w:r w:rsidRPr="00101A7E">
        <w:t>, </w:t>
      </w:r>
      <w:r w:rsidRPr="00101A7E">
        <w:rPr>
          <w:i/>
          <w:iCs/>
        </w:rPr>
        <w:t>120</w:t>
      </w:r>
      <w:r w:rsidRPr="00101A7E">
        <w:t>, 13-25.</w:t>
      </w:r>
    </w:p>
    <w:p w14:paraId="4579B059" w14:textId="77777777" w:rsidR="00101A7E" w:rsidRPr="00101A7E" w:rsidRDefault="00101A7E" w:rsidP="00101A7E">
      <w:pPr>
        <w:jc w:val="both"/>
      </w:pPr>
      <w:r w:rsidRPr="00101A7E">
        <w:t>Kumari, V., Bala, P. K., &amp; Chakraborty, S. (2023). An empirical study of user adoption of cryptocurrency using blockchain technology: analysing role of success factors like technology awareness and financial literacy. </w:t>
      </w:r>
      <w:r w:rsidRPr="00101A7E">
        <w:rPr>
          <w:i/>
          <w:iCs/>
        </w:rPr>
        <w:t>Journal of Theoretical and Applied Electronic Commerce Research</w:t>
      </w:r>
      <w:r w:rsidRPr="00101A7E">
        <w:t>, </w:t>
      </w:r>
      <w:r w:rsidRPr="00101A7E">
        <w:rPr>
          <w:i/>
          <w:iCs/>
        </w:rPr>
        <w:t>18</w:t>
      </w:r>
      <w:r w:rsidRPr="00101A7E">
        <w:t>(3), 1580-1600.</w:t>
      </w:r>
    </w:p>
    <w:p w14:paraId="686F23B1" w14:textId="77777777" w:rsidR="00101A7E" w:rsidRPr="00101A7E" w:rsidRDefault="00101A7E" w:rsidP="00101A7E">
      <w:pPr>
        <w:jc w:val="both"/>
      </w:pPr>
      <w:r w:rsidRPr="00101A7E">
        <w:t>Liu, N., &amp; Ye, Z. (2021). Empirical research on the blockchain adoption–based on TAM. </w:t>
      </w:r>
      <w:r w:rsidRPr="00101A7E">
        <w:rPr>
          <w:i/>
          <w:iCs/>
        </w:rPr>
        <w:t>Applied Economics</w:t>
      </w:r>
      <w:r w:rsidRPr="00101A7E">
        <w:t>, </w:t>
      </w:r>
      <w:r w:rsidRPr="00101A7E">
        <w:rPr>
          <w:i/>
          <w:iCs/>
        </w:rPr>
        <w:t>53</w:t>
      </w:r>
      <w:r w:rsidRPr="00101A7E">
        <w:t>(37), 4263-4275.</w:t>
      </w:r>
    </w:p>
    <w:p w14:paraId="0AB92395" w14:textId="77777777" w:rsidR="00101A7E" w:rsidRPr="00101A7E" w:rsidRDefault="00101A7E" w:rsidP="00101A7E">
      <w:pPr>
        <w:jc w:val="both"/>
      </w:pPr>
      <w:r w:rsidRPr="00101A7E">
        <w:t xml:space="preserve">Liu, Y., Qian, K., Wang, K., &amp; He, L. (2022). </w:t>
      </w:r>
      <w:proofErr w:type="spellStart"/>
      <w:r w:rsidRPr="00101A7E">
        <w:t>BCmaster</w:t>
      </w:r>
      <w:proofErr w:type="spellEnd"/>
      <w:r w:rsidRPr="00101A7E">
        <w:t>: A compatible framework for comprehensively analyzing and monitoring blockchain systems in IoT. </w:t>
      </w:r>
      <w:r w:rsidRPr="00101A7E">
        <w:rPr>
          <w:i/>
          <w:iCs/>
        </w:rPr>
        <w:t>IEEE Internet of Things Journal</w:t>
      </w:r>
      <w:r w:rsidRPr="00101A7E">
        <w:t>, </w:t>
      </w:r>
      <w:r w:rsidRPr="00101A7E">
        <w:rPr>
          <w:i/>
          <w:iCs/>
        </w:rPr>
        <w:t>9</w:t>
      </w:r>
      <w:r w:rsidRPr="00101A7E">
        <w:t>(22), 22529-22546.</w:t>
      </w:r>
    </w:p>
    <w:p w14:paraId="7B96BC47" w14:textId="77777777" w:rsidR="00101A7E" w:rsidRPr="00101A7E" w:rsidRDefault="00101A7E" w:rsidP="00101A7E">
      <w:pPr>
        <w:jc w:val="both"/>
      </w:pPr>
      <w:r w:rsidRPr="00101A7E">
        <w:t>Mata, M. N., Haider, S. A., Dantas, R. M., Rita, J. X., &amp; Lucas, J. L. (2025). Blockchain technology system on student academic performance in higher education as perceived by students in Portugal. </w:t>
      </w:r>
      <w:r w:rsidRPr="00101A7E">
        <w:rPr>
          <w:i/>
          <w:iCs/>
        </w:rPr>
        <w:t>Studies in Higher Education</w:t>
      </w:r>
      <w:r w:rsidRPr="00101A7E">
        <w:t>, </w:t>
      </w:r>
      <w:r w:rsidRPr="00101A7E">
        <w:rPr>
          <w:i/>
          <w:iCs/>
        </w:rPr>
        <w:t>50</w:t>
      </w:r>
      <w:r w:rsidRPr="00101A7E">
        <w:t>(4), 824-847.</w:t>
      </w:r>
    </w:p>
    <w:p w14:paraId="60C1F5FD" w14:textId="77777777" w:rsidR="00101A7E" w:rsidRPr="00101A7E" w:rsidRDefault="00101A7E" w:rsidP="00101A7E">
      <w:pPr>
        <w:jc w:val="both"/>
      </w:pPr>
      <w:r w:rsidRPr="00101A7E">
        <w:t>Mata, M. N., Haider, S. A., Dantas, R. M., Rita, J. X., &amp; Lucas, J. L. (2025). Blockchain technology system on student academic performance in higher education as perceived by students in Portugal. </w:t>
      </w:r>
      <w:r w:rsidRPr="00101A7E">
        <w:rPr>
          <w:i/>
          <w:iCs/>
        </w:rPr>
        <w:t>Studies in Higher Education</w:t>
      </w:r>
      <w:r w:rsidRPr="00101A7E">
        <w:t>, </w:t>
      </w:r>
      <w:r w:rsidRPr="00101A7E">
        <w:rPr>
          <w:i/>
          <w:iCs/>
        </w:rPr>
        <w:t>50</w:t>
      </w:r>
      <w:r w:rsidRPr="00101A7E">
        <w:t>(4), 824-847.</w:t>
      </w:r>
    </w:p>
    <w:p w14:paraId="0C06D10A" w14:textId="77777777" w:rsidR="00101A7E" w:rsidRPr="00101A7E" w:rsidRDefault="00101A7E" w:rsidP="00101A7E">
      <w:pPr>
        <w:jc w:val="both"/>
      </w:pPr>
      <w:r w:rsidRPr="00101A7E">
        <w:t>Ming, T., Teng, W., &amp; Jodaki, S. (2021). A model to investigate the effect of information technology and information systems on the ease of managers’ decision-making. </w:t>
      </w:r>
      <w:proofErr w:type="spellStart"/>
      <w:r w:rsidRPr="00101A7E">
        <w:rPr>
          <w:i/>
          <w:iCs/>
        </w:rPr>
        <w:t>Kybernetes</w:t>
      </w:r>
      <w:proofErr w:type="spellEnd"/>
      <w:r w:rsidRPr="00101A7E">
        <w:t>, </w:t>
      </w:r>
      <w:r w:rsidRPr="00101A7E">
        <w:rPr>
          <w:i/>
          <w:iCs/>
        </w:rPr>
        <w:t>50</w:t>
      </w:r>
      <w:r w:rsidRPr="00101A7E">
        <w:t>(1), 100-117.</w:t>
      </w:r>
    </w:p>
    <w:p w14:paraId="7C8E3636" w14:textId="77777777" w:rsidR="00101A7E" w:rsidRPr="00101A7E" w:rsidRDefault="00101A7E" w:rsidP="00101A7E">
      <w:pPr>
        <w:jc w:val="both"/>
      </w:pPr>
      <w:r w:rsidRPr="00101A7E">
        <w:t>Mou, J., Shin, D. H., &amp; Cohen, J. (2017). Understanding trust and perceived usefulness in the consumer acceptance of an e-service: a longitudinal investigation. </w:t>
      </w:r>
      <w:r w:rsidRPr="00101A7E">
        <w:rPr>
          <w:i/>
          <w:iCs/>
        </w:rPr>
        <w:t>Behaviour &amp; Information Technology</w:t>
      </w:r>
      <w:r w:rsidRPr="00101A7E">
        <w:t>, </w:t>
      </w:r>
      <w:r w:rsidRPr="00101A7E">
        <w:rPr>
          <w:i/>
          <w:iCs/>
        </w:rPr>
        <w:t>36</w:t>
      </w:r>
      <w:r w:rsidRPr="00101A7E">
        <w:t>(2), 125-139.</w:t>
      </w:r>
    </w:p>
    <w:p w14:paraId="76C29DB1" w14:textId="77777777" w:rsidR="00101A7E" w:rsidRPr="00101A7E" w:rsidRDefault="00101A7E" w:rsidP="00101A7E">
      <w:pPr>
        <w:jc w:val="both"/>
      </w:pPr>
      <w:proofErr w:type="spellStart"/>
      <w:r w:rsidRPr="00101A7E">
        <w:t>Padyab</w:t>
      </w:r>
      <w:proofErr w:type="spellEnd"/>
      <w:r w:rsidRPr="00101A7E">
        <w:t xml:space="preserve">, A., </w:t>
      </w:r>
      <w:proofErr w:type="spellStart"/>
      <w:r w:rsidRPr="00101A7E">
        <w:t>Habibipour</w:t>
      </w:r>
      <w:proofErr w:type="spellEnd"/>
      <w:r w:rsidRPr="00101A7E">
        <w:t xml:space="preserve">, A., Rizk, A., &amp; </w:t>
      </w:r>
      <w:proofErr w:type="spellStart"/>
      <w:r w:rsidRPr="00101A7E">
        <w:t>Ståhlbröst</w:t>
      </w:r>
      <w:proofErr w:type="spellEnd"/>
      <w:r w:rsidRPr="00101A7E">
        <w:t>, A. (2019). Adoption barriers of IoT in large scale pilots. </w:t>
      </w:r>
      <w:r w:rsidRPr="00101A7E">
        <w:rPr>
          <w:i/>
          <w:iCs/>
        </w:rPr>
        <w:t>Information</w:t>
      </w:r>
      <w:r w:rsidRPr="00101A7E">
        <w:t>, </w:t>
      </w:r>
      <w:r w:rsidRPr="00101A7E">
        <w:rPr>
          <w:i/>
          <w:iCs/>
        </w:rPr>
        <w:t>11</w:t>
      </w:r>
      <w:r w:rsidRPr="00101A7E">
        <w:t>(1), 23.</w:t>
      </w:r>
    </w:p>
    <w:p w14:paraId="232874AE" w14:textId="77777777" w:rsidR="00101A7E" w:rsidRPr="00101A7E" w:rsidRDefault="00101A7E" w:rsidP="00101A7E">
      <w:pPr>
        <w:jc w:val="both"/>
      </w:pPr>
      <w:r w:rsidRPr="00101A7E">
        <w:t xml:space="preserve">Parviainen, P., Tihinen, M., Kääriäinen, J., &amp; </w:t>
      </w:r>
      <w:proofErr w:type="spellStart"/>
      <w:r w:rsidRPr="00101A7E">
        <w:t>Teppola</w:t>
      </w:r>
      <w:proofErr w:type="spellEnd"/>
      <w:r w:rsidRPr="00101A7E">
        <w:t>, S. (2017). Tackling the digitalization challenge: how to benefit from digitalization in practice. </w:t>
      </w:r>
      <w:r w:rsidRPr="00101A7E">
        <w:rPr>
          <w:i/>
          <w:iCs/>
        </w:rPr>
        <w:t>International journal of information systems and project management</w:t>
      </w:r>
      <w:r w:rsidRPr="00101A7E">
        <w:t>, </w:t>
      </w:r>
      <w:r w:rsidRPr="00101A7E">
        <w:rPr>
          <w:i/>
          <w:iCs/>
        </w:rPr>
        <w:t>5</w:t>
      </w:r>
      <w:r w:rsidRPr="00101A7E">
        <w:t>(1), 63-77.</w:t>
      </w:r>
    </w:p>
    <w:p w14:paraId="621107E8" w14:textId="77777777" w:rsidR="00101A7E" w:rsidRPr="00101A7E" w:rsidRDefault="00101A7E" w:rsidP="00101A7E">
      <w:pPr>
        <w:jc w:val="both"/>
      </w:pPr>
      <w:r w:rsidRPr="00101A7E">
        <w:t xml:space="preserve">Pavithran, D., Shaalan, K., Al-Karaki, J. N., &amp; </w:t>
      </w:r>
      <w:proofErr w:type="spellStart"/>
      <w:r w:rsidRPr="00101A7E">
        <w:t>Gawanmeh</w:t>
      </w:r>
      <w:proofErr w:type="spellEnd"/>
      <w:r w:rsidRPr="00101A7E">
        <w:t>, A. (2020). Towards building a blockchain framework for IoT. </w:t>
      </w:r>
      <w:r w:rsidRPr="00101A7E">
        <w:rPr>
          <w:i/>
          <w:iCs/>
        </w:rPr>
        <w:t>Cluster Computing</w:t>
      </w:r>
      <w:r w:rsidRPr="00101A7E">
        <w:t>, </w:t>
      </w:r>
      <w:r w:rsidRPr="00101A7E">
        <w:rPr>
          <w:i/>
          <w:iCs/>
        </w:rPr>
        <w:t>23</w:t>
      </w:r>
      <w:r w:rsidRPr="00101A7E">
        <w:t>(3), 2089-2103.</w:t>
      </w:r>
    </w:p>
    <w:p w14:paraId="4269412C" w14:textId="77777777" w:rsidR="00101A7E" w:rsidRPr="00101A7E" w:rsidRDefault="00101A7E" w:rsidP="00101A7E">
      <w:pPr>
        <w:jc w:val="both"/>
      </w:pPr>
      <w:proofErr w:type="spellStart"/>
      <w:r w:rsidRPr="00101A7E">
        <w:lastRenderedPageBreak/>
        <w:t>Prasetyo</w:t>
      </w:r>
      <w:proofErr w:type="spellEnd"/>
      <w:r w:rsidRPr="00101A7E">
        <w:t xml:space="preserve">, Y. T., Susanto, K. C., Chuang, K. H., Yin, R. T., Chen, J. W., Zhang, Y. X., ... &amp; </w:t>
      </w:r>
      <w:proofErr w:type="spellStart"/>
      <w:r w:rsidRPr="00101A7E">
        <w:t>Gumasing</w:t>
      </w:r>
      <w:proofErr w:type="spellEnd"/>
      <w:r w:rsidRPr="00101A7E">
        <w:t>, M. J. J. (2025). Factors influencing the perceived usability of line pay: An extended technology acceptance model approach. </w:t>
      </w:r>
      <w:r w:rsidRPr="00101A7E">
        <w:rPr>
          <w:i/>
          <w:iCs/>
        </w:rPr>
        <w:t xml:space="preserve">Acta </w:t>
      </w:r>
      <w:proofErr w:type="spellStart"/>
      <w:r w:rsidRPr="00101A7E">
        <w:rPr>
          <w:i/>
          <w:iCs/>
        </w:rPr>
        <w:t>Psychologica</w:t>
      </w:r>
      <w:proofErr w:type="spellEnd"/>
      <w:r w:rsidRPr="00101A7E">
        <w:t>, </w:t>
      </w:r>
      <w:r w:rsidRPr="00101A7E">
        <w:rPr>
          <w:i/>
          <w:iCs/>
        </w:rPr>
        <w:t>255</w:t>
      </w:r>
      <w:r w:rsidRPr="00101A7E">
        <w:t>, 104924.</w:t>
      </w:r>
    </w:p>
    <w:p w14:paraId="5AF6126B" w14:textId="77777777" w:rsidR="00101A7E" w:rsidRPr="00101A7E" w:rsidRDefault="00101A7E" w:rsidP="00101A7E">
      <w:pPr>
        <w:jc w:val="both"/>
      </w:pPr>
      <w:r w:rsidRPr="00101A7E">
        <w:t xml:space="preserve">Raddatz, N., Coyne, J., Menard, P., &amp; </w:t>
      </w:r>
      <w:proofErr w:type="spellStart"/>
      <w:r w:rsidRPr="00101A7E">
        <w:t>Crossler</w:t>
      </w:r>
      <w:proofErr w:type="spellEnd"/>
      <w:r w:rsidRPr="00101A7E">
        <w:t>, R. E. (2023). Becoming a blockchain user: understanding consumers’ benefits realisation to use blockchain-based applications. </w:t>
      </w:r>
      <w:r w:rsidRPr="00101A7E">
        <w:rPr>
          <w:i/>
          <w:iCs/>
        </w:rPr>
        <w:t>European Journal of Information Systems</w:t>
      </w:r>
      <w:r w:rsidRPr="00101A7E">
        <w:t>, </w:t>
      </w:r>
      <w:r w:rsidRPr="00101A7E">
        <w:rPr>
          <w:i/>
          <w:iCs/>
        </w:rPr>
        <w:t>32</w:t>
      </w:r>
      <w:r w:rsidRPr="00101A7E">
        <w:t>(2), 287-314.</w:t>
      </w:r>
    </w:p>
    <w:p w14:paraId="2D2D801E" w14:textId="77777777" w:rsidR="00101A7E" w:rsidRPr="00101A7E" w:rsidRDefault="00101A7E" w:rsidP="00101A7E">
      <w:pPr>
        <w:jc w:val="both"/>
      </w:pPr>
      <w:proofErr w:type="spellStart"/>
      <w:r w:rsidRPr="00101A7E">
        <w:t>Rathee</w:t>
      </w:r>
      <w:proofErr w:type="spellEnd"/>
      <w:r w:rsidRPr="00101A7E">
        <w:t>, G., Sharma, A., Saini, H., Kumar, R., &amp; Iqbal, R. (2020). A hybrid framework for multimedia data processing in IoT-healthcare using blockchain technology. </w:t>
      </w:r>
      <w:r w:rsidRPr="00101A7E">
        <w:rPr>
          <w:i/>
          <w:iCs/>
        </w:rPr>
        <w:t>Multimedia Tools and Applications</w:t>
      </w:r>
      <w:r w:rsidRPr="00101A7E">
        <w:t>, </w:t>
      </w:r>
      <w:r w:rsidRPr="00101A7E">
        <w:rPr>
          <w:i/>
          <w:iCs/>
        </w:rPr>
        <w:t>79</w:t>
      </w:r>
      <w:r w:rsidRPr="00101A7E">
        <w:t>(15), 9711-9733.</w:t>
      </w:r>
    </w:p>
    <w:p w14:paraId="4598D24B" w14:textId="77777777" w:rsidR="00101A7E" w:rsidRPr="00101A7E" w:rsidRDefault="00101A7E" w:rsidP="00101A7E">
      <w:pPr>
        <w:jc w:val="both"/>
      </w:pPr>
      <w:proofErr w:type="spellStart"/>
      <w:r w:rsidRPr="00101A7E">
        <w:t>Rauniyar</w:t>
      </w:r>
      <w:proofErr w:type="spellEnd"/>
      <w:r w:rsidRPr="00101A7E">
        <w:t>, K., Wu, X., Gupta, S., Modgil, S., &amp; Lopes de Sousa Jabbour, A. B. (2023). Risk management of supply chains in the digital transformation era: contribution and challenges of blockchain technology. </w:t>
      </w:r>
      <w:r w:rsidRPr="00101A7E">
        <w:rPr>
          <w:i/>
          <w:iCs/>
        </w:rPr>
        <w:t>Industrial Management &amp; Data Systems</w:t>
      </w:r>
      <w:r w:rsidRPr="00101A7E">
        <w:t>, </w:t>
      </w:r>
      <w:r w:rsidRPr="00101A7E">
        <w:rPr>
          <w:i/>
          <w:iCs/>
        </w:rPr>
        <w:t>123</w:t>
      </w:r>
      <w:r w:rsidRPr="00101A7E">
        <w:t>(1), 253-277.</w:t>
      </w:r>
    </w:p>
    <w:p w14:paraId="12C86775" w14:textId="77777777" w:rsidR="00101A7E" w:rsidRPr="00101A7E" w:rsidRDefault="00101A7E" w:rsidP="00101A7E">
      <w:pPr>
        <w:jc w:val="both"/>
      </w:pPr>
      <w:r w:rsidRPr="00101A7E">
        <w:t>Roshanak, R., Rousta, A., Ahmadi Sharif, M., &amp; Ahmadi, M. (2024). The Effect of Marketing Mix on Blockchain Technology with the Mediating Role of Perceived Usefulness. </w:t>
      </w:r>
      <w:r w:rsidRPr="00101A7E">
        <w:rPr>
          <w:i/>
          <w:iCs/>
        </w:rPr>
        <w:t>Journal of value creating in Business Management</w:t>
      </w:r>
      <w:r w:rsidRPr="00101A7E">
        <w:t>, </w:t>
      </w:r>
      <w:r w:rsidRPr="00101A7E">
        <w:rPr>
          <w:i/>
          <w:iCs/>
        </w:rPr>
        <w:t>4</w:t>
      </w:r>
      <w:r w:rsidRPr="00101A7E">
        <w:t>(1), 1-22.</w:t>
      </w:r>
    </w:p>
    <w:p w14:paraId="2D35AFAC" w14:textId="77777777" w:rsidR="00101A7E" w:rsidRPr="00101A7E" w:rsidRDefault="00101A7E" w:rsidP="00101A7E">
      <w:pPr>
        <w:jc w:val="both"/>
      </w:pPr>
      <w:r w:rsidRPr="00101A7E">
        <w:t>Schnall, R., Higgins, T., Brown, W., Carballo-Dieguez, A., &amp; Bakken, S. (2015). Trust, perceived risk, perceived ease of use and perceived usefulness as factors related to mHealth technology use. </w:t>
      </w:r>
      <w:r w:rsidRPr="00101A7E">
        <w:rPr>
          <w:i/>
          <w:iCs/>
        </w:rPr>
        <w:t>Studies in health technology and informatics</w:t>
      </w:r>
      <w:r w:rsidRPr="00101A7E">
        <w:t>, </w:t>
      </w:r>
      <w:r w:rsidRPr="00101A7E">
        <w:rPr>
          <w:i/>
          <w:iCs/>
        </w:rPr>
        <w:t>216</w:t>
      </w:r>
      <w:r w:rsidRPr="00101A7E">
        <w:t>, 467.</w:t>
      </w:r>
    </w:p>
    <w:p w14:paraId="7FA12DDA" w14:textId="77777777" w:rsidR="00101A7E" w:rsidRPr="00101A7E" w:rsidRDefault="00101A7E" w:rsidP="00101A7E">
      <w:pPr>
        <w:jc w:val="both"/>
      </w:pPr>
      <w:r w:rsidRPr="00101A7E">
        <w:t>Schuetz, S., &amp; Venkatesh, V. (2020). Blockchain, adoption, and financial inclusion in India: Research opportunities. </w:t>
      </w:r>
      <w:r w:rsidRPr="00101A7E">
        <w:rPr>
          <w:i/>
          <w:iCs/>
        </w:rPr>
        <w:t>International journal of information management</w:t>
      </w:r>
      <w:r w:rsidRPr="00101A7E">
        <w:t>, </w:t>
      </w:r>
      <w:r w:rsidRPr="00101A7E">
        <w:rPr>
          <w:i/>
          <w:iCs/>
        </w:rPr>
        <w:t>52</w:t>
      </w:r>
      <w:r w:rsidRPr="00101A7E">
        <w:t>, 101936.</w:t>
      </w:r>
    </w:p>
    <w:p w14:paraId="6568F243" w14:textId="77777777" w:rsidR="00101A7E" w:rsidRPr="00101A7E" w:rsidRDefault="00101A7E" w:rsidP="00101A7E">
      <w:pPr>
        <w:jc w:val="both"/>
      </w:pPr>
      <w:r w:rsidRPr="00101A7E">
        <w:t>Sciarelli, M., Prisco, A., Gheith, M. H., &amp; Muto, V. (2022). Factors affecting the adoption of blockchain technology in innovative Italian companies: An extended TAM approach. </w:t>
      </w:r>
      <w:r w:rsidRPr="00101A7E">
        <w:rPr>
          <w:i/>
          <w:iCs/>
        </w:rPr>
        <w:t>Journal of Strategy and Management</w:t>
      </w:r>
      <w:r w:rsidRPr="00101A7E">
        <w:t>, </w:t>
      </w:r>
      <w:r w:rsidRPr="00101A7E">
        <w:rPr>
          <w:i/>
          <w:iCs/>
        </w:rPr>
        <w:t>15</w:t>
      </w:r>
      <w:r w:rsidRPr="00101A7E">
        <w:t>(3), 495-507.</w:t>
      </w:r>
    </w:p>
    <w:p w14:paraId="0622EE1A" w14:textId="77777777" w:rsidR="00101A7E" w:rsidRPr="00101A7E" w:rsidRDefault="00101A7E" w:rsidP="00101A7E">
      <w:pPr>
        <w:jc w:val="both"/>
      </w:pPr>
      <w:r w:rsidRPr="00101A7E">
        <w:t>Sciarelli, M., Prisco, A., Gheith, M. H., &amp; Muto, V. (2022). Factors affecting the adoption of blockchain technology in innovative Italian companies: An extended TAM approach. </w:t>
      </w:r>
      <w:r w:rsidRPr="00101A7E">
        <w:rPr>
          <w:i/>
          <w:iCs/>
        </w:rPr>
        <w:t>Journal of Strategy and Management</w:t>
      </w:r>
      <w:r w:rsidRPr="00101A7E">
        <w:t>, </w:t>
      </w:r>
      <w:r w:rsidRPr="00101A7E">
        <w:rPr>
          <w:i/>
          <w:iCs/>
        </w:rPr>
        <w:t>15</w:t>
      </w:r>
      <w:r w:rsidRPr="00101A7E">
        <w:t>(3), 495-507.</w:t>
      </w:r>
    </w:p>
    <w:p w14:paraId="0515154B" w14:textId="77777777" w:rsidR="00101A7E" w:rsidRPr="00101A7E" w:rsidRDefault="00101A7E" w:rsidP="00101A7E">
      <w:pPr>
        <w:jc w:val="both"/>
      </w:pPr>
      <w:r w:rsidRPr="00101A7E">
        <w:t xml:space="preserve">Shrestha, A. K., &amp; </w:t>
      </w:r>
      <w:proofErr w:type="spellStart"/>
      <w:r w:rsidRPr="00101A7E">
        <w:t>Vassileva</w:t>
      </w:r>
      <w:proofErr w:type="spellEnd"/>
      <w:r w:rsidRPr="00101A7E">
        <w:t>, J. (2019). User acceptance of usable blockchain-based research data sharing system: an extended TAM-based study. In </w:t>
      </w:r>
      <w:r w:rsidRPr="00101A7E">
        <w:rPr>
          <w:i/>
          <w:iCs/>
        </w:rPr>
        <w:t>2019 First IEEE International Conference on Trust, Privacy and Security in Intelligent Systems and Applications (TPS-ISA)</w:t>
      </w:r>
      <w:r w:rsidRPr="00101A7E">
        <w:t>, pp. 203-208.</w:t>
      </w:r>
    </w:p>
    <w:p w14:paraId="14DE9A6B" w14:textId="77777777" w:rsidR="00101A7E" w:rsidRPr="00101A7E" w:rsidRDefault="00101A7E" w:rsidP="00101A7E">
      <w:pPr>
        <w:jc w:val="both"/>
      </w:pPr>
      <w:r w:rsidRPr="00101A7E">
        <w:t>Shrestha, A. K., Vassileva, J., Joshi, S., &amp; Just, J. (2021). Augmenting the technology acceptance model with trust model for the initial adoption of a blockchain-based system. </w:t>
      </w:r>
      <w:proofErr w:type="spellStart"/>
      <w:r w:rsidRPr="00101A7E">
        <w:rPr>
          <w:i/>
          <w:iCs/>
        </w:rPr>
        <w:t>PeerJ</w:t>
      </w:r>
      <w:proofErr w:type="spellEnd"/>
      <w:r w:rsidRPr="00101A7E">
        <w:rPr>
          <w:i/>
          <w:iCs/>
        </w:rPr>
        <w:t xml:space="preserve"> Computer Science</w:t>
      </w:r>
      <w:r w:rsidRPr="00101A7E">
        <w:t>, </w:t>
      </w:r>
      <w:r w:rsidRPr="00101A7E">
        <w:rPr>
          <w:i/>
          <w:iCs/>
        </w:rPr>
        <w:t>7</w:t>
      </w:r>
      <w:r w:rsidRPr="00101A7E">
        <w:t>, e502.</w:t>
      </w:r>
    </w:p>
    <w:p w14:paraId="3AD6A8E1" w14:textId="77777777" w:rsidR="00101A7E" w:rsidRPr="00101A7E" w:rsidRDefault="00101A7E" w:rsidP="00101A7E">
      <w:pPr>
        <w:jc w:val="both"/>
      </w:pPr>
      <w:r w:rsidRPr="00101A7E">
        <w:t>Spencer-Hicken, S., Schutte, C. S. L., &amp; Vlok, P. J. (2023). Blockchain feasibility assessment: A quantitative approach. </w:t>
      </w:r>
      <w:r w:rsidRPr="00101A7E">
        <w:rPr>
          <w:i/>
          <w:iCs/>
        </w:rPr>
        <w:t>Frontiers in Blockchain</w:t>
      </w:r>
      <w:r w:rsidRPr="00101A7E">
        <w:t>, </w:t>
      </w:r>
      <w:r w:rsidRPr="00101A7E">
        <w:rPr>
          <w:i/>
          <w:iCs/>
        </w:rPr>
        <w:t>6</w:t>
      </w:r>
      <w:r w:rsidRPr="00101A7E">
        <w:t>, 1067039.</w:t>
      </w:r>
    </w:p>
    <w:p w14:paraId="58198772" w14:textId="77777777" w:rsidR="00101A7E" w:rsidRPr="00101A7E" w:rsidRDefault="00101A7E" w:rsidP="00101A7E">
      <w:pPr>
        <w:jc w:val="both"/>
      </w:pPr>
      <w:r w:rsidRPr="00101A7E">
        <w:t xml:space="preserve">Taheri Tolu, M., Yazdanian, N., Hemmati, H., &amp; </w:t>
      </w:r>
      <w:proofErr w:type="spellStart"/>
      <w:r w:rsidRPr="00101A7E">
        <w:t>Kordlouoie</w:t>
      </w:r>
      <w:proofErr w:type="spellEnd"/>
      <w:r w:rsidRPr="00101A7E">
        <w:t>, H. (2022). Accepting financial transactions using blockchain technology and cryptocurrency based on the tam model: A case study of Iranian users. </w:t>
      </w:r>
      <w:r w:rsidRPr="00101A7E">
        <w:rPr>
          <w:i/>
          <w:iCs/>
        </w:rPr>
        <w:t>Iranian Journal of Accounting, Auditing and Finance</w:t>
      </w:r>
      <w:r w:rsidRPr="00101A7E">
        <w:t>, </w:t>
      </w:r>
      <w:r w:rsidRPr="00101A7E">
        <w:rPr>
          <w:i/>
          <w:iCs/>
        </w:rPr>
        <w:t>6</w:t>
      </w:r>
      <w:r w:rsidRPr="00101A7E">
        <w:t>(2), 97-109.</w:t>
      </w:r>
    </w:p>
    <w:p w14:paraId="666DF3BB" w14:textId="77777777" w:rsidR="00101A7E" w:rsidRPr="00101A7E" w:rsidRDefault="00101A7E" w:rsidP="00101A7E">
      <w:pPr>
        <w:jc w:val="both"/>
      </w:pPr>
      <w:proofErr w:type="spellStart"/>
      <w:r w:rsidRPr="00101A7E">
        <w:lastRenderedPageBreak/>
        <w:t>Ulmanis</w:t>
      </w:r>
      <w:proofErr w:type="spellEnd"/>
      <w:r w:rsidRPr="00101A7E">
        <w:t xml:space="preserve">, J., &amp; </w:t>
      </w:r>
      <w:proofErr w:type="spellStart"/>
      <w:r w:rsidRPr="00101A7E">
        <w:t>Deniņš</w:t>
      </w:r>
      <w:proofErr w:type="spellEnd"/>
      <w:r w:rsidRPr="00101A7E">
        <w:t>, A. (2012). A management model of ICT adoption in Latvia. </w:t>
      </w:r>
      <w:r w:rsidRPr="00101A7E">
        <w:rPr>
          <w:i/>
          <w:iCs/>
        </w:rPr>
        <w:t xml:space="preserve">Procedia-Social and </w:t>
      </w:r>
      <w:proofErr w:type="spellStart"/>
      <w:r w:rsidRPr="00101A7E">
        <w:rPr>
          <w:i/>
          <w:iCs/>
        </w:rPr>
        <w:t>Behavioral</w:t>
      </w:r>
      <w:proofErr w:type="spellEnd"/>
      <w:r w:rsidRPr="00101A7E">
        <w:rPr>
          <w:i/>
          <w:iCs/>
        </w:rPr>
        <w:t xml:space="preserve"> Sciences</w:t>
      </w:r>
      <w:r w:rsidRPr="00101A7E">
        <w:t>, </w:t>
      </w:r>
      <w:r w:rsidRPr="00101A7E">
        <w:rPr>
          <w:i/>
          <w:iCs/>
        </w:rPr>
        <w:t>41</w:t>
      </w:r>
      <w:r w:rsidRPr="00101A7E">
        <w:t>, 251-264.</w:t>
      </w:r>
    </w:p>
    <w:p w14:paraId="232C4C8A" w14:textId="77777777" w:rsidR="00101A7E" w:rsidRPr="00101A7E" w:rsidRDefault="00101A7E" w:rsidP="00101A7E">
      <w:pPr>
        <w:jc w:val="both"/>
      </w:pPr>
      <w:r w:rsidRPr="00101A7E">
        <w:t xml:space="preserve">Walczak, R., Koszewski, K., </w:t>
      </w:r>
      <w:proofErr w:type="spellStart"/>
      <w:r w:rsidRPr="00101A7E">
        <w:t>Ejsmont</w:t>
      </w:r>
      <w:proofErr w:type="spellEnd"/>
      <w:r w:rsidRPr="00101A7E">
        <w:t>, K., &amp; Olszewski, R. (2025). Gender Perceptions of IoT Technologies in Smart Cities. </w:t>
      </w:r>
      <w:r w:rsidRPr="00101A7E">
        <w:rPr>
          <w:i/>
          <w:iCs/>
        </w:rPr>
        <w:t>Smart Cities</w:t>
      </w:r>
      <w:r w:rsidRPr="00101A7E">
        <w:t>, </w:t>
      </w:r>
      <w:r w:rsidRPr="00101A7E">
        <w:rPr>
          <w:i/>
          <w:iCs/>
        </w:rPr>
        <w:t>8</w:t>
      </w:r>
      <w:r w:rsidRPr="00101A7E">
        <w:t>(2), 60.</w:t>
      </w:r>
    </w:p>
    <w:p w14:paraId="75810A6B" w14:textId="77777777" w:rsidR="00101A7E" w:rsidRPr="00101A7E" w:rsidRDefault="00101A7E" w:rsidP="00101A7E">
      <w:pPr>
        <w:jc w:val="both"/>
      </w:pPr>
      <w:r w:rsidRPr="00101A7E">
        <w:t>Wallace, L. G., &amp; Sheetz, S. D. (2014). The adoption of software measures: A technology acceptance model (TAM) perspective. </w:t>
      </w:r>
      <w:r w:rsidRPr="00101A7E">
        <w:rPr>
          <w:i/>
          <w:iCs/>
        </w:rPr>
        <w:t>Information &amp; Management</w:t>
      </w:r>
      <w:r w:rsidRPr="00101A7E">
        <w:t>, </w:t>
      </w:r>
      <w:r w:rsidRPr="00101A7E">
        <w:rPr>
          <w:i/>
          <w:iCs/>
        </w:rPr>
        <w:t>51</w:t>
      </w:r>
      <w:r w:rsidRPr="00101A7E">
        <w:t>(2), 249-259.</w:t>
      </w:r>
    </w:p>
    <w:p w14:paraId="7279A53A" w14:textId="77777777" w:rsidR="00101A7E" w:rsidRPr="00101A7E" w:rsidRDefault="00101A7E" w:rsidP="00101A7E">
      <w:pPr>
        <w:jc w:val="both"/>
      </w:pPr>
      <w:r w:rsidRPr="00101A7E">
        <w:t xml:space="preserve">Walsh, C., O’Reilly, P., </w:t>
      </w:r>
      <w:proofErr w:type="spellStart"/>
      <w:r w:rsidRPr="00101A7E">
        <w:t>Gleasure</w:t>
      </w:r>
      <w:proofErr w:type="spellEnd"/>
      <w:r w:rsidRPr="00101A7E">
        <w:t>, R., McAvoy, J., &amp; O’Leary, K. (2021). Understanding manager resistance to blockchain systems. </w:t>
      </w:r>
      <w:r w:rsidRPr="00101A7E">
        <w:rPr>
          <w:i/>
          <w:iCs/>
        </w:rPr>
        <w:t>European Management Journal</w:t>
      </w:r>
      <w:r w:rsidRPr="00101A7E">
        <w:t>, </w:t>
      </w:r>
      <w:r w:rsidRPr="00101A7E">
        <w:rPr>
          <w:i/>
          <w:iCs/>
        </w:rPr>
        <w:t>39</w:t>
      </w:r>
      <w:r w:rsidRPr="00101A7E">
        <w:t>(3), 353-365.</w:t>
      </w:r>
    </w:p>
    <w:p w14:paraId="3FC493BD" w14:textId="77777777" w:rsidR="00101A7E" w:rsidRPr="00101A7E" w:rsidRDefault="00101A7E" w:rsidP="00101A7E">
      <w:pPr>
        <w:jc w:val="both"/>
      </w:pPr>
      <w:proofErr w:type="spellStart"/>
      <w:r w:rsidRPr="00101A7E">
        <w:t>Wiprayoga</w:t>
      </w:r>
      <w:proofErr w:type="spellEnd"/>
      <w:r w:rsidRPr="00101A7E">
        <w:t xml:space="preserve">, P., Gede, S., &amp; </w:t>
      </w:r>
      <w:proofErr w:type="spellStart"/>
      <w:r w:rsidRPr="00101A7E">
        <w:t>Suasana</w:t>
      </w:r>
      <w:proofErr w:type="spellEnd"/>
      <w:r w:rsidRPr="00101A7E">
        <w:t xml:space="preserve">, G. A. K. G. (2023). The role of attitude toward using mediates the influence of perceived usefulness and perceived ease of use on </w:t>
      </w:r>
      <w:proofErr w:type="spellStart"/>
      <w:r w:rsidRPr="00101A7E">
        <w:t>behavioral</w:t>
      </w:r>
      <w:proofErr w:type="spellEnd"/>
      <w:r w:rsidRPr="00101A7E">
        <w:t xml:space="preserve"> intention to use. </w:t>
      </w:r>
      <w:r w:rsidRPr="00101A7E">
        <w:rPr>
          <w:i/>
          <w:iCs/>
        </w:rPr>
        <w:t>Russian Journal of Agricultural and Socio-Economic Sciences</w:t>
      </w:r>
      <w:r w:rsidRPr="00101A7E">
        <w:t>, </w:t>
      </w:r>
      <w:r w:rsidRPr="00101A7E">
        <w:rPr>
          <w:i/>
          <w:iCs/>
        </w:rPr>
        <w:t>140</w:t>
      </w:r>
      <w:r w:rsidRPr="00101A7E">
        <w:t>(8), 53-68.</w:t>
      </w:r>
    </w:p>
    <w:p w14:paraId="73648243" w14:textId="77777777" w:rsidR="00101A7E" w:rsidRPr="00101A7E" w:rsidRDefault="00101A7E" w:rsidP="00101A7E">
      <w:pPr>
        <w:jc w:val="both"/>
      </w:pPr>
      <w:r w:rsidRPr="00101A7E">
        <w:t>Yaqoob, I., Salah, K., Jayaraman, R., &amp; Al-Hammadi, Y. (2022). Blockchain for healthcare data management: opportunities, challenges, and future recommendations. </w:t>
      </w:r>
      <w:r w:rsidRPr="00101A7E">
        <w:rPr>
          <w:i/>
          <w:iCs/>
        </w:rPr>
        <w:t>Neural Computing and Applications</w:t>
      </w:r>
      <w:r w:rsidRPr="00101A7E">
        <w:t>, 1-16.</w:t>
      </w:r>
    </w:p>
    <w:p w14:paraId="71E644EA" w14:textId="77777777" w:rsidR="00101A7E" w:rsidRPr="00101A7E" w:rsidRDefault="00101A7E" w:rsidP="00101A7E">
      <w:pPr>
        <w:jc w:val="both"/>
      </w:pPr>
      <w:r w:rsidRPr="00101A7E">
        <w:t>Zhang, T., Tao, D., Qu, X., Zhang, X., Lin, R., &amp; Zhang, W. (2019). The roles of initial trust and perceived risk in public’s acceptance of automated vehicles. </w:t>
      </w:r>
      <w:r w:rsidRPr="00101A7E">
        <w:rPr>
          <w:i/>
          <w:iCs/>
        </w:rPr>
        <w:t>Transportation research part C: emerging technologies</w:t>
      </w:r>
      <w:r w:rsidRPr="00101A7E">
        <w:t>, </w:t>
      </w:r>
      <w:r w:rsidRPr="00101A7E">
        <w:rPr>
          <w:i/>
          <w:iCs/>
        </w:rPr>
        <w:t>98</w:t>
      </w:r>
      <w:r w:rsidRPr="00101A7E">
        <w:t>, 207-220.</w:t>
      </w:r>
    </w:p>
    <w:p w14:paraId="29EEB986" w14:textId="77777777" w:rsidR="00101A7E" w:rsidRPr="00101A7E" w:rsidRDefault="00101A7E" w:rsidP="00101A7E">
      <w:pPr>
        <w:jc w:val="both"/>
      </w:pPr>
    </w:p>
    <w:p w14:paraId="46500E8A" w14:textId="77777777" w:rsidR="00101A7E" w:rsidRPr="00101A7E" w:rsidRDefault="00101A7E" w:rsidP="00101A7E">
      <w:pPr>
        <w:jc w:val="both"/>
      </w:pPr>
    </w:p>
    <w:p w14:paraId="084A9B34" w14:textId="77777777" w:rsidR="00101A7E" w:rsidRPr="00101A7E" w:rsidRDefault="00101A7E" w:rsidP="00101A7E">
      <w:pPr>
        <w:jc w:val="both"/>
      </w:pPr>
    </w:p>
    <w:p w14:paraId="3130CFEA" w14:textId="77777777" w:rsidR="00101A7E" w:rsidRPr="006B2A82" w:rsidRDefault="00101A7E" w:rsidP="00936FD4">
      <w:pPr>
        <w:jc w:val="both"/>
      </w:pPr>
    </w:p>
    <w:sectPr w:rsidR="00101A7E" w:rsidRPr="006B2A82" w:rsidSect="00B212B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BD"/>
    <w:rsid w:val="0007471E"/>
    <w:rsid w:val="00101A7E"/>
    <w:rsid w:val="001B0B9E"/>
    <w:rsid w:val="00207202"/>
    <w:rsid w:val="002D0AE7"/>
    <w:rsid w:val="00304493"/>
    <w:rsid w:val="0033401B"/>
    <w:rsid w:val="0035777C"/>
    <w:rsid w:val="003C2170"/>
    <w:rsid w:val="00416476"/>
    <w:rsid w:val="00423E00"/>
    <w:rsid w:val="00437CEB"/>
    <w:rsid w:val="00453FD2"/>
    <w:rsid w:val="00517349"/>
    <w:rsid w:val="005E5086"/>
    <w:rsid w:val="00685CD3"/>
    <w:rsid w:val="006B2A82"/>
    <w:rsid w:val="006F435B"/>
    <w:rsid w:val="007F22F9"/>
    <w:rsid w:val="007F5C9F"/>
    <w:rsid w:val="00936FD4"/>
    <w:rsid w:val="009532A5"/>
    <w:rsid w:val="00962954"/>
    <w:rsid w:val="0098726A"/>
    <w:rsid w:val="009D3FE0"/>
    <w:rsid w:val="00A84A9A"/>
    <w:rsid w:val="00AB6CBD"/>
    <w:rsid w:val="00AE01CD"/>
    <w:rsid w:val="00B212BD"/>
    <w:rsid w:val="00B9093A"/>
    <w:rsid w:val="00B93E68"/>
    <w:rsid w:val="00C14AF5"/>
    <w:rsid w:val="00C1651E"/>
    <w:rsid w:val="00C36C50"/>
    <w:rsid w:val="00C403CF"/>
    <w:rsid w:val="00E431B1"/>
    <w:rsid w:val="00ED4CBF"/>
    <w:rsid w:val="00F1546B"/>
    <w:rsid w:val="00F525C5"/>
    <w:rsid w:val="00F649FD"/>
    <w:rsid w:val="00F863C7"/>
    <w:rsid w:val="00FE1C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21C4"/>
  <w15:chartTrackingRefBased/>
  <w15:docId w15:val="{C222251E-6C84-4FE2-ACC7-7BC515BB4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3C7"/>
    <w:pPr>
      <w:spacing w:line="24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AE01CD"/>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autoRedefine/>
    <w:uiPriority w:val="9"/>
    <w:semiHidden/>
    <w:unhideWhenUsed/>
    <w:qFormat/>
    <w:rsid w:val="00AE01CD"/>
    <w:pPr>
      <w:keepNext/>
      <w:keepLines/>
      <w:spacing w:before="200" w:after="0"/>
      <w:outlineLvl w:val="1"/>
    </w:pPr>
    <w:rPr>
      <w:rFonts w:eastAsiaTheme="majorEastAsia"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1CD"/>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semiHidden/>
    <w:rsid w:val="00AE01CD"/>
    <w:rPr>
      <w:rFonts w:ascii="Times New Roman" w:eastAsiaTheme="majorEastAsia" w:hAnsi="Times New Roman" w:cstheme="majorBidi"/>
      <w:b/>
      <w:bCs/>
      <w:sz w:val="28"/>
      <w:szCs w:val="26"/>
    </w:rPr>
  </w:style>
  <w:style w:type="paragraph" w:styleId="NoSpacing">
    <w:name w:val="No Spacing"/>
    <w:link w:val="NoSpacingChar"/>
    <w:uiPriority w:val="1"/>
    <w:qFormat/>
    <w:rsid w:val="00B212BD"/>
    <w:pPr>
      <w:spacing w:after="0" w:line="240" w:lineRule="auto"/>
    </w:pPr>
    <w:rPr>
      <w:rFonts w:eastAsiaTheme="minorEastAsia"/>
    </w:rPr>
  </w:style>
  <w:style w:type="character" w:customStyle="1" w:styleId="NoSpacingChar">
    <w:name w:val="No Spacing Char"/>
    <w:basedOn w:val="DefaultParagraphFont"/>
    <w:link w:val="NoSpacing"/>
    <w:uiPriority w:val="1"/>
    <w:rsid w:val="00B212BD"/>
    <w:rPr>
      <w:rFonts w:eastAsiaTheme="minorEastAsia"/>
    </w:rPr>
  </w:style>
  <w:style w:type="table" w:styleId="TableGrid">
    <w:name w:val="Table Grid"/>
    <w:basedOn w:val="TableNormal"/>
    <w:uiPriority w:val="59"/>
    <w:rsid w:val="00B21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D0AE7"/>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8045">
      <w:bodyDiv w:val="1"/>
      <w:marLeft w:val="0"/>
      <w:marRight w:val="0"/>
      <w:marTop w:val="0"/>
      <w:marBottom w:val="0"/>
      <w:divBdr>
        <w:top w:val="none" w:sz="0" w:space="0" w:color="auto"/>
        <w:left w:val="none" w:sz="0" w:space="0" w:color="auto"/>
        <w:bottom w:val="none" w:sz="0" w:space="0" w:color="auto"/>
        <w:right w:val="none" w:sz="0" w:space="0" w:color="auto"/>
      </w:divBdr>
    </w:div>
    <w:div w:id="309135355">
      <w:bodyDiv w:val="1"/>
      <w:marLeft w:val="0"/>
      <w:marRight w:val="0"/>
      <w:marTop w:val="0"/>
      <w:marBottom w:val="0"/>
      <w:divBdr>
        <w:top w:val="none" w:sz="0" w:space="0" w:color="auto"/>
        <w:left w:val="none" w:sz="0" w:space="0" w:color="auto"/>
        <w:bottom w:val="none" w:sz="0" w:space="0" w:color="auto"/>
        <w:right w:val="none" w:sz="0" w:space="0" w:color="auto"/>
      </w:divBdr>
      <w:divsChild>
        <w:div w:id="1587809678">
          <w:marLeft w:val="0"/>
          <w:marRight w:val="0"/>
          <w:marTop w:val="0"/>
          <w:marBottom w:val="0"/>
          <w:divBdr>
            <w:top w:val="none" w:sz="0" w:space="0" w:color="auto"/>
            <w:left w:val="none" w:sz="0" w:space="0" w:color="auto"/>
            <w:bottom w:val="none" w:sz="0" w:space="0" w:color="auto"/>
            <w:right w:val="none" w:sz="0" w:space="0" w:color="auto"/>
          </w:divBdr>
          <w:divsChild>
            <w:div w:id="14658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0605">
      <w:bodyDiv w:val="1"/>
      <w:marLeft w:val="0"/>
      <w:marRight w:val="0"/>
      <w:marTop w:val="0"/>
      <w:marBottom w:val="0"/>
      <w:divBdr>
        <w:top w:val="none" w:sz="0" w:space="0" w:color="auto"/>
        <w:left w:val="none" w:sz="0" w:space="0" w:color="auto"/>
        <w:bottom w:val="none" w:sz="0" w:space="0" w:color="auto"/>
        <w:right w:val="none" w:sz="0" w:space="0" w:color="auto"/>
      </w:divBdr>
    </w:div>
    <w:div w:id="776830119">
      <w:bodyDiv w:val="1"/>
      <w:marLeft w:val="0"/>
      <w:marRight w:val="0"/>
      <w:marTop w:val="0"/>
      <w:marBottom w:val="0"/>
      <w:divBdr>
        <w:top w:val="none" w:sz="0" w:space="0" w:color="auto"/>
        <w:left w:val="none" w:sz="0" w:space="0" w:color="auto"/>
        <w:bottom w:val="none" w:sz="0" w:space="0" w:color="auto"/>
        <w:right w:val="none" w:sz="0" w:space="0" w:color="auto"/>
      </w:divBdr>
    </w:div>
    <w:div w:id="925042970">
      <w:bodyDiv w:val="1"/>
      <w:marLeft w:val="0"/>
      <w:marRight w:val="0"/>
      <w:marTop w:val="0"/>
      <w:marBottom w:val="0"/>
      <w:divBdr>
        <w:top w:val="none" w:sz="0" w:space="0" w:color="auto"/>
        <w:left w:val="none" w:sz="0" w:space="0" w:color="auto"/>
        <w:bottom w:val="none" w:sz="0" w:space="0" w:color="auto"/>
        <w:right w:val="none" w:sz="0" w:space="0" w:color="auto"/>
      </w:divBdr>
    </w:div>
    <w:div w:id="1096556898">
      <w:bodyDiv w:val="1"/>
      <w:marLeft w:val="0"/>
      <w:marRight w:val="0"/>
      <w:marTop w:val="0"/>
      <w:marBottom w:val="0"/>
      <w:divBdr>
        <w:top w:val="none" w:sz="0" w:space="0" w:color="auto"/>
        <w:left w:val="none" w:sz="0" w:space="0" w:color="auto"/>
        <w:bottom w:val="none" w:sz="0" w:space="0" w:color="auto"/>
        <w:right w:val="none" w:sz="0" w:space="0" w:color="auto"/>
      </w:divBdr>
    </w:div>
    <w:div w:id="1703942744">
      <w:bodyDiv w:val="1"/>
      <w:marLeft w:val="0"/>
      <w:marRight w:val="0"/>
      <w:marTop w:val="0"/>
      <w:marBottom w:val="0"/>
      <w:divBdr>
        <w:top w:val="none" w:sz="0" w:space="0" w:color="auto"/>
        <w:left w:val="none" w:sz="0" w:space="0" w:color="auto"/>
        <w:bottom w:val="none" w:sz="0" w:space="0" w:color="auto"/>
        <w:right w:val="none" w:sz="0" w:space="0" w:color="auto"/>
      </w:divBdr>
    </w:div>
    <w:div w:id="1745447665">
      <w:bodyDiv w:val="1"/>
      <w:marLeft w:val="0"/>
      <w:marRight w:val="0"/>
      <w:marTop w:val="0"/>
      <w:marBottom w:val="0"/>
      <w:divBdr>
        <w:top w:val="none" w:sz="0" w:space="0" w:color="auto"/>
        <w:left w:val="none" w:sz="0" w:space="0" w:color="auto"/>
        <w:bottom w:val="none" w:sz="0" w:space="0" w:color="auto"/>
        <w:right w:val="none" w:sz="0" w:space="0" w:color="auto"/>
      </w:divBdr>
    </w:div>
    <w:div w:id="179104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CC86D3A76B48EDA733FA466013DF5A"/>
        <w:category>
          <w:name w:val="General"/>
          <w:gallery w:val="placeholder"/>
        </w:category>
        <w:types>
          <w:type w:val="bbPlcHdr"/>
        </w:types>
        <w:behaviors>
          <w:behavior w:val="content"/>
        </w:behaviors>
        <w:guid w:val="{7D77989C-E6BA-43DB-8739-6C1A14F3A596}"/>
      </w:docPartPr>
      <w:docPartBody>
        <w:p w:rsidR="00754814" w:rsidRDefault="00754814" w:rsidP="00754814">
          <w:pPr>
            <w:pStyle w:val="61CC86D3A76B48EDA733FA466013DF5A"/>
          </w:pPr>
          <w:r>
            <w:rPr>
              <w:rFonts w:asciiTheme="majorHAnsi" w:eastAsiaTheme="majorEastAsia" w:hAnsiTheme="majorHAnsi" w:cstheme="majorBidi"/>
              <w:caps/>
              <w:color w:val="156082" w:themeColor="accent1"/>
              <w:sz w:val="80"/>
              <w:szCs w:val="80"/>
            </w:rPr>
            <w:t>[Document title]</w:t>
          </w:r>
        </w:p>
      </w:docPartBody>
    </w:docPart>
    <w:docPart>
      <w:docPartPr>
        <w:name w:val="397D747C91424F9A8F92CECF08ECA58C"/>
        <w:category>
          <w:name w:val="General"/>
          <w:gallery w:val="placeholder"/>
        </w:category>
        <w:types>
          <w:type w:val="bbPlcHdr"/>
        </w:types>
        <w:behaviors>
          <w:behavior w:val="content"/>
        </w:behaviors>
        <w:guid w:val="{9D276A17-F854-4934-A087-7B45415FA1FE}"/>
      </w:docPartPr>
      <w:docPartBody>
        <w:p w:rsidR="00754814" w:rsidRDefault="00754814" w:rsidP="00754814">
          <w:pPr>
            <w:pStyle w:val="397D747C91424F9A8F92CECF08ECA58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814"/>
    <w:rsid w:val="00242A30"/>
    <w:rsid w:val="00754814"/>
    <w:rsid w:val="0082266C"/>
    <w:rsid w:val="009A3D7F"/>
    <w:rsid w:val="00A84A9A"/>
    <w:rsid w:val="00CF26FB"/>
    <w:rsid w:val="00E27932"/>
    <w:rsid w:val="00FA1F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CC86D3A76B48EDA733FA466013DF5A">
    <w:name w:val="61CC86D3A76B48EDA733FA466013DF5A"/>
    <w:rsid w:val="00754814"/>
  </w:style>
  <w:style w:type="paragraph" w:customStyle="1" w:styleId="397D747C91424F9A8F92CECF08ECA58C">
    <w:name w:val="397D747C91424F9A8F92CECF08ECA58C"/>
    <w:rsid w:val="007548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8254C-3773-487F-8A7C-148EB0EAD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16</Pages>
  <Words>6159</Words>
  <Characters>37328</Characters>
  <Application>Microsoft Office Word</Application>
  <DocSecurity>0</DocSecurity>
  <Lines>744</Lines>
  <Paragraphs>307</Paragraphs>
  <ScaleCrop>false</ScaleCrop>
  <HeadingPairs>
    <vt:vector size="2" baseType="variant">
      <vt:variant>
        <vt:lpstr>Title</vt:lpstr>
      </vt:variant>
      <vt:variant>
        <vt:i4>1</vt:i4>
      </vt:variant>
    </vt:vector>
  </HeadingPairs>
  <TitlesOfParts>
    <vt:vector size="1" baseType="lpstr">
      <vt:lpstr>Evaluating Student Awareness And Acceptance Of Block-Chain Authentication framework In IoT Applications</vt:lpstr>
    </vt:vector>
  </TitlesOfParts>
  <Company/>
  <LinksUpToDate>false</LinksUpToDate>
  <CharactersWithSpaces>43180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Student Awareness And Acceptance Of Block-Chain Authentication framework In IoT Applications</dc:title>
  <dc:subject>Research Paper</dc:subject>
  <dc:creator>Laptop inn</dc:creator>
  <cp:keywords/>
  <dc:description/>
  <cp:lastModifiedBy>Shahid Azam</cp:lastModifiedBy>
  <cp:revision>21</cp:revision>
  <dcterms:created xsi:type="dcterms:W3CDTF">2025-06-12T16:29:00Z</dcterms:created>
  <dcterms:modified xsi:type="dcterms:W3CDTF">2026-01-04T19:04:00Z</dcterms:modified>
</cp:coreProperties>
</file>