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pPr>
      <w:r>
        <w:rPr>
          <w:rFonts w:ascii="Arial" w:cs="Arial" w:eastAsia="Arial" w:hAnsi="Arial"/>
          <w:b/>
          <w:bCs/>
          <w:color w:val="1F3864"/>
          <w:sz w:val="56"/>
          <w:szCs w:val="56"/>
        </w:rPr>
        <w:t xml:space="preserve">AI Audit Ledger</w:t>
      </w:r>
    </w:p>
    <w:p>
      <w:pPr>
        <w:spacing w:after="200"/>
      </w:pPr>
      <w:r>
        <w:rPr>
          <w:rFonts w:ascii="Arial" w:cs="Arial" w:eastAsia="Arial" w:hAnsi="Arial"/>
          <w:color w:val="2E5D9E"/>
          <w:sz w:val="36"/>
          <w:szCs w:val="36"/>
        </w:rPr>
        <w:t xml:space="preserve">Cloud Architecture Comparison</w:t>
      </w:r>
    </w:p>
    <w:p>
      <w:pPr>
        <w:spacing w:after="800"/>
      </w:pPr>
      <w:r>
        <w:rPr>
          <w:rFonts w:ascii="Arial" w:cs="Arial" w:eastAsia="Arial" w:hAnsi="Arial"/>
          <w:color w:val="6B7280"/>
          <w:sz w:val="26"/>
          <w:szCs w:val="26"/>
        </w:rPr>
        <w:t xml:space="preserve">AWS · GCP · Azure</w:t>
      </w:r>
    </w:p>
    <w:p>
      <w:pPr>
        <w:spacing w:after="120"/>
      </w:pPr>
      <w:r>
        <w:rPr>
          <w:rFonts w:ascii="Arial" w:cs="Arial" w:eastAsia="Arial" w:hAnsi="Arial"/>
          <w:b w:val="false"/>
          <w:bCs w:val="false"/>
          <w:sz w:val="22"/>
          <w:szCs w:val="22"/>
        </w:rPr>
        <w:t xml:space="preserve">This document compares how the AI Audit Ledger architecture maps across three major cloud providers — AWS, Google Cloud (GCP), and Microsoft Azure. Each section explains what a component does in plain terms, then identifies the equivalent service on each platform.</w:t>
      </w:r>
    </w:p>
    <w:p>
      <w:pPr>
        <w:spacing w:after="160"/>
      </w:pPr>
      <w:r>
        <w:t xml:space="preserve"/>
      </w:r>
    </w:p>
    <w:p>
      <w:r>
        <w:br w:type="page"/>
      </w:r>
    </w:p>
    <w:p>
      <w:pPr>
        <w:pStyle w:val="Heading1"/>
      </w:pPr>
      <w:r>
        <w:rPr>
          <w:rFonts w:ascii="Arial" w:cs="Arial" w:eastAsia="Arial" w:hAnsi="Arial"/>
        </w:rPr>
        <w:t xml:space="preserve">1. Service comparison at a glance</w:t>
      </w:r>
    </w:p>
    <w:p>
      <w:pPr>
        <w:spacing w:after="120"/>
      </w:pPr>
      <w:r>
        <w:rPr>
          <w:rFonts w:ascii="Arial" w:cs="Arial" w:eastAsia="Arial" w:hAnsi="Arial"/>
          <w:b w:val="false"/>
          <w:bCs w:val="false"/>
          <w:sz w:val="22"/>
          <w:szCs w:val="22"/>
        </w:rPr>
        <w:t xml:space="preserve">The table below maps each architectural role to its equivalent managed service on AWS, GCP, and Azure. The role column describes what the component does in the system; the remaining columns name the specific product on each cloud.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360"/>
        <w:gridCol w:w="1800"/>
        <w:gridCol w:w="1800"/>
        <w:gridCol w:w="20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AWS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GCP</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Azure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Front door / API layer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Receives HTTPS requests, checks API keys, enforces rate limits, routes to compute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API Gateway (REST)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API Gateway or Cloud Endpoints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API Management (APIM)</w:t>
            </w:r>
          </w:p>
        </w:tc>
      </w:tr>
      <w:tr>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000000"/>
                <w:sz w:val="20"/>
                <w:szCs w:val="20"/>
              </w:rPr>
              <w:t xml:space="preserve">Compute / functions</w:t>
            </w:r>
          </w:p>
        </w:tc>
        <w:tc>
          <w:tcPr>
            <w:tcW w:type="dxa" w:w="23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Runs code on demand with no server to manage. Scales automatically per request</w:t>
            </w:r>
          </w:p>
        </w:tc>
        <w:tc>
          <w:tcPr>
            <w:tcW w:type="dxa" w:w="1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Lambda</w:t>
            </w:r>
          </w:p>
        </w:tc>
        <w:tc>
          <w:tcPr>
            <w:tcW w:type="dxa" w:w="1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Cloud Functions or Cloud Run</w:t>
            </w:r>
          </w:p>
        </w:tc>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Azure Functions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Message queue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Buffers events between ingest and storage so the caller gets an instant reply. Retries failed processing automatically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SQS (Simple Queue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Cloud Pub/Sub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Azure Service Bus</w:t>
            </w:r>
          </w:p>
        </w:tc>
      </w:tr>
      <w:tr>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000000"/>
                <w:sz w:val="20"/>
                <w:szCs w:val="20"/>
              </w:rPr>
              <w:t xml:space="preserve">Fast query database</w:t>
            </w:r>
          </w:p>
        </w:tc>
        <w:tc>
          <w:tcPr>
            <w:tcW w:type="dxa" w:w="23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Stores audit records indexed by tenant and timestamp for millisecond lookups</w:t>
            </w:r>
          </w:p>
        </w:tc>
        <w:tc>
          <w:tcPr>
            <w:tcW w:type="dxa" w:w="1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DynamoDB</w:t>
            </w:r>
          </w:p>
        </w:tc>
        <w:tc>
          <w:tcPr>
            <w:tcW w:type="dxa" w:w="1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Firestore or Bigtable</w:t>
            </w:r>
          </w:p>
        </w:tc>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Cosmos DB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Tamper-proof vault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Locks each record so nothing — not even the cloud provider's admin — can delete or alter it before the retention period expires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S3 with Object Lock (COMPLIANCE mode, 7 yr)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Cloud Storage with Object Hold / Bucket Lock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Azure Blob Storage with Immutability Policy (WORM)</w:t>
            </w:r>
          </w:p>
        </w:tc>
      </w:tr>
      <w:tr>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000000"/>
                <w:sz w:val="20"/>
                <w:szCs w:val="20"/>
              </w:rPr>
              <w:t xml:space="preserve">Secret / key store</w:t>
            </w:r>
          </w:p>
        </w:tc>
        <w:tc>
          <w:tcPr>
            <w:tcW w:type="dxa" w:w="23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Stores API keys securely. Never exposed in config files or logs. Supports instant rotation</w:t>
            </w:r>
          </w:p>
        </w:tc>
        <w:tc>
          <w:tcPr>
            <w:tcW w:type="dxa" w:w="1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Secrets Manager</w:t>
            </w:r>
          </w:p>
        </w:tc>
        <w:tc>
          <w:tcPr>
            <w:tcW w:type="dxa" w:w="1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Secret Manager</w:t>
            </w:r>
          </w:p>
        </w:tc>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Azure Key Vault</w:t>
            </w:r>
          </w:p>
        </w:tc>
      </w:tr>
    </w:tbl>
    <w:p>
      <w:pPr>
        <w:spacing w:after="160"/>
      </w:pPr>
      <w:r>
        <w:t xml:space="preserve"/>
      </w:r>
    </w:p>
    <w:p>
      <w:r>
        <w:br w:type="page"/>
      </w:r>
    </w:p>
    <w:p>
      <w:pPr>
        <w:pStyle w:val="Heading1"/>
      </w:pPr>
      <w:r>
        <w:rPr>
          <w:rFonts w:ascii="Arial" w:cs="Arial" w:eastAsia="Arial" w:hAnsi="Arial"/>
        </w:rPr>
        <w:t xml:space="preserve">2. What each component does</w:t>
      </w:r>
    </w:p>
    <w:p>
      <w:pPr>
        <w:pStyle w:val="Heading2"/>
      </w:pPr>
      <w:r>
        <w:rPr>
          <w:rFonts w:ascii="Arial" w:cs="Arial" w:eastAsia="Arial" w:hAnsi="Arial"/>
        </w:rPr>
        <w:t xml:space="preserve">Front door — API Gateway</w:t>
      </w:r>
    </w:p>
    <w:p>
      <w:pPr>
        <w:spacing w:after="120"/>
      </w:pPr>
      <w:r>
        <w:rPr>
          <w:rFonts w:ascii="Arial" w:cs="Arial" w:eastAsia="Arial" w:hAnsi="Arial"/>
          <w:b w:val="false"/>
          <w:bCs w:val="false"/>
          <w:sz w:val="22"/>
          <w:szCs w:val="22"/>
        </w:rPr>
        <w:t xml:space="preserve">Every request from your application hits the API layer first. Its job is to act as a bouncer: check the API key is valid, reject requests that exceed the rate limit, and route the request to the right function. No compute code runs here — it is purely traffic management.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Current implementation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AWS API Gateway (REST API, prod stage)</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000000"/>
                <w:sz w:val="20"/>
                <w:szCs w:val="20"/>
              </w:rPr>
              <w:t xml:space="preserve">Rate limit</w:t>
            </w:r>
          </w:p>
        </w:tc>
        <w:tc>
          <w:tcPr>
            <w:tcW w:type="dxa" w:w="7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100 requests per second sustained; 200 concurrent burst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Per-tenant limit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100 requests per minute, enforced one layer deeper by the Ingest function</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000000"/>
                <w:sz w:val="20"/>
                <w:szCs w:val="20"/>
              </w:rPr>
              <w:t xml:space="preserve">Authentication</w:t>
            </w:r>
          </w:p>
        </w:tc>
        <w:tc>
          <w:tcPr>
            <w:tcW w:type="dxa" w:w="7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x-api-key header checked against keys stored in the secret store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Routes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POST /audit/events (write) · GET /audit/logs · GET /audit/events/{id}/history (read)</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000000"/>
                <w:sz w:val="20"/>
                <w:szCs w:val="20"/>
              </w:rPr>
              <w:t xml:space="preserve">AWS equivalent</w:t>
            </w:r>
          </w:p>
        </w:tc>
        <w:tc>
          <w:tcPr>
            <w:tcW w:type="dxa" w:w="7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API Gateway — REST or HTTP API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GCP equivalent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API Gateway or Cloud Endpoints (Endpoints adds per-method quotas and OpenAPI spec enforcement)</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000000"/>
                <w:sz w:val="20"/>
                <w:szCs w:val="20"/>
              </w:rPr>
              <w:t xml:space="preserve">Azure equivalent</w:t>
            </w:r>
          </w:p>
        </w:tc>
        <w:tc>
          <w:tcPr>
            <w:tcW w:type="dxa" w:w="7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API Management (APIM) — adds a policy layer for transformation, throttling, and caching</w:t>
            </w:r>
          </w:p>
        </w:tc>
      </w:tr>
    </w:tbl>
    <w:p>
      <w:pPr>
        <w:spacing w:after="160"/>
      </w:pPr>
      <w:r>
        <w:t xml:space="preserve"/>
      </w:r>
    </w:p>
    <w:p>
      <w:r>
        <w:br w:type="page"/>
      </w:r>
    </w:p>
    <w:p>
      <w:pPr>
        <w:pStyle w:val="Heading2"/>
      </w:pPr>
      <w:r>
        <w:rPr>
          <w:rFonts w:ascii="Arial" w:cs="Arial" w:eastAsia="Arial" w:hAnsi="Arial"/>
        </w:rPr>
        <w:t xml:space="preserve">Compute — serverless functions</w:t>
      </w:r>
    </w:p>
    <w:p>
      <w:pPr>
        <w:spacing w:after="120"/>
      </w:pPr>
      <w:r>
        <w:rPr>
          <w:rFonts w:ascii="Arial" w:cs="Arial" w:eastAsia="Arial" w:hAnsi="Arial"/>
          <w:b w:val="false"/>
          <w:bCs w:val="false"/>
          <w:sz w:val="22"/>
          <w:szCs w:val="22"/>
        </w:rPr>
        <w:t xml:space="preserve">Serverless functions run your code on demand. You upload the logic; the cloud provider handles servers, patching, and scaling. Each function has a single responsibility. There are three in this architecture:</w:t>
      </w:r>
    </w:p>
    <w:p>
      <w:pPr>
        <w:spacing w:after="160"/>
      </w:pPr>
      <w:r>
        <w:t xml:space="preserve"/>
      </w:r>
    </w:p>
    <w:p>
      <w:pPr>
        <w:pStyle w:val="ListParagraph"/>
        <w:numPr>
          <w:ilvl w:val="0"/>
          <w:numId w:val="2"/>
        </w:numPr>
        <w:spacing w:after="60"/>
      </w:pPr>
      <w:r>
        <w:rPr>
          <w:rFonts w:ascii="Arial" w:cs="Arial" w:eastAsia="Arial" w:hAnsi="Arial"/>
          <w:sz w:val="22"/>
          <w:szCs w:val="22"/>
        </w:rPr>
        <w:t xml:space="preserve">Ingest function — validates the incoming request and drops it on the queue. Must be fast (10 s timeout) because the caller is waiting for the reply.</w:t>
      </w:r>
    </w:p>
    <w:p>
      <w:pPr>
        <w:pStyle w:val="ListParagraph"/>
        <w:numPr>
          <w:ilvl w:val="0"/>
          <w:numId w:val="2"/>
        </w:numPr>
        <w:spacing w:after="60"/>
      </w:pPr>
      <w:r>
        <w:rPr>
          <w:rFonts w:ascii="Arial" w:cs="Arial" w:eastAsia="Arial" w:hAnsi="Arial"/>
          <w:sz w:val="22"/>
          <w:szCs w:val="22"/>
        </w:rPr>
        <w:t xml:space="preserve">Processor function — picks up batches of 10 events from the queue and writes them to both storage layers. Runs in the background (60 s timeout).</w:t>
      </w:r>
    </w:p>
    <w:p>
      <w:pPr>
        <w:pStyle w:val="ListParagraph"/>
        <w:numPr>
          <w:ilvl w:val="0"/>
          <w:numId w:val="2"/>
        </w:numPr>
        <w:spacing w:after="60"/>
      </w:pPr>
      <w:r>
        <w:rPr>
          <w:rFonts w:ascii="Arial" w:cs="Arial" w:eastAsia="Arial" w:hAnsi="Arial"/>
          <w:sz w:val="22"/>
          <w:szCs w:val="22"/>
        </w:rPr>
        <w:t xml:space="preserve">Read function — handles queries and the tamper-evidence check. Fetches from the fast database and optionally cross-checks the vault.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AWS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Lambda — Node.js 20, memory 256–512 MB depending on function</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000000"/>
                <w:sz w:val="20"/>
                <w:szCs w:val="20"/>
              </w:rPr>
              <w:t xml:space="preserve">GCP</w:t>
            </w:r>
          </w:p>
        </w:tc>
        <w:tc>
          <w:tcPr>
            <w:tcW w:type="dxa" w:w="7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Cloud Functions (Gen 2) for simple triggers; Cloud Run for larger payloads or container-based deployments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Azure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Azure Functions — same concept, supports Node.js, Python, C#, Java. Consumption plan = pay-per-execution like Lambda</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000000"/>
                <w:sz w:val="20"/>
                <w:szCs w:val="20"/>
              </w:rPr>
              <w:t xml:space="preserve">Key difference</w:t>
            </w:r>
          </w:p>
        </w:tc>
        <w:tc>
          <w:tcPr>
            <w:tcW w:type="dxa" w:w="7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GCP Cloud Run gives you a full container rather than a single function entry point, which offers more flexibility but slightly more configuration overhead</w:t>
            </w:r>
          </w:p>
        </w:tc>
      </w:tr>
    </w:tbl>
    <w:p>
      <w:pPr>
        <w:spacing w:after="160"/>
      </w:pPr>
      <w:r>
        <w:t xml:space="preserve"/>
      </w:r>
    </w:p>
    <w:p>
      <w:r>
        <w:br w:type="page"/>
      </w:r>
    </w:p>
    <w:p>
      <w:pPr>
        <w:pStyle w:val="Heading2"/>
      </w:pPr>
      <w:r>
        <w:rPr>
          <w:rFonts w:ascii="Arial" w:cs="Arial" w:eastAsia="Arial" w:hAnsi="Arial"/>
        </w:rPr>
        <w:t xml:space="preserve">Message queue</w:t>
      </w:r>
    </w:p>
    <w:p>
      <w:pPr>
        <w:spacing w:after="120"/>
      </w:pPr>
      <w:r>
        <w:rPr>
          <w:rFonts w:ascii="Arial" w:cs="Arial" w:eastAsia="Arial" w:hAnsi="Arial"/>
          <w:b w:val="false"/>
          <w:bCs w:val="false"/>
          <w:sz w:val="22"/>
          <w:szCs w:val="22"/>
        </w:rPr>
        <w:t xml:space="preserve">The queue sits between the ingest function and the processor. Its purpose is decoupling — the caller gets an instant acknowledgement (HTTP 202) without waiting for the database writes to complete. If the processor fails, the message stays in the queue and retries automatically up to 5 times before moving to a dead-letter queue for investigation.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AWS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SQS — visibility timeout 120 s, batch size 10, DLQ after 5 failures</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000000"/>
                <w:sz w:val="20"/>
                <w:szCs w:val="20"/>
              </w:rPr>
              <w:t xml:space="preserve">GCP</w:t>
            </w:r>
          </w:p>
        </w:tc>
        <w:tc>
          <w:tcPr>
            <w:tcW w:type="dxa" w:w="7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Cloud Pub/Sub — push or pull delivery, at-least-once guarantee, configurable retry policy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Azure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Azure Service Bus — supports queues and topics, dead-lettering, sessions for ordering</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000000"/>
                <w:sz w:val="20"/>
                <w:szCs w:val="20"/>
              </w:rPr>
              <w:t xml:space="preserve">Why this matters</w:t>
            </w:r>
          </w:p>
        </w:tc>
        <w:tc>
          <w:tcPr>
            <w:tcW w:type="dxa" w:w="7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Without a queue, a storage failure would cause the caller to receive an error and potentially lose the audit record. The queue absorbs spikes and guarantees the record is eventually written.</w:t>
            </w:r>
          </w:p>
        </w:tc>
      </w:tr>
    </w:tbl>
    <w:p>
      <w:pPr>
        <w:spacing w:after="160"/>
      </w:pPr>
      <w:r>
        <w:t xml:space="preserve"/>
      </w:r>
    </w:p>
    <w:p>
      <w:r>
        <w:br w:type="page"/>
      </w:r>
    </w:p>
    <w:p>
      <w:pPr>
        <w:pStyle w:val="Heading2"/>
      </w:pPr>
      <w:r>
        <w:rPr>
          <w:rFonts w:ascii="Arial" w:cs="Arial" w:eastAsia="Arial" w:hAnsi="Arial"/>
        </w:rPr>
        <w:t xml:space="preserve">Fast query database</w:t>
      </w:r>
    </w:p>
    <w:p>
      <w:pPr>
        <w:spacing w:after="120"/>
      </w:pPr>
      <w:r>
        <w:rPr>
          <w:rFonts w:ascii="Arial" w:cs="Arial" w:eastAsia="Arial" w:hAnsi="Arial"/>
          <w:b w:val="false"/>
          <w:bCs w:val="false"/>
          <w:sz w:val="22"/>
          <w:szCs w:val="22"/>
        </w:rPr>
        <w:t xml:space="preserve">Audit records need to be queryable by tenant and date range in milliseconds. A document or key-value database is used rather than a relational database because the schema is fixed, queries are always by tenant and time, and throughput needs to scale without manual tuning.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AWS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DynamoDB — partition key: tenant_id, sort key: timestamp#event_id. GSI on event_id for direct lookup</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000000"/>
                <w:sz w:val="20"/>
                <w:szCs w:val="20"/>
              </w:rPr>
              <w:t xml:space="preserve">GCP</w:t>
            </w:r>
          </w:p>
        </w:tc>
        <w:tc>
          <w:tcPr>
            <w:tcW w:type="dxa" w:w="7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Firestore (document model, strong consistency) or Bigtable (wide-column, higher throughput at scale)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Azure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Cosmos DB — multi-model (document, key-value, graph), global distribution, tunable consistency</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000000"/>
                <w:sz w:val="20"/>
                <w:szCs w:val="20"/>
              </w:rPr>
              <w:t xml:space="preserve">Sort key design</w:t>
            </w:r>
          </w:p>
        </w:tc>
        <w:tc>
          <w:tcPr>
            <w:tcW w:type="dxa" w:w="7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ISO 8601 timestamps sort lexicographically in the same order as chronologically, so a range query on the sort key returns records in time order with no extra sorting step</w:t>
            </w:r>
          </w:p>
        </w:tc>
      </w:tr>
    </w:tbl>
    <w:p>
      <w:pPr>
        <w:spacing w:after="160"/>
      </w:pPr>
      <w:r>
        <w:t xml:space="preserve"/>
      </w:r>
    </w:p>
    <w:p>
      <w:r>
        <w:br w:type="page"/>
      </w:r>
    </w:p>
    <w:p>
      <w:pPr>
        <w:pStyle w:val="Heading2"/>
      </w:pPr>
      <w:r>
        <w:rPr>
          <w:rFonts w:ascii="Arial" w:cs="Arial" w:eastAsia="Arial" w:hAnsi="Arial"/>
        </w:rPr>
        <w:t xml:space="preserve">Tamper-proof vault</w:t>
      </w:r>
    </w:p>
    <w:p>
      <w:pPr>
        <w:spacing w:after="120"/>
      </w:pPr>
      <w:r>
        <w:rPr>
          <w:rFonts w:ascii="Arial" w:cs="Arial" w:eastAsia="Arial" w:hAnsi="Arial"/>
          <w:b w:val="false"/>
          <w:bCs w:val="false"/>
          <w:sz w:val="22"/>
          <w:szCs w:val="22"/>
        </w:rPr>
        <w:t xml:space="preserve">Every audit record is also written to object storage with a lock that prevents anyone — including the cloud provider's own administrators — from deleting or modifying it before the retention period expires. This is what makes the compliance claim defensible to a regulator. The read path cross-checks the database copy against the vault copy; a mismatch means the database record was altered after storage.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AWS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S3 with Object Lock in COMPLIANCE mode. Retention: 7 years from write time. Versioning enabled. Encryption: SSE-S3. Public access: blocked entirely.</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000000"/>
                <w:sz w:val="20"/>
                <w:szCs w:val="20"/>
              </w:rPr>
              <w:t xml:space="preserve">GCP</w:t>
            </w:r>
          </w:p>
        </w:tc>
        <w:tc>
          <w:tcPr>
            <w:tcW w:type="dxa" w:w="7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Cloud Storage with Object Hold (event-based) or Bucket Lock (retention policy). Bucket Lock is equivalent to COMPLIANCE mode — once set, even the project owner cannot remove it before expiry.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Azure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Azure Blob Storage with Immutability Policy in WORM (Write Once Read Many) mode. Supports time-based retention and legal hold. Recognised under SEC 17a-4 and FINRA.</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000000"/>
                <w:sz w:val="20"/>
                <w:szCs w:val="20"/>
              </w:rPr>
              <w:t xml:space="preserve">Why two storage layers</w:t>
            </w:r>
          </w:p>
        </w:tc>
        <w:tc>
          <w:tcPr>
            <w:tcW w:type="dxa" w:w="7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DynamoDB is optimised for queries; S3 is optimised for immutability. Using both means fast reads and an independent tamper-evidence proof. If the database record is ever altered, the vault copy exposes the discrepancy.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Regulatory standards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COMPLIANCE / WORM / Bucket Lock on all three platforms are accepted by SEC 17a-4, FINRA, and HIPAA as valid immutable storage.</w:t>
            </w:r>
          </w:p>
        </w:tc>
      </w:tr>
    </w:tbl>
    <w:p>
      <w:pPr>
        <w:spacing w:after="160"/>
      </w:pPr>
      <w:r>
        <w:t xml:space="preserve"/>
      </w:r>
    </w:p>
    <w:p>
      <w:r>
        <w:br w:type="page"/>
      </w:r>
    </w:p>
    <w:p>
      <w:pPr>
        <w:pStyle w:val="Heading2"/>
      </w:pPr>
      <w:r>
        <w:rPr>
          <w:rFonts w:ascii="Arial" w:cs="Arial" w:eastAsia="Arial" w:hAnsi="Arial"/>
        </w:rPr>
        <w:t xml:space="preserve">Secret and key store</w:t>
      </w:r>
    </w:p>
    <w:p>
      <w:pPr>
        <w:spacing w:after="120"/>
      </w:pPr>
      <w:r>
        <w:rPr>
          <w:rFonts w:ascii="Arial" w:cs="Arial" w:eastAsia="Arial" w:hAnsi="Arial"/>
          <w:b w:val="false"/>
          <w:bCs w:val="false"/>
          <w:sz w:val="22"/>
          <w:szCs w:val="22"/>
        </w:rPr>
        <w:t xml:space="preserve">API keys are never stored in environment variables, config files, or deployment outputs. A dedicated secret store keeps them encrypted at rest and provides a clean rotation path — update the secret value and the running functions pick it up within seconds without redeployment.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AWS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Secrets Manager — stores tenant key map and read key map as JSON. Lambda fetches at runtime and caches in memory. Cache invalidates on key miss so rotation takes effect within seconds.</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000000"/>
                <w:sz w:val="20"/>
                <w:szCs w:val="20"/>
              </w:rPr>
              <w:t xml:space="preserve">GCP</w:t>
            </w:r>
          </w:p>
        </w:tc>
        <w:tc>
          <w:tcPr>
            <w:tcW w:type="dxa" w:w="7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Secret Manager — same model, version-based secrets, IAM-controlled access per secret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Azure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Azure Key Vault — stores secrets, keys, and certificates. Supports soft-delete and purge protection to prevent accidental deletion.</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000000"/>
                <w:sz w:val="20"/>
                <w:szCs w:val="20"/>
              </w:rPr>
              <w:t xml:space="preserve">Key rotation</w:t>
            </w:r>
          </w:p>
        </w:tc>
        <w:tc>
          <w:tcPr>
            <w:tcW w:type="dxa" w:w="7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000000"/>
                <w:sz w:val="20"/>
                <w:szCs w:val="20"/>
              </w:rPr>
              <w:t xml:space="preserve">On all three platforms, updating the secret value takes effect without redeploying the function. The in-memory cache means rotation is near-instant rather than requiring a cold start.</w:t>
            </w:r>
          </w:p>
        </w:tc>
      </w:tr>
    </w:tbl>
    <w:p>
      <w:pPr>
        <w:spacing w:after="160"/>
      </w:pPr>
      <w:r>
        <w:t xml:space="preserve"/>
      </w:r>
    </w:p>
    <w:p>
      <w:r>
        <w:br w:type="page"/>
      </w:r>
    </w:p>
    <w:p>
      <w:pPr>
        <w:pStyle w:val="Heading1"/>
      </w:pPr>
      <w:r>
        <w:rPr>
          <w:rFonts w:ascii="Arial" w:cs="Arial" w:eastAsia="Arial" w:hAnsi="Arial"/>
        </w:rPr>
        <w:t xml:space="preserve">3. Migration considerations</w:t>
      </w:r>
    </w:p>
    <w:p>
      <w:pPr>
        <w:spacing w:after="120"/>
      </w:pPr>
      <w:r>
        <w:rPr>
          <w:rFonts w:ascii="Arial" w:cs="Arial" w:eastAsia="Arial" w:hAnsi="Arial"/>
          <w:b w:val="false"/>
          <w:bCs w:val="false"/>
          <w:sz w:val="22"/>
          <w:szCs w:val="22"/>
        </w:rPr>
        <w:t xml:space="preserve">If you were to migrate this architecture from AWS to GCP or Azure, the following points are worth noting:</w:t>
      </w:r>
    </w:p>
    <w:p>
      <w:pPr>
        <w:spacing w:after="160"/>
      </w:pPr>
      <w:r>
        <w:t xml:space="preserve"/>
      </w:r>
    </w:p>
    <w:p>
      <w:pPr>
        <w:pStyle w:val="ListParagraph"/>
        <w:numPr>
          <w:ilvl w:val="0"/>
          <w:numId w:val="2"/>
        </w:numPr>
        <w:spacing w:after="60"/>
      </w:pPr>
      <w:r>
        <w:rPr>
          <w:rFonts w:ascii="Arial" w:cs="Arial" w:eastAsia="Arial" w:hAnsi="Arial"/>
          <w:sz w:val="22"/>
          <w:szCs w:val="22"/>
        </w:rPr>
        <w:t xml:space="preserve">The tamper-proof vault is the most critical component to validate. Confirm that the target platform's equivalent (Bucket Lock or WORM) is accepted by your specific regulatory framework before migrating.</w:t>
      </w:r>
    </w:p>
    <w:p>
      <w:pPr>
        <w:pStyle w:val="ListParagraph"/>
        <w:numPr>
          <w:ilvl w:val="0"/>
          <w:numId w:val="2"/>
        </w:numPr>
        <w:spacing w:after="60"/>
      </w:pPr>
      <w:r>
        <w:rPr>
          <w:rFonts w:ascii="Arial" w:cs="Arial" w:eastAsia="Arial" w:hAnsi="Arial"/>
          <w:sz w:val="22"/>
          <w:szCs w:val="22"/>
        </w:rPr>
        <w:t xml:space="preserve">DynamoDB's sort key design (timestamp#event_id lexicographic ordering) is a pattern specific to key-value stores. Firestore, Bigtable, and Cosmos DB each have different query models — the index design would need revisiting.</w:t>
      </w:r>
    </w:p>
    <w:p>
      <w:pPr>
        <w:pStyle w:val="ListParagraph"/>
        <w:numPr>
          <w:ilvl w:val="0"/>
          <w:numId w:val="2"/>
        </w:numPr>
        <w:spacing w:after="60"/>
      </w:pPr>
      <w:r>
        <w:rPr>
          <w:rFonts w:ascii="Arial" w:cs="Arial" w:eastAsia="Arial" w:hAnsi="Arial"/>
          <w:sz w:val="22"/>
          <w:szCs w:val="22"/>
        </w:rPr>
        <w:t xml:space="preserve">SQS, Pub/Sub, and Service Bus all provide at-least-once delivery. The Processor function's idempotency check (DynamoDB ConditionExpression: attribute_not_exists) must be preserved on any platform to prevent duplicate records on retry.</w:t>
      </w:r>
    </w:p>
    <w:p>
      <w:pPr>
        <w:pStyle w:val="ListParagraph"/>
        <w:numPr>
          <w:ilvl w:val="0"/>
          <w:numId w:val="2"/>
        </w:numPr>
        <w:spacing w:after="60"/>
      </w:pPr>
      <w:r>
        <w:rPr>
          <w:rFonts w:ascii="Arial" w:cs="Arial" w:eastAsia="Arial" w:hAnsi="Arial"/>
          <w:sz w:val="22"/>
          <w:szCs w:val="22"/>
        </w:rPr>
        <w:t xml:space="preserve">API Gateway, Cloud Endpoints, and APIM all support API key authentication, but the exact header name and key management UI differ. The x-api-key header convention used here is AWS-specific by name but the pattern is portable.</w:t>
      </w:r>
    </w:p>
    <w:p>
      <w:pPr>
        <w:pStyle w:val="ListParagraph"/>
        <w:numPr>
          <w:ilvl w:val="0"/>
          <w:numId w:val="2"/>
        </w:numPr>
        <w:spacing w:after="60"/>
      </w:pPr>
      <w:r>
        <w:rPr>
          <w:rFonts w:ascii="Arial" w:cs="Arial" w:eastAsia="Arial" w:hAnsi="Arial"/>
          <w:sz w:val="22"/>
          <w:szCs w:val="22"/>
        </w:rPr>
        <w:t xml:space="preserve">Lambda, Cloud Functions/Run, and Azure Functions all support Node.js 20 and Python 3.10+, so the SDK and function code require minimal changes for a runtime migration.</w:t>
      </w:r>
    </w:p>
    <w:p>
      <w:pPr>
        <w:spacing w:after="160"/>
      </w:pPr>
      <w:r>
        <w:t xml:space="preserve"/>
      </w:r>
    </w:p>
    <w:sectPr>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D9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2026-04-14T11:56:39.022Z</dcterms:created>
  <dcterms:modified xsi:type="dcterms:W3CDTF">2026-04-14T11:56:39.023Z</dcterms:modified>
</cp:coreProperties>
</file>

<file path=docProps/custom.xml><?xml version="1.0" encoding="utf-8"?>
<Properties xmlns="http://schemas.openxmlformats.org/officeDocument/2006/custom-properties" xmlns:vt="http://schemas.openxmlformats.org/officeDocument/2006/docPropsVTypes"/>
</file>