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0"/>
        <w:jc w:val="center"/>
      </w:pPr>
      <w:r>
        <w:rPr>
          <w:b/>
          <w:bCs/>
          <w:sz w:val="32"/>
          <w:szCs w:val="32"/>
        </w:rPr>
        <w:t xml:space="preserve">Stage 2 — Research Proposal (Draft for Approval)</w:t>
      </w:r>
    </w:p>
    <w:p>
      <w:pPr>
        <w:spacing w:after="120" w:line="276"/>
      </w:pPr>
      <w:r>
        <w:rPr>
          <w:b/>
          <w:bCs/>
        </w:rPr>
        <w:t xml:space="preserve">Working title:</w:t>
      </w:r>
      <w:r>
        <w:t xml:space="preserve"> </w:t>
      </w:r>
      <w:r>
        <w:rPr>
          <w:i/>
          <w:iCs/>
        </w:rPr>
        <w:t xml:space="preserve">Digital Media vs Dawn Newspaper: A Comparative Political Discourse Analysis</w:t>
      </w:r>
    </w:p>
    <w:p>
      <w:pPr>
        <w:spacing w:after="120" w:line="276"/>
      </w:pPr>
      <w:r>
        <w:rPr>
          <w:b/>
          <w:bCs/>
        </w:rPr>
        <w:t xml:space="preserve">Researcher:</w:t>
      </w:r>
      <w:r>
        <w:t xml:space="preserve"> Muhammad Khan · </w:t>
      </w:r>
      <w:r>
        <w:rPr>
          <w:b/>
          <w:bCs/>
        </w:rPr>
        <w:t xml:space="preserve">Supervisor:</w:t>
      </w:r>
      <w:r>
        <w:t xml:space="preserve"> Khuram Dad · </w:t>
      </w:r>
      <w:r>
        <w:rPr>
          <w:b/>
          <w:bCs/>
        </w:rPr>
        <w:t xml:space="preserve">Session:</w:t>
      </w:r>
      <w:r>
        <w:t xml:space="preserve"> 2026</w:t>
      </w:r>
    </w:p>
    <w:p>
      <w:pPr>
        <w:spacing w:after="120" w:line="276"/>
      </w:pPr>
      <w:r>
        <w:rPr>
          <w:b/>
          <w:bCs/>
        </w:rPr>
        <w:t xml:space="preserve">Status:</w:t>
      </w:r>
      <w:r>
        <w:t xml:space="preserve"> PROPOSAL. Nothing here is final until you (and your supervisor) approve the decisions in Section 9. No data has been collected and no analysis has been done.</w:t>
      </w:r>
    </w:p>
    <w:p>
      <w:pPr>
        <w:spacing w:after="120" w:line="276"/>
      </w:pPr>
      <w:r>
        <w:rPr>
          <w:b/>
          <w:bCs/>
        </w:rPr>
        <w:t xml:space="preserve">Spelling:</w:t>
      </w:r>
      <w:r>
        <w:t xml:space="preserve"> British English (confirmed 14 Oct 2026).</w:t>
      </w:r>
    </w:p>
    <w:p>
      <w:pPr>
        <w:pBdr>
          <w:bottom w:val="single" w:color="999999" w:sz="6" w:space="1"/>
        </w:pBdr>
        <w:spacing w:after="120"/>
      </w:pPr>
    </w:p>
    <w:p>
      <w:pPr>
        <w:pStyle w:val="Heading2"/>
        <w:keepNext/>
        <w:spacing w:after="120" w:before="240"/>
        <w:jc w:val="left"/>
      </w:pPr>
      <w:r>
        <w:rPr>
          <w:b/>
          <w:bCs/>
          <w:sz w:val="28"/>
          <w:szCs w:val="28"/>
        </w:rPr>
        <w:t xml:space="preserve">1. The scoping problem and how this proposal solves it</w:t>
      </w:r>
    </w:p>
    <w:p>
      <w:pPr>
        <w:spacing w:after="120" w:line="276"/>
      </w:pPr>
      <w:r>
        <w:t xml:space="preserve">The title sets "digital media" against </w:t>
      </w:r>
      <w:r>
        <w:rPr>
          <w:i/>
          <w:iCs/>
        </w:rPr>
        <w:t xml:space="preserve">Dawn</w:t>
      </w:r>
      <w:r>
        <w:t xml:space="preserve">, but </w:t>
      </w:r>
      <w:r>
        <w:rPr>
          <w:i/>
          <w:iCs/>
        </w:rPr>
        <w:t xml:space="preserve">Dawn</w:t>
      </w:r>
      <w:r>
        <w:t xml:space="preserve"> also publishes on Dawn.com and on social media. If the term "digital media" is left undefined, the two sides of the comparison overlap, and any difference found could not be explained by the medium. The study therefore needs a definition of "digital media" that does </w:t>
      </w:r>
      <w:r>
        <w:rPr>
          <w:b/>
          <w:bCs/>
        </w:rPr>
        <w:t xml:space="preserve">not</w:t>
      </w:r>
      <w:r>
        <w:t xml:space="preserve"> include </w:t>
      </w:r>
      <w:r>
        <w:rPr>
          <w:i/>
          <w:iCs/>
        </w:rPr>
        <w:t xml:space="preserve">Dawn</w:t>
      </w:r>
      <w:r>
        <w:t xml:space="preserve">, and a definition of "</w:t>
      </w:r>
      <w:r>
        <w:rPr>
          <w:i/>
          <w:iCs/>
        </w:rPr>
        <w:t xml:space="preserve">Dawn</w:t>
      </w:r>
      <w:r>
        <w:t xml:space="preserve">" that refers to one clearly identified form of its output.</w:t>
      </w:r>
    </w:p>
    <w:p>
      <w:pPr>
        <w:spacing w:after="120" w:line="276"/>
      </w:pPr>
      <w:r>
        <w:t xml:space="preserve">Three ways of doing this are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
        <w:gridCol w:w="2123"/>
        <w:gridCol w:w="2123"/>
        <w:gridCol w:w="2123"/>
        <w:gridCol w:w="2127"/>
      </w:tblGrid>
      <w:tr>
        <w:trPr>
          <w:tblHeader/>
        </w:trPr>
        <w:tc>
          <w:tcPr>
            <w:tcW w:type="dxa" w:w="53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Option</w:t>
            </w:r>
          </w:p>
        </w:tc>
        <w:tc>
          <w:tcPr>
            <w:tcW w:type="dxa" w:w="2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"Digital media" means</w:t>
            </w:r>
          </w:p>
        </w:tc>
        <w:tc>
          <w:tcPr>
            <w:tcW w:type="dxa" w:w="2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r>
              <w:rPr>
                <w:b/>
                <w:bCs/>
                <w:i/>
                <w:iCs/>
                <w:sz w:val="20"/>
                <w:szCs w:val="20"/>
              </w:rPr>
              <w:t xml:space="preserve">Dawn</w:t>
            </w:r>
            <w:r>
              <w:rPr>
                <w:b/>
                <w:bCs/>
                <w:sz w:val="20"/>
                <w:szCs w:val="20"/>
              </w:rPr>
              <w:t xml:space="preserve">" means</w:t>
            </w:r>
          </w:p>
        </w:tc>
        <w:tc>
          <w:tcPr>
            <w:tcW w:type="dxa" w:w="2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Strengths</w:t>
            </w:r>
          </w:p>
        </w:tc>
        <w:tc>
          <w:tcPr>
            <w:tcW w:type="dxa" w:w="212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Weaknesses</w:t>
            </w:r>
          </w:p>
        </w:tc>
      </w:tr>
      <w:tr>
        <w:trPr>
          <w:tblHeader w:val="false"/>
        </w:trPr>
        <w:tc>
          <w:tcPr>
            <w:tcW w:type="dxa" w:w="5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A (recommended)</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English-language </w:t>
            </w:r>
            <w:r>
              <w:rPr>
                <w:b/>
                <w:bCs/>
                <w:sz w:val="20"/>
                <w:szCs w:val="20"/>
              </w:rPr>
              <w:t xml:space="preserve">digital-native</w:t>
            </w:r>
            <w:r>
              <w:rPr>
                <w:sz w:val="20"/>
                <w:szCs w:val="20"/>
              </w:rPr>
              <w:t xml:space="preserve"> Pakistani news outlets, i.e. outlets that publish only online and have no print newspaper</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Reports from </w:t>
            </w:r>
            <w:r>
              <w:rPr>
                <w:i/>
                <w:iCs/>
                <w:sz w:val="20"/>
                <w:szCs w:val="20"/>
              </w:rPr>
              <w:t xml:space="preserve">Dawn</w:t>
            </w:r>
            <w:r>
              <w:rPr>
                <w:sz w:val="20"/>
                <w:szCs w:val="20"/>
              </w:rPr>
              <w:t xml:space="preserve">'s </w:t>
            </w:r>
            <w:r>
              <w:rPr>
                <w:b/>
                <w:bCs/>
                <w:sz w:val="20"/>
                <w:szCs w:val="20"/>
              </w:rPr>
              <w:t xml:space="preserve">print edition</w:t>
            </w:r>
            <w:r>
              <w:rPr>
                <w:sz w:val="20"/>
                <w:szCs w:val="20"/>
              </w:rPr>
              <w:t xml:space="preserve"> (identified by the line "Published in Dawn, [date]" on the Dawn.com version, or by the e-paper)</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Clean contrast between an online-only newsroom and a legacy print newspaper; same genre (news reports) and same language on both sides; texts are public and easy to cite</w:t>
            </w:r>
          </w:p>
        </w:tc>
        <w:tc>
          <w:tcPr>
            <w:tcW w:type="dxa" w:w="21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Digital-native outlets are smaller, and their archives must be checked before sampling</w:t>
            </w:r>
          </w:p>
        </w:tc>
      </w:tr>
      <w:tr>
        <w:trPr>
          <w:tblHeader w:val="false"/>
        </w:trPr>
        <w:tc>
          <w:tcPr>
            <w:tcW w:type="dxa" w:w="5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Social-media news posts</w:t>
            </w:r>
            <w:r>
              <w:rPr>
                <w:sz w:val="20"/>
                <w:szCs w:val="20"/>
              </w:rPr>
              <w:t xml:space="preserve"> (e.g. X or Facebook posts) published by verified news organisations</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 print reports</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Captures the "social media" sense of digital media</w:t>
            </w:r>
          </w:p>
        </w:tc>
        <w:tc>
          <w:tcPr>
            <w:tcW w:type="dxa" w:w="21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Posts are a few lines long and articles are hundreds of words long, so the units are hard to compare fairly; posts can be deleted or edited; much harder to analyse at BS level</w:t>
            </w:r>
          </w:p>
        </w:tc>
      </w:tr>
      <w:tr>
        <w:trPr>
          <w:tblHeader w:val="false"/>
        </w:trPr>
        <w:tc>
          <w:tcPr>
            <w:tcW w:type="dxa" w:w="5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's own </w:t>
            </w:r>
            <w:r>
              <w:rPr>
                <w:b/>
                <w:bCs/>
                <w:sz w:val="20"/>
                <w:szCs w:val="20"/>
              </w:rPr>
              <w:t xml:space="preserve">digital</w:t>
            </w:r>
            <w:r>
              <w:rPr>
                <w:sz w:val="20"/>
                <w:szCs w:val="20"/>
              </w:rPr>
              <w:t xml:space="preserve"> output (Dawn.com originals, Dawn's social-media posts)</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's print edition</w:t>
            </w:r>
          </w:p>
        </w:tc>
        <w:tc>
          <w:tcPr>
            <w:tcW w:type="dxa" w:w="21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Same organisation, so the comparison isolates the medium</w:t>
            </w:r>
          </w:p>
        </w:tc>
        <w:tc>
          <w:tcPr>
            <w:tcW w:type="dxa" w:w="21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Changes the meaning of the title ("Dawn vs Dawn"). The supervisor would have to approve a changed topic</w:t>
            </w:r>
          </w:p>
        </w:tc>
      </w:tr>
    </w:tbl>
    <w:p>
      <w:pPr>
        <w:spacing w:after="120"/>
      </w:pPr>
    </w:p>
    <w:p>
      <w:pPr>
        <w:spacing w:after="120" w:line="276"/>
      </w:pPr>
      <w:r>
        <w:rPr>
          <w:b/>
          <w:bCs/>
        </w:rPr>
        <w:t xml:space="preserve">Recommendation: Option A.</w:t>
      </w:r>
      <w:r>
        <w:t xml:space="preserve"> It keeps the central meaning of your approved title, makes the comparison defensible in a viva, and gives you texts of similar length and genre.</w:t>
      </w:r>
    </w:p>
    <w:p>
      <w:pPr>
        <w:spacing w:after="120" w:line="276"/>
      </w:pPr>
      <w:r>
        <w:rPr>
          <w:b/>
          <w:bCs/>
        </w:rPr>
        <w:t xml:space="preserve">Operational definition (Option A):</w:t>
      </w:r>
      <w:r>
        <w:t xml:space="preserve"> </w:t>
      </w:r>
      <w:r>
        <w:rPr>
          <w:i/>
          <w:iCs/>
        </w:rPr>
        <w:t xml:space="preserve">In this study, "digital media" refers to English-language Pakistani news outlets that publish exclusively online and do not produce a print newspaper. "</w:t>
      </w:r>
      <w:r>
        <w:t xml:space="preserve">Dawn</w:t>
      </w:r>
      <w:r>
        <w:rPr>
          <w:i/>
          <w:iCs/>
        </w:rPr>
        <w:t xml:space="preserve">" refers to news reports that appeared in the print edition of the daily</w:t>
      </w:r>
      <w:r>
        <w:t xml:space="preserve"> Dawn.</w:t>
      </w:r>
    </w:p>
    <w:p>
      <w:pPr>
        <w:pBdr>
          <w:bottom w:val="single" w:color="999999" w:sz="6" w:space="1"/>
        </w:pBdr>
        <w:spacing w:after="120"/>
      </w:pPr>
    </w:p>
    <w:p>
      <w:pPr>
        <w:pStyle w:val="Heading2"/>
        <w:keepNext/>
        <w:spacing w:after="120" w:before="240"/>
        <w:jc w:val="left"/>
      </w:pPr>
      <w:r>
        <w:rPr>
          <w:b/>
          <w:bCs/>
          <w:sz w:val="28"/>
          <w:szCs w:val="28"/>
        </w:rPr>
        <w:t xml:space="preserve">2. Choosing one political event</w:t>
      </w:r>
    </w:p>
    <w:p>
      <w:pPr>
        <w:spacing w:after="120" w:line="276"/>
      </w:pPr>
      <w:r>
        <w:t xml:space="preserve">A thesis of about 12,000 words cannot analyse "political coverage" in general. It should study </w:t>
      </w:r>
      <w:r>
        <w:rPr>
          <w:b/>
          <w:bCs/>
        </w:rPr>
        <w:t xml:space="preserve">one event</w:t>
      </w:r>
      <w:r>
        <w:t xml:space="preserve"> in a </w:t>
      </w:r>
      <w:r>
        <w:rPr>
          <w:b/>
          <w:bCs/>
        </w:rPr>
        <w:t xml:space="preserve">short, fixed period</w:t>
      </w:r>
      <w:r>
        <w:t xml:space="preserve">, so that both sides are reporting the same facts and the differences come from language and framing.</w:t>
      </w:r>
    </w:p>
    <w:p>
      <w:pPr>
        <w:spacing w:after="120" w:line="276"/>
      </w:pPr>
      <w:r>
        <w:t xml:space="preserve">Criteria used to compare candidate events:</w:t>
      </w:r>
    </w:p>
    <w:p>
      <w:pPr>
        <w:pStyle w:val="ListParagraph"/>
        <w:numPr>
          <w:ilvl w:val="0"/>
          <w:numId w:val="2"/>
        </w:numPr>
        <w:spacing w:after="120" w:line="276"/>
      </w:pPr>
      <w:r>
        <w:t xml:space="preserve">Covered heavily by both </w:t>
      </w:r>
      <w:r>
        <w:rPr>
          <w:i/>
          <w:iCs/>
        </w:rPr>
        <w:t xml:space="preserve">Dawn</w:t>
      </w:r>
      <w:r>
        <w:t xml:space="preserve"> and digital-native outlets.</w:t>
      </w:r>
    </w:p>
    <w:p>
      <w:pPr>
        <w:pStyle w:val="ListParagraph"/>
        <w:numPr>
          <w:ilvl w:val="0"/>
          <w:numId w:val="2"/>
        </w:numPr>
        <w:spacing w:after="120" w:line="276"/>
      </w:pPr>
      <w:r>
        <w:t xml:space="preserve">Clear political actors: government, opposition, institutions.</w:t>
      </w:r>
    </w:p>
    <w:p>
      <w:pPr>
        <w:pStyle w:val="ListParagraph"/>
        <w:numPr>
          <w:ilvl w:val="0"/>
          <w:numId w:val="2"/>
        </w:numPr>
        <w:spacing w:after="120" w:line="276"/>
      </w:pPr>
      <w:r>
        <w:t xml:space="preserve">Short, well-defined time window.</w:t>
      </w:r>
    </w:p>
    <w:p>
      <w:pPr>
        <w:pStyle w:val="ListParagraph"/>
        <w:numPr>
          <w:ilvl w:val="0"/>
          <w:numId w:val="2"/>
        </w:numPr>
        <w:spacing w:after="120" w:line="276"/>
      </w:pPr>
      <w:r>
        <w:t xml:space="preserve">Already finished, so the coverage is complete and archived.</w:t>
      </w:r>
    </w:p>
    <w:p>
      <w:pPr>
        <w:pStyle w:val="ListParagraph"/>
        <w:numPr>
          <w:ilvl w:val="0"/>
          <w:numId w:val="2"/>
        </w:numPr>
        <w:spacing w:after="120" w:line="276"/>
      </w:pPr>
      <w:r>
        <w:t xml:space="preserve">Manageable sensitivity for a student researcher.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9"/>
        <w:gridCol w:w="2275"/>
        <w:gridCol w:w="2275"/>
        <w:gridCol w:w="2277"/>
      </w:tblGrid>
      <w:tr>
        <w:trPr>
          <w:tblHeader/>
        </w:trPr>
        <w:tc>
          <w:tcPr>
            <w:tcW w:type="dxa" w:w="219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Candidate event</w:t>
            </w:r>
          </w:p>
        </w:tc>
        <w:tc>
          <w:tcPr>
            <w:tcW w:type="dxa" w:w="22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Window</w:t>
            </w:r>
          </w:p>
        </w:tc>
        <w:tc>
          <w:tcPr>
            <w:tcW w:type="dxa" w:w="22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Actors</w:t>
            </w:r>
          </w:p>
        </w:tc>
        <w:tc>
          <w:tcPr>
            <w:tcW w:type="dxa" w:w="22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Comments</w:t>
            </w:r>
          </w:p>
        </w:tc>
      </w:tr>
      <w:tr>
        <w:trPr>
          <w:tblHeader w:val="false"/>
        </w:trPr>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26th Constitutional Amendment (October 2024)</w:t>
            </w:r>
            <w:r>
              <w:rPr>
                <w:sz w:val="20"/>
                <w:szCs w:val="20"/>
              </w:rPr>
              <w:t xml:space="preserve"> — recommended</w:t>
            </w:r>
          </w:p>
        </w:tc>
        <w:tc>
          <w:tcPr>
            <w:tcW w:type="dxa" w:w="2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approx. 14–28 October 2024 (around passage on 20–21 October 2024)</w:t>
            </w:r>
          </w:p>
        </w:tc>
        <w:tc>
          <w:tcPr>
            <w:tcW w:type="dxa" w:w="2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Federal government (PML-N–PPP coalition), JUI-F, PTI opposition, judiciary</w:t>
            </w:r>
          </w:p>
        </w:tc>
        <w:tc>
          <w:tcPr>
            <w:tcW w:type="dxa" w:w="22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 policy and legal event with clear "government vs opposition" framing. Less violent than other events, so lower personal risk. Strong material for agency, attribution and evaluation</w:t>
            </w:r>
          </w:p>
        </w:tc>
      </w:tr>
      <w:tr>
        <w:trPr>
          <w:tblHeader w:val="false"/>
        </w:trPr>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February 2024 general election and results dispute</w:t>
            </w:r>
          </w:p>
        </w:tc>
        <w:tc>
          <w:tcPr>
            <w:tcW w:type="dxa" w:w="2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approx. 8–22 February 2024</w:t>
            </w:r>
          </w:p>
        </w:tc>
        <w:tc>
          <w:tcPr>
            <w:tcW w:type="dxa" w:w="2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ECP, PTI-backed independents, PML-N, PPP</w:t>
            </w:r>
          </w:p>
        </w:tc>
        <w:tc>
          <w:tcPr>
            <w:tcW w:type="dxa" w:w="22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Very rich coverage. However, the volume is huge and allegations of rigging make it highly contested; quotations need very careful handling</w:t>
            </w:r>
          </w:p>
        </w:tc>
      </w:tr>
      <w:tr>
        <w:trPr>
          <w:tblHeader w:val="false"/>
        </w:trPr>
        <w:tc>
          <w:tcPr>
            <w:tcW w:type="dxa" w:w="21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PTI protest march on Islamabad (November 2024)</w:t>
            </w:r>
          </w:p>
        </w:tc>
        <w:tc>
          <w:tcPr>
            <w:tcW w:type="dxa" w:w="2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approx. 24–28 November 2024</w:t>
            </w:r>
          </w:p>
        </w:tc>
        <w:tc>
          <w:tcPr>
            <w:tcW w:type="dxa" w:w="2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PTI, federal government, law-enforcement agencies</w:t>
            </w:r>
          </w:p>
        </w:tc>
        <w:tc>
          <w:tcPr>
            <w:tcW w:type="dxa" w:w="22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Strong discourse of conflict, but it involves violence and security institutions, so it is more sensitive for a student</w:t>
            </w:r>
          </w:p>
        </w:tc>
      </w:tr>
    </w:tbl>
    <w:p>
      <w:pPr>
        <w:spacing w:after="120"/>
      </w:pPr>
    </w:p>
    <w:p>
      <w:pPr>
        <w:spacing w:after="120" w:line="276"/>
      </w:pPr>
      <w:r>
        <w:rPr>
          <w:b/>
          <w:bCs/>
        </w:rPr>
        <w:t xml:space="preserve">Recommendation: the 26th Constitutional Amendment.</w:t>
      </w:r>
      <w:r>
        <w:t xml:space="preserve"> Note that my knowledge of events after mid-2026 is limited. If you or your supervisor prefer a more recent event, tell me which one, and I will check whether it meets the five criteria.</w:t>
      </w:r>
    </w:p>
    <w:p>
      <w:pPr>
        <w:spacing w:after="120" w:line="276"/>
      </w:pPr>
      <w:r>
        <w:rPr>
          <w:i/>
          <w:iCs/>
        </w:rPr>
        <w:t xml:space="preserve">All dates above will be checked against the actual news archives in Stage 3 before they are used in the thesis.</w:t>
      </w:r>
    </w:p>
    <w:p>
      <w:pPr>
        <w:pBdr>
          <w:bottom w:val="single" w:color="999999" w:sz="6" w:space="1"/>
        </w:pBdr>
        <w:spacing w:after="120"/>
      </w:pPr>
    </w:p>
    <w:p>
      <w:pPr>
        <w:pStyle w:val="Heading2"/>
        <w:keepNext/>
        <w:spacing w:after="120" w:before="240"/>
        <w:jc w:val="left"/>
      </w:pPr>
      <w:r>
        <w:rPr>
          <w:b/>
          <w:bCs/>
          <w:sz w:val="28"/>
          <w:szCs w:val="28"/>
        </w:rPr>
        <w:t xml:space="preserve">3. Proposed corpus (to be confirmed in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tblHeader/>
        </w:trPr>
        <w:tc>
          <w:tcPr>
            <w:tcW w:type="dxa" w:w="150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Feature</w:t>
            </w:r>
          </w:p>
        </w:tc>
        <w:tc>
          <w:tcPr>
            <w:tcW w:type="dxa" w:w="752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Proposal</w:t>
            </w:r>
          </w:p>
        </w:tc>
      </w:tr>
      <w:tr>
        <w:trPr>
          <w:tblHeader w:val="false"/>
        </w:trPr>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Genre</w:t>
            </w:r>
          </w:p>
        </w:tc>
        <w:tc>
          <w:tcPr>
            <w:tcW w:type="dxa" w:w="75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Hard news reports only</w:t>
            </w:r>
            <w:r>
              <w:rPr>
                <w:sz w:val="20"/>
                <w:szCs w:val="20"/>
              </w:rPr>
              <w:t xml:space="preserve"> (with their headlines). Editorials and opinion columns are excluded, because digital-native outlets may not publish editorials in the same way, and mixing genres would make the comparison unfair</w:t>
            </w:r>
          </w:p>
        </w:tc>
      </w:tr>
      <w:tr>
        <w:trPr>
          <w:tblHeader w:val="false"/>
        </w:trPr>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Digital side</w:t>
            </w:r>
          </w:p>
        </w:tc>
        <w:tc>
          <w:tcPr>
            <w:tcW w:type="dxa" w:w="75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2 digital-native outlets × 4 reports = 8 texts</w:t>
            </w:r>
          </w:p>
        </w:tc>
      </w:tr>
      <w:tr>
        <w:trPr>
          <w:tblHeader w:val="false"/>
        </w:trPr>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 side</w:t>
            </w:r>
          </w:p>
        </w:tc>
        <w:tc>
          <w:tcPr>
            <w:tcW w:type="dxa" w:w="75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8 print-edition reports</w:t>
            </w:r>
          </w:p>
        </w:tc>
      </w:tr>
      <w:tr>
        <w:trPr>
          <w:tblHeader w:val="false"/>
        </w:trPr>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Total</w:t>
            </w:r>
          </w:p>
        </w:tc>
        <w:tc>
          <w:tcPr>
            <w:tcW w:type="dxa" w:w="75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16 texts</w:t>
            </w:r>
            <w:r>
              <w:rPr>
                <w:sz w:val="20"/>
                <w:szCs w:val="20"/>
              </w:rPr>
              <w:t xml:space="preserve"> (roughly 8,000–12,000 words of data). This is large enough to show patterns and small enough for close CDA at BS level</w:t>
            </w:r>
          </w:p>
        </w:tc>
      </w:tr>
      <w:tr>
        <w:trPr>
          <w:tblHeader w:val="false"/>
        </w:trPr>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Matching</w:t>
            </w:r>
          </w:p>
        </w:tc>
        <w:tc>
          <w:tcPr>
            <w:tcW w:type="dxa" w:w="75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Where possible, each digital report will be paired with a </w:t>
            </w:r>
            <w:r>
              <w:rPr>
                <w:i/>
                <w:iCs/>
                <w:sz w:val="20"/>
                <w:szCs w:val="20"/>
              </w:rPr>
              <w:t xml:space="preserve">Dawn</w:t>
            </w:r>
            <w:r>
              <w:rPr>
                <w:sz w:val="20"/>
                <w:szCs w:val="20"/>
              </w:rPr>
              <w:t xml:space="preserve"> report on the </w:t>
            </w:r>
            <w:r>
              <w:rPr>
                <w:b/>
                <w:bCs/>
                <w:sz w:val="20"/>
                <w:szCs w:val="20"/>
              </w:rPr>
              <w:t xml:space="preserve">same development</w:t>
            </w:r>
            <w:r>
              <w:rPr>
                <w:sz w:val="20"/>
                <w:szCs w:val="20"/>
              </w:rPr>
              <w:t xml:space="preserve"> (same day or ±1 day)</w:t>
            </w:r>
          </w:p>
        </w:tc>
      </w:tr>
      <w:tr>
        <w:trPr>
          <w:tblHeader w:val="false"/>
        </w:trPr>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Sampling</w:t>
            </w:r>
          </w:p>
        </w:tc>
        <w:tc>
          <w:tcPr>
            <w:tcW w:type="dxa" w:w="75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Purposive sampling</w:t>
            </w:r>
            <w:r>
              <w:rPr>
                <w:sz w:val="20"/>
                <w:szCs w:val="20"/>
              </w:rPr>
              <w:t xml:space="preserve"> (texts are chosen because they meet set criteria, not at random)</w:t>
            </w:r>
          </w:p>
        </w:tc>
      </w:tr>
    </w:tbl>
    <w:p>
      <w:pPr>
        <w:spacing w:after="120"/>
      </w:pPr>
    </w:p>
    <w:p>
      <w:pPr>
        <w:spacing w:after="120" w:line="276"/>
      </w:pPr>
      <w:r>
        <w:rPr>
          <w:b/>
          <w:bCs/>
        </w:rPr>
        <w:t xml:space="preserve">Candidate digital-native outlets</w:t>
      </w:r>
      <w:r>
        <w:t xml:space="preserve"> (examples only; none are selected yet): </w:t>
      </w:r>
      <w:r>
        <w:rPr>
          <w:i/>
          <w:iCs/>
        </w:rPr>
        <w:t xml:space="preserve">Naya Daur</w:t>
      </w:r>
      <w:r>
        <w:t xml:space="preserve">, </w:t>
      </w:r>
      <w:r>
        <w:rPr>
          <w:i/>
          <w:iCs/>
        </w:rPr>
        <w:t xml:space="preserve">The Current</w:t>
      </w:r>
      <w:r>
        <w:t xml:space="preserve">, </w:t>
      </w:r>
      <w:r>
        <w:rPr>
          <w:i/>
          <w:iCs/>
        </w:rPr>
        <w:t xml:space="preserve">Voicepk.net</w:t>
      </w:r>
      <w:r>
        <w:t xml:space="preserve">. Each must be checked in Stage 3 for: (a) English language, (b) online-only status, (c) original reporting rather than copied wire stories, (d) accessible archive for the chosen dates. </w:t>
      </w:r>
      <w:r>
        <w:rPr>
          <w:b/>
          <w:bCs/>
        </w:rPr>
        <w:t xml:space="preserve">I will not select any outlet until you approve it.</w:t>
      </w:r>
    </w:p>
    <w:p>
      <w:pPr>
        <w:spacing w:after="120" w:line="276"/>
      </w:pPr>
      <w:r>
        <w:rPr>
          <w:b/>
          <w:bCs/>
        </w:rPr>
        <w:t xml:space="preserve">Draft inclusion criteria:</w:t>
      </w:r>
      <w:r>
        <w:t xml:space="preserve"> English language; published within the time window; a news report whose main topic is the selected event; at least 300 words; publicly accessible; author/date/URL traceable.</w:t>
      </w:r>
    </w:p>
    <w:p>
      <w:pPr>
        <w:spacing w:after="120" w:line="276"/>
      </w:pPr>
      <w:r>
        <w:rPr>
          <w:b/>
          <w:bCs/>
        </w:rPr>
        <w:t xml:space="preserve">Draft exclusion criteria:</w:t>
      </w:r>
      <w:r>
        <w:t xml:space="preserve"> opinion columns, editorials, letters, videos-only pages, live blogs, reports copied word-for-word from agencies (APP, Reuters) unless both sides use the same wire copy, items under 300 words.</w:t>
      </w:r>
    </w:p>
    <w:p>
      <w:pPr>
        <w:pBdr>
          <w:bottom w:val="single" w:color="999999" w:sz="6" w:space="1"/>
        </w:pBdr>
        <w:spacing w:after="120"/>
      </w:pPr>
    </w:p>
    <w:p>
      <w:pPr>
        <w:pStyle w:val="Heading2"/>
        <w:keepNext/>
        <w:spacing w:after="120" w:before="240"/>
        <w:jc w:val="left"/>
      </w:pPr>
      <w:r>
        <w:rPr>
          <w:b/>
          <w:bCs/>
          <w:sz w:val="28"/>
          <w:szCs w:val="28"/>
        </w:rPr>
        <w:t xml:space="preserve">4. Draft statement of the problem</w:t>
      </w:r>
    </w:p>
    <w:p>
      <w:pPr>
        <w:spacing w:after="120" w:line="276"/>
      </w:pPr>
      <w:r>
        <w:t xml:space="preserve">&gt; Pakistani readers now receive political news from two very different kinds of newsroom: long-established newspapers such as </w:t>
      </w:r>
      <w:r>
        <w:rPr>
          <w:i/>
          <w:iCs/>
        </w:rPr>
        <w:t xml:space="preserve">Dawn</w:t>
      </w:r>
      <w:r>
        <w:t xml:space="preserve">, with an editorial tradition shaped by print, and newer outlets that exist only online. Research on Pakistani news discourse has largely examined print newspapers, often comparing English and Urdu dailies, while the language of digital-native outlets has received far less systematic attention. As a result, it is not clear whether these outlets construct political actors and events differently from a legacy newspaper, or whether they reproduce the same patterns of attribution, evaluation and framing. This study addresses that gap by comparing how selected digital-native outlets and </w:t>
      </w:r>
      <w:r>
        <w:rPr>
          <w:i/>
          <w:iCs/>
        </w:rPr>
        <w:t xml:space="preserve">Dawn</w:t>
      </w:r>
      <w:r>
        <w:t xml:space="preserve"> represented [the selected event], using Critical Discourse Analysis to examine both the linguistic choices in the texts and the institutional and social conditions in which they were produced.</w:t>
      </w:r>
    </w:p>
    <w:p>
      <w:pPr>
        <w:spacing w:after="120" w:line="276"/>
      </w:pPr>
      <w:r>
        <w:rPr>
          <w:i/>
          <w:iCs/>
        </w:rPr>
        <w:t xml:space="preserve">The claim that digital-native outlets have received less attention is a working assumption. It must be confirmed by the literature search in Stage 4. If the search shows otherwise, this paragraph will be rewritten.</w:t>
      </w:r>
    </w:p>
    <w:p>
      <w:pPr>
        <w:pBdr>
          <w:bottom w:val="single" w:color="999999" w:sz="6" w:space="1"/>
        </w:pBdr>
        <w:spacing w:after="120"/>
      </w:pPr>
    </w:p>
    <w:p>
      <w:pPr>
        <w:pStyle w:val="Heading2"/>
        <w:keepNext/>
        <w:spacing w:after="120" w:before="240"/>
        <w:jc w:val="left"/>
      </w:pPr>
      <w:r>
        <w:rPr>
          <w:b/>
          <w:bCs/>
          <w:sz w:val="28"/>
          <w:szCs w:val="28"/>
        </w:rPr>
        <w:t xml:space="preserve">5. Research objectives and research questions</w:t>
      </w:r>
    </w:p>
    <w:p>
      <w:pPr>
        <w:spacing w:after="120" w:line="276"/>
      </w:pPr>
      <w:r>
        <w:t xml:space="preserve">Each objective corresponds to one question, as the supervisor's guidance requires (D2, slide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7"/>
        <w:gridCol w:w="4134"/>
        <w:gridCol w:w="4135"/>
      </w:tblGrid>
      <w:tr>
        <w:trPr>
          <w:tblHeader/>
        </w:trPr>
        <w:tc>
          <w:tcPr>
            <w:tcW w:type="dxa" w:w="75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413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Research objective</w:t>
            </w:r>
          </w:p>
        </w:tc>
        <w:tc>
          <w:tcPr>
            <w:tcW w:type="dxa" w:w="413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Research question</w:t>
            </w:r>
          </w:p>
        </w:tc>
      </w:tr>
      <w:tr>
        <w:trPr>
          <w:tblHeader w:val="false"/>
        </w:trPr>
        <w:tc>
          <w:tcPr>
            <w:tcW w:type="dxa" w:w="7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w:t>
            </w:r>
          </w:p>
        </w:tc>
        <w:tc>
          <w:tcPr>
            <w:tcW w:type="dxa" w:w="41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 </w:t>
            </w:r>
            <w:r>
              <w:rPr>
                <w:b/>
                <w:bCs/>
                <w:sz w:val="20"/>
                <w:szCs w:val="20"/>
              </w:rPr>
              <w:t xml:space="preserve">examine</w:t>
            </w:r>
            <w:r>
              <w:rPr>
                <w:sz w:val="20"/>
                <w:szCs w:val="20"/>
              </w:rPr>
              <w:t xml:space="preserve"> how the selected digital-native outlets and </w:t>
            </w:r>
            <w:r>
              <w:rPr>
                <w:i/>
                <w:iCs/>
                <w:sz w:val="20"/>
                <w:szCs w:val="20"/>
              </w:rPr>
              <w:t xml:space="preserve">Dawn</w:t>
            </w:r>
            <w:r>
              <w:rPr>
                <w:sz w:val="20"/>
                <w:szCs w:val="20"/>
              </w:rPr>
              <w:t xml:space="preserve"> represent the main political actors involved in [the event]</w:t>
            </w:r>
          </w:p>
        </w:tc>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How are the main political actors represented in the selected digital-native and </w:t>
            </w:r>
            <w:r>
              <w:rPr>
                <w:i/>
                <w:iCs/>
                <w:sz w:val="20"/>
                <w:szCs w:val="20"/>
              </w:rPr>
              <w:t xml:space="preserve">Dawn</w:t>
            </w:r>
            <w:r>
              <w:rPr>
                <w:sz w:val="20"/>
                <w:szCs w:val="20"/>
              </w:rPr>
              <w:t xml:space="preserve"> news reports, in terms of naming, description and agency?</w:t>
            </w:r>
          </w:p>
        </w:tc>
      </w:tr>
      <w:tr>
        <w:trPr>
          <w:tblHeader w:val="false"/>
        </w:trPr>
        <w:tc>
          <w:tcPr>
            <w:tcW w:type="dxa" w:w="7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w:t>
            </w:r>
          </w:p>
        </w:tc>
        <w:tc>
          <w:tcPr>
            <w:tcW w:type="dxa" w:w="41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 </w:t>
            </w:r>
            <w:r>
              <w:rPr>
                <w:b/>
                <w:bCs/>
                <w:sz w:val="20"/>
                <w:szCs w:val="20"/>
              </w:rPr>
              <w:t xml:space="preserve">identify</w:t>
            </w:r>
            <w:r>
              <w:rPr>
                <w:sz w:val="20"/>
                <w:szCs w:val="20"/>
              </w:rPr>
              <w:t xml:space="preserve"> the linguistic and discursive strategies used to frame [the event] in headlines and news reports</w:t>
            </w:r>
          </w:p>
        </w:tc>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What linguistic and discursive strategies (lexical choice, headline structure, transitivity, attribution and quotation) are used to frame [the event] in the two sets of texts?</w:t>
            </w:r>
          </w:p>
        </w:tc>
      </w:tr>
      <w:tr>
        <w:trPr>
          <w:tblHeader w:val="false"/>
        </w:trPr>
        <w:tc>
          <w:tcPr>
            <w:tcW w:type="dxa" w:w="7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3</w:t>
            </w:r>
          </w:p>
        </w:tc>
        <w:tc>
          <w:tcPr>
            <w:tcW w:type="dxa" w:w="41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 </w:t>
            </w:r>
            <w:r>
              <w:rPr>
                <w:b/>
                <w:bCs/>
                <w:sz w:val="20"/>
                <w:szCs w:val="20"/>
              </w:rPr>
              <w:t xml:space="preserve">compare</w:t>
            </w:r>
            <w:r>
              <w:rPr>
                <w:sz w:val="20"/>
                <w:szCs w:val="20"/>
              </w:rPr>
              <w:t xml:space="preserve"> the similarities and differences between the two sets of texts</w:t>
            </w:r>
          </w:p>
        </w:tc>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What similarities and differences emerge between the digital-native and </w:t>
            </w:r>
            <w:r>
              <w:rPr>
                <w:i/>
                <w:iCs/>
                <w:sz w:val="20"/>
                <w:szCs w:val="20"/>
              </w:rPr>
              <w:t xml:space="preserve">Dawn</w:t>
            </w:r>
            <w:r>
              <w:rPr>
                <w:sz w:val="20"/>
                <w:szCs w:val="20"/>
              </w:rPr>
              <w:t xml:space="preserve"> coverage in evaluation, source selection and framing?</w:t>
            </w:r>
          </w:p>
        </w:tc>
      </w:tr>
      <w:tr>
        <w:trPr>
          <w:tblHeader w:val="false"/>
        </w:trPr>
        <w:tc>
          <w:tcPr>
            <w:tcW w:type="dxa" w:w="7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4</w:t>
            </w:r>
          </w:p>
        </w:tc>
        <w:tc>
          <w:tcPr>
            <w:tcW w:type="dxa" w:w="41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 </w:t>
            </w:r>
            <w:r>
              <w:rPr>
                <w:b/>
                <w:bCs/>
                <w:sz w:val="20"/>
                <w:szCs w:val="20"/>
              </w:rPr>
              <w:t xml:space="preserve">interpret</w:t>
            </w:r>
            <w:r>
              <w:rPr>
                <w:sz w:val="20"/>
                <w:szCs w:val="20"/>
              </w:rPr>
              <w:t xml:space="preserve"> the ideological implications of these choices in their institutional and social context</w:t>
            </w:r>
          </w:p>
        </w:tc>
        <w:tc>
          <w:tcPr>
            <w:tcW w:type="dxa" w:w="41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What ideological positions, if any, are supported by the textual evidence, and how can they be explained by the conditions in which each type of outlet produces news?</w:t>
            </w:r>
          </w:p>
        </w:tc>
      </w:tr>
    </w:tbl>
    <w:p>
      <w:pPr>
        <w:spacing w:after="120"/>
      </w:pPr>
    </w:p>
    <w:p>
      <w:pPr>
        <w:spacing w:after="120" w:line="276"/>
      </w:pPr>
      <w:r>
        <w:rPr>
          <w:b/>
          <w:bCs/>
        </w:rPr>
        <w:t xml:space="preserve">Why the wording is cautious:</w:t>
      </w:r>
      <w:r>
        <w:t xml:space="preserve"> RQ4 says "if any" and "supported by the textual evidence". This protects you from assuming bias before you have analysed the data, which examiners look for in a CDA thesis.</w:t>
      </w:r>
    </w:p>
    <w:p>
      <w:pPr>
        <w:pBdr>
          <w:bottom w:val="single" w:color="999999" w:sz="6" w:space="1"/>
        </w:pBdr>
        <w:spacing w:after="120"/>
      </w:pPr>
    </w:p>
    <w:p>
      <w:pPr>
        <w:pStyle w:val="Heading2"/>
        <w:keepNext/>
        <w:spacing w:after="120" w:before="240"/>
        <w:jc w:val="left"/>
      </w:pPr>
      <w:r>
        <w:rPr>
          <w:b/>
          <w:bCs/>
          <w:sz w:val="28"/>
          <w:szCs w:val="28"/>
        </w:rPr>
        <w:t xml:space="preserve">6. Theoretical framework</w:t>
      </w:r>
    </w:p>
    <w:p>
      <w:pPr>
        <w:spacing w:after="120" w:line="276"/>
      </w:pPr>
      <w:r>
        <w:rPr>
          <w:b/>
          <w:bCs/>
        </w:rPr>
        <w:t xml:space="preserve">Main framework: Norman Fairclough's three-dimensional model of Critical Discourse Analysis.</w:t>
      </w:r>
      <w:r>
        <w:t xml:space="preserve"> It is one framework with three levels, and each level matches part of the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0"/>
        <w:gridCol w:w="4367"/>
        <w:gridCol w:w="2039"/>
      </w:tblGrid>
      <w:tr>
        <w:trPr>
          <w:tblHeader/>
        </w:trPr>
        <w:tc>
          <w:tcPr>
            <w:tcW w:type="dxa" w:w="26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Fairclough's dimension</w:t>
            </w:r>
          </w:p>
        </w:tc>
        <w:tc>
          <w:tcPr>
            <w:tcW w:type="dxa" w:w="436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What it examines</w:t>
            </w:r>
          </w:p>
        </w:tc>
        <w:tc>
          <w:tcPr>
            <w:tcW w:type="dxa" w:w="20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Research question it answers</w:t>
            </w:r>
          </w:p>
        </w:tc>
      </w:tr>
      <w:tr>
        <w:trPr>
          <w:tblHeader w:val="false"/>
        </w:trPr>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Text</w:t>
            </w:r>
            <w:r>
              <w:rPr>
                <w:sz w:val="20"/>
                <w:szCs w:val="20"/>
              </w:rPr>
              <w:t xml:space="preserve"> (description)</w:t>
            </w:r>
          </w:p>
        </w:tc>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Vocabulary, grammar (e.g. active/passive), headlines, quotation</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RQ1, RQ2</w:t>
            </w:r>
          </w:p>
        </w:tc>
      </w:tr>
      <w:tr>
        <w:trPr>
          <w:tblHeader w:val="false"/>
        </w:trPr>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Discursive practice</w:t>
            </w:r>
            <w:r>
              <w:rPr>
                <w:sz w:val="20"/>
                <w:szCs w:val="20"/>
              </w:rPr>
              <w:t xml:space="preserve"> (interpretation)</w:t>
            </w:r>
          </w:p>
        </w:tc>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How the text is produced and consumed: sources quoted, intertextuality, online vs print production routines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RQ2, RQ3</w:t>
            </w:r>
          </w:p>
        </w:tc>
      </w:tr>
      <w:tr>
        <w:trPr>
          <w:tblHeader w:val="false"/>
        </w:trPr>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Social practice</w:t>
            </w:r>
            <w:r>
              <w:rPr>
                <w:sz w:val="20"/>
                <w:szCs w:val="20"/>
              </w:rPr>
              <w:t xml:space="preserve"> (explanation)</w:t>
            </w:r>
          </w:p>
        </w:tc>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How the discourse relates to power, ideology and the political context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RQ4</w:t>
            </w:r>
          </w:p>
        </w:tc>
      </w:tr>
    </w:tbl>
    <w:p>
      <w:pPr>
        <w:spacing w:after="120"/>
      </w:pPr>
    </w:p>
    <w:p>
      <w:pPr>
        <w:spacing w:after="120" w:line="276"/>
      </w:pPr>
      <w:r>
        <w:rPr>
          <w:b/>
          <w:bCs/>
        </w:rPr>
        <w:t xml:space="preserve">Supporting concept: Teun A. van Dijk's "ideological square".</w:t>
      </w:r>
      <w:r>
        <w:t xml:space="preserve"> This is the pattern of emphasising positive things about "us" and negative things about "them", and playing down the reverse. It is used </w:t>
      </w:r>
      <w:r>
        <w:rPr>
          <w:b/>
          <w:bCs/>
        </w:rPr>
        <w:t xml:space="preserve">only</w:t>
      </w:r>
      <w:r>
        <w:t xml:space="preserve"> at the third level, as a tool for checking whether ideological polarisation is present. It is not a second framework.</w:t>
      </w:r>
    </w:p>
    <w:p>
      <w:pPr>
        <w:spacing w:after="120" w:line="276"/>
      </w:pPr>
      <w:r>
        <w:rPr>
          <w:b/>
          <w:bCs/>
        </w:rPr>
        <w:t xml:space="preserve">Analytical tools taken from these frameworks:</w:t>
      </w:r>
    </w:p>
    <w:p>
      <w:pPr>
        <w:pStyle w:val="ListParagraph"/>
        <w:numPr>
          <w:ilvl w:val="0"/>
          <w:numId w:val="3"/>
        </w:numPr>
        <w:spacing w:after="120" w:line="276"/>
      </w:pPr>
      <w:r>
        <w:t xml:space="preserve">Nomination (how actors are named) and predication (what qualities are attributed to them)</w:t>
      </w:r>
    </w:p>
    <w:p>
      <w:pPr>
        <w:pStyle w:val="ListParagraph"/>
        <w:numPr>
          <w:ilvl w:val="0"/>
          <w:numId w:val="3"/>
        </w:numPr>
        <w:spacing w:after="120" w:line="276"/>
      </w:pPr>
      <w:r>
        <w:t xml:space="preserve">Transitivity and agency (who does what to whom; active vs passive; nominalisation)</w:t>
      </w:r>
    </w:p>
    <w:p>
      <w:pPr>
        <w:pStyle w:val="ListParagraph"/>
        <w:numPr>
          <w:ilvl w:val="0"/>
          <w:numId w:val="3"/>
        </w:numPr>
        <w:spacing w:after="120" w:line="276"/>
      </w:pPr>
      <w:r>
        <w:t xml:space="preserve">Lexical evaluation (positive or negative word choice)</w:t>
      </w:r>
    </w:p>
    <w:p>
      <w:pPr>
        <w:pStyle w:val="ListParagraph"/>
        <w:numPr>
          <w:ilvl w:val="0"/>
          <w:numId w:val="3"/>
        </w:numPr>
        <w:spacing w:after="120" w:line="276"/>
      </w:pPr>
      <w:r>
        <w:t xml:space="preserve">Headline structure and emphasis</w:t>
      </w:r>
    </w:p>
    <w:p>
      <w:pPr>
        <w:pStyle w:val="ListParagraph"/>
        <w:numPr>
          <w:ilvl w:val="0"/>
          <w:numId w:val="3"/>
        </w:numPr>
        <w:spacing w:after="120" w:line="276"/>
      </w:pPr>
      <w:r>
        <w:t xml:space="preserve">Attribution and source selection (who is quoted, how reporting verbs are chosen: </w:t>
      </w:r>
      <w:r>
        <w:rPr>
          <w:i/>
          <w:iCs/>
        </w:rPr>
        <w:t xml:space="preserve">said / claimed / admitted</w:t>
      </w:r>
      <w:r>
        <w:t xml:space="preserve">)</w:t>
      </w:r>
    </w:p>
    <w:p>
      <w:pPr>
        <w:pStyle w:val="ListParagraph"/>
        <w:numPr>
          <w:ilvl w:val="0"/>
          <w:numId w:val="3"/>
        </w:numPr>
        <w:spacing w:after="120" w:line="276"/>
      </w:pPr>
      <w:r>
        <w:t xml:space="preserve">Presupposition, metaphor and intertextuality</w:t>
      </w:r>
    </w:p>
    <w:p>
      <w:pPr>
        <w:spacing w:after="120" w:line="276"/>
      </w:pPr>
      <w:r>
        <w:rPr>
          <w:b/>
          <w:bCs/>
        </w:rPr>
        <w:t xml:space="preserve">Why not more theories?</w:t>
      </w:r>
      <w:r>
        <w:t xml:space="preserve"> Using Fairclough, van Dijk, Wodak and framing theory as four full frameworks would look impressive but would be shallow at BS level. One main model and one supporting concept is easier to apply consistently and easier to defend in a viva.</w:t>
      </w:r>
    </w:p>
    <w:p>
      <w:pPr>
        <w:spacing w:after="120" w:line="276"/>
      </w:pPr>
      <w:r>
        <w:rPr>
          <w:b/>
          <w:bCs/>
        </w:rPr>
        <w:t xml:space="preserve">Key sources to be verified in Stage 4</w:t>
      </w:r>
      <w:r>
        <w:t xml:space="preserve"> (the bibliographic details are from my knowledge and must be checked before they go in the thesis):</w:t>
      </w:r>
    </w:p>
    <w:p>
      <w:pPr>
        <w:pStyle w:val="ListParagraph"/>
        <w:numPr>
          <w:ilvl w:val="0"/>
          <w:numId w:val="3"/>
        </w:numPr>
        <w:spacing w:after="120" w:line="276"/>
      </w:pPr>
      <w:r>
        <w:t xml:space="preserve">Fairclough, N. (1989). </w:t>
      </w:r>
      <w:r>
        <w:rPr>
          <w:i/>
          <w:iCs/>
        </w:rPr>
        <w:t xml:space="preserve">Language and power</w:t>
      </w:r>
      <w:r>
        <w:t xml:space="preserve">. Longman.</w:t>
      </w:r>
    </w:p>
    <w:p>
      <w:pPr>
        <w:pStyle w:val="ListParagraph"/>
        <w:numPr>
          <w:ilvl w:val="0"/>
          <w:numId w:val="3"/>
        </w:numPr>
        <w:spacing w:after="120" w:line="276"/>
      </w:pPr>
      <w:r>
        <w:t xml:space="preserve">Fairclough, N. (1992). </w:t>
      </w:r>
      <w:r>
        <w:rPr>
          <w:i/>
          <w:iCs/>
        </w:rPr>
        <w:t xml:space="preserve">Discourse and social change</w:t>
      </w:r>
      <w:r>
        <w:t xml:space="preserve">. Polity Press.</w:t>
      </w:r>
    </w:p>
    <w:p>
      <w:pPr>
        <w:pStyle w:val="ListParagraph"/>
        <w:numPr>
          <w:ilvl w:val="0"/>
          <w:numId w:val="3"/>
        </w:numPr>
        <w:spacing w:after="120" w:line="276"/>
      </w:pPr>
      <w:r>
        <w:t xml:space="preserve">Fairclough, N. (1995). </w:t>
      </w:r>
      <w:r>
        <w:rPr>
          <w:i/>
          <w:iCs/>
        </w:rPr>
        <w:t xml:space="preserve">Media discourse</w:t>
      </w:r>
      <w:r>
        <w:t xml:space="preserve">. Edward Arnold.</w:t>
      </w:r>
    </w:p>
    <w:p>
      <w:pPr>
        <w:pStyle w:val="ListParagraph"/>
        <w:numPr>
          <w:ilvl w:val="0"/>
          <w:numId w:val="3"/>
        </w:numPr>
        <w:spacing w:after="120" w:line="276"/>
      </w:pPr>
      <w:r>
        <w:t xml:space="preserve">van Dijk, T. A. (1988). </w:t>
      </w:r>
      <w:r>
        <w:rPr>
          <w:i/>
          <w:iCs/>
        </w:rPr>
        <w:t xml:space="preserve">News as discourse</w:t>
      </w:r>
      <w:r>
        <w:t xml:space="preserve">. Lawrence Erlbaum.</w:t>
      </w:r>
    </w:p>
    <w:p>
      <w:pPr>
        <w:pStyle w:val="ListParagraph"/>
        <w:numPr>
          <w:ilvl w:val="0"/>
          <w:numId w:val="3"/>
        </w:numPr>
        <w:spacing w:after="120" w:line="276"/>
      </w:pPr>
      <w:r>
        <w:t xml:space="preserve">van Dijk, T. A. (1998). </w:t>
      </w:r>
      <w:r>
        <w:rPr>
          <w:i/>
          <w:iCs/>
        </w:rPr>
        <w:t xml:space="preserve">Ideology: A multidisciplinary approach</w:t>
      </w:r>
      <w:r>
        <w:t xml:space="preserve">. Sage.</w:t>
      </w:r>
    </w:p>
    <w:p>
      <w:pPr>
        <w:pStyle w:val="ListParagraph"/>
        <w:numPr>
          <w:ilvl w:val="0"/>
          <w:numId w:val="3"/>
        </w:numPr>
        <w:spacing w:after="120" w:line="276"/>
      </w:pPr>
      <w:r>
        <w:t xml:space="preserve">Entman, R. M. (1993). Framing: Toward clarification of a fractured paradigm. </w:t>
      </w:r>
      <w:r>
        <w:rPr>
          <w:i/>
          <w:iCs/>
        </w:rPr>
        <w:t xml:space="preserve">Journal of Communication, 43</w:t>
      </w:r>
      <w:r>
        <w:t xml:space="preserve">(4), 51–58.</w:t>
      </w:r>
    </w:p>
    <w:p>
      <w:pPr>
        <w:pStyle w:val="ListParagraph"/>
        <w:numPr>
          <w:ilvl w:val="0"/>
          <w:numId w:val="3"/>
        </w:numPr>
        <w:spacing w:after="120" w:line="276"/>
      </w:pPr>
      <w:r>
        <w:t xml:space="preserve">Reisigl, M., &amp; Wodak, R. (2001). </w:t>
      </w:r>
      <w:r>
        <w:rPr>
          <w:i/>
          <w:iCs/>
        </w:rPr>
        <w:t xml:space="preserve">Discourse and discrimination</w:t>
      </w:r>
      <w:r>
        <w:t xml:space="preserve">. Routledge. (Source of nomination/predication terms.)</w:t>
      </w:r>
    </w:p>
    <w:p>
      <w:pPr>
        <w:spacing w:after="120" w:line="276"/>
      </w:pPr>
      <w:r>
        <w:t xml:space="preserve">Pakistani CDA studies will be found and verified in Stage 4. None are cited here, because I will not cite a study I have not confirmed exists.</w:t>
      </w:r>
    </w:p>
    <w:p>
      <w:pPr>
        <w:pBdr>
          <w:bottom w:val="single" w:color="999999" w:sz="6" w:space="1"/>
        </w:pBdr>
        <w:spacing w:after="120"/>
      </w:pPr>
    </w:p>
    <w:p>
      <w:pPr>
        <w:pStyle w:val="Heading2"/>
        <w:keepNext/>
        <w:spacing w:after="120" w:before="240"/>
        <w:jc w:val="left"/>
      </w:pPr>
      <w:r>
        <w:rPr>
          <w:b/>
          <w:bCs/>
          <w:sz w:val="28"/>
          <w:szCs w:val="28"/>
        </w:rPr>
        <w:t xml:space="preserve">7. Preliminary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2"/>
        <w:gridCol w:w="7034"/>
      </w:tblGrid>
      <w:tr>
        <w:trPr>
          <w:tblHeader/>
        </w:trPr>
        <w:tc>
          <w:tcPr>
            <w:tcW w:type="dxa" w:w="19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Element</w:t>
            </w:r>
          </w:p>
        </w:tc>
        <w:tc>
          <w:tcPr>
            <w:tcW w:type="dxa" w:w="703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Proposal</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Research approach</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Qualitative</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Research design</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Comparative Critical Discourse Analysis</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Population</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All English-language news reports on [the event] published by </w:t>
            </w:r>
            <w:r>
              <w:rPr>
                <w:i/>
                <w:iCs/>
                <w:sz w:val="20"/>
                <w:szCs w:val="20"/>
              </w:rPr>
              <w:t xml:space="preserve">Dawn</w:t>
            </w:r>
            <w:r>
              <w:rPr>
                <w:sz w:val="20"/>
                <w:szCs w:val="20"/>
              </w:rPr>
              <w:t xml:space="preserve"> (print) and Pakistani digital-native outlets during the time window</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Sample</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16 news reports (8 + 8), selected purposively against the criteria in Section 3</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Instrument</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An </w:t>
            </w:r>
            <w:r>
              <w:rPr>
                <w:b/>
                <w:bCs/>
                <w:sz w:val="20"/>
                <w:szCs w:val="20"/>
              </w:rPr>
              <w:t xml:space="preserve">analytical framework / coding sheet</w:t>
            </w:r>
            <w:r>
              <w:rPr>
                <w:sz w:val="20"/>
                <w:szCs w:val="20"/>
              </w:rPr>
              <w:t xml:space="preserve"> based on Fairclough's three dimensions. The supervisor's slides list "analytical framework" as an accepted instrument (D2, slide 21)</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Data collection</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Texts copied from the official websites; URL, date, author and access date recorded; each page also saved in the Internet Archive (Wayback Machine) so the examiner can verify it later</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Data analysis</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Each text coded line by line → findings tabulated per outlet → paired comparison → interpretation at the discursive and social levels</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Ethics</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No human participants, so consent is not needed. Texts are public. Quotations will be exact and in context. The analysis will not make claims about journalists' personal intentions. The researcher's own political views will be kept out of the analysis</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Trustworthiness</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Credibility</w:t>
            </w:r>
            <w:r>
              <w:rPr>
                <w:sz w:val="20"/>
                <w:szCs w:val="20"/>
              </w:rPr>
              <w:t xml:space="preserve">: every claim is linked to a quotation. </w:t>
            </w:r>
            <w:r>
              <w:rPr>
                <w:b/>
                <w:bCs/>
                <w:sz w:val="20"/>
                <w:szCs w:val="20"/>
              </w:rPr>
              <w:t xml:space="preserve">Dependability</w:t>
            </w:r>
            <w:r>
              <w:rPr>
                <w:sz w:val="20"/>
                <w:szCs w:val="20"/>
              </w:rPr>
              <w:t xml:space="preserve">: the coding sheet is applied to all 16 texts in the same way. </w:t>
            </w:r>
            <w:r>
              <w:rPr>
                <w:b/>
                <w:bCs/>
                <w:sz w:val="20"/>
                <w:szCs w:val="20"/>
              </w:rPr>
              <w:t xml:space="preserve">Confirmability</w:t>
            </w:r>
            <w:r>
              <w:rPr>
                <w:sz w:val="20"/>
                <w:szCs w:val="20"/>
              </w:rPr>
              <w:t xml:space="preserve">: the full corpus is listed in an appendix. </w:t>
            </w:r>
            <w:r>
              <w:rPr>
                <w:b/>
                <w:bCs/>
                <w:sz w:val="20"/>
                <w:szCs w:val="20"/>
              </w:rPr>
              <w:t xml:space="preserve">Transferability</w:t>
            </w:r>
            <w:r>
              <w:rPr>
                <w:sz w:val="20"/>
                <w:szCs w:val="20"/>
              </w:rPr>
              <w:t xml:space="preserve">: the context is described so readers can judge whether the findings apply elsewhere</w:t>
            </w:r>
          </w:p>
        </w:tc>
      </w:tr>
      <w:tr>
        <w:trPr>
          <w:tblHeader w:val="false"/>
        </w:trPr>
        <w:tc>
          <w:tcPr>
            <w:tcW w:type="dxa" w:w="19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Limitations</w:t>
            </w:r>
          </w:p>
        </w:tc>
        <w:tc>
          <w:tcPr>
            <w:tcW w:type="dxa" w:w="7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Small sample; one event; English-language outlets only; the findings cannot be generalised to all Pakistani media</w:t>
            </w:r>
          </w:p>
        </w:tc>
      </w:tr>
    </w:tbl>
    <w:p>
      <w:pPr>
        <w:spacing w:after="120"/>
      </w:pPr>
    </w:p>
    <w:p>
      <w:pPr>
        <w:pBdr>
          <w:bottom w:val="single" w:color="999999" w:sz="6" w:space="1"/>
        </w:pBdr>
        <w:spacing w:after="120"/>
      </w:pPr>
    </w:p>
    <w:p>
      <w:pPr>
        <w:pStyle w:val="Heading2"/>
        <w:keepNext/>
        <w:spacing w:after="120" w:before="240"/>
        <w:jc w:val="left"/>
      </w:pPr>
      <w:r>
        <w:rPr>
          <w:b/>
          <w:bCs/>
          <w:sz w:val="28"/>
          <w:szCs w:val="28"/>
        </w:rPr>
        <w:t xml:space="preserve">8. Possible refined title</w:t>
      </w:r>
    </w:p>
    <w:p>
      <w:pPr>
        <w:spacing w:after="120" w:line="276"/>
      </w:pPr>
      <w:r>
        <w:t xml:space="preserve">If Option A and the 26th Amendment are approved:</w:t>
      </w:r>
    </w:p>
    <w:p>
      <w:pPr>
        <w:spacing w:after="120" w:line="276"/>
      </w:pPr>
      <w:r>
        <w:t xml:space="preserve">&gt; </w:t>
      </w:r>
      <w:r>
        <w:rPr>
          <w:i/>
          <w:iCs/>
        </w:rPr>
        <w:t xml:space="preserve">Digital Media vs</w:t>
      </w:r>
      <w:r>
        <w:t xml:space="preserve"> Dawn </w:t>
      </w:r>
      <w:r>
        <w:rPr>
          <w:i/>
          <w:iCs/>
        </w:rPr>
        <w:t xml:space="preserve">Newspaper: A Comparative Political Discourse Analysis of the Coverage of the 26th Constitutional Amendment</w:t>
      </w:r>
    </w:p>
    <w:p>
      <w:pPr>
        <w:spacing w:after="120" w:line="276"/>
      </w:pPr>
      <w:r>
        <w:t xml:space="preserve">This keeps your approved title unchanged and adds a subtitle that narrows it. That is normally acceptable, but </w:t>
      </w:r>
      <w:r>
        <w:rPr>
          <w:b/>
          <w:bCs/>
        </w:rPr>
        <w:t xml:space="preserve">your supervisor must agree</w:t>
      </w:r>
      <w:r>
        <w:t xml:space="preserve"> to any change of title.</w:t>
      </w:r>
    </w:p>
    <w:p>
      <w:pPr>
        <w:pBdr>
          <w:bottom w:val="single" w:color="999999" w:sz="6" w:space="1"/>
        </w:pBdr>
        <w:spacing w:after="120"/>
      </w:pPr>
    </w:p>
    <w:p>
      <w:pPr>
        <w:pStyle w:val="Heading2"/>
        <w:keepNext/>
        <w:spacing w:after="120" w:before="240"/>
        <w:jc w:val="left"/>
      </w:pPr>
      <w:r>
        <w:rPr>
          <w:b/>
          <w:bCs/>
          <w:sz w:val="28"/>
          <w:szCs w:val="28"/>
        </w:rPr>
        <w:t xml:space="preserve">9. Decisions needed before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3"/>
        <w:gridCol w:w="2419"/>
        <w:gridCol w:w="5584"/>
      </w:tblGrid>
      <w:tr>
        <w:trPr>
          <w:tblHeader/>
        </w:trPr>
        <w:tc>
          <w:tcPr>
            <w:tcW w:type="dxa" w:w="10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t>
            </w:r>
          </w:p>
        </w:tc>
        <w:tc>
          <w:tcPr>
            <w:tcW w:type="dxa" w:w="24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Decision</w:t>
            </w:r>
          </w:p>
        </w:tc>
        <w:tc>
          <w:tcPr>
            <w:tcW w:type="dxa" w:w="55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Recommendation</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Meaning of "digital media"</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Option A: digital-native, English-language news outlets</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S2</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Event</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26th Constitutional Amendment, October 2024</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S3</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Genre</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Hard news reports only</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S4</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Sample</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16 texts (8 </w:t>
            </w:r>
            <w:r>
              <w:rPr>
                <w:i/>
                <w:iCs/>
                <w:sz w:val="20"/>
                <w:szCs w:val="20"/>
              </w:rPr>
              <w:t xml:space="preserve">Dawn</w:t>
            </w:r>
            <w:r>
              <w:rPr>
                <w:sz w:val="20"/>
                <w:szCs w:val="20"/>
              </w:rPr>
              <w:t xml:space="preserve"> + 8 digital-native from 2 outlets)</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S5</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Framework</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Fairclough's 3D model + van Dijk's ideological square</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S6</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Refined title</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Add the subtitle in Section 8</w:t>
            </w:r>
          </w:p>
        </w:tc>
      </w:tr>
      <w:tr>
        <w:trPr>
          <w:tblHeader w:val="false"/>
        </w:trPr>
        <w:tc>
          <w:tcPr>
            <w:tcW w:type="dxa" w:w="10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S7</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Supervisor approval</w:t>
            </w:r>
          </w:p>
        </w:tc>
        <w:tc>
          <w:tcPr>
            <w:tcW w:type="dxa" w:w="5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Show this proposal (Sections 1–8) to Khuram Dad before data collection starts</w:t>
            </w:r>
          </w:p>
        </w:tc>
      </w:tr>
    </w:tbl>
    <w:p>
      <w:pPr>
        <w:spacing w:after="120"/>
      </w:pP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2026-10-14T08:54:27.856Z</dcterms:created>
  <dcterms:modified xsi:type="dcterms:W3CDTF">2026-10-14T08:54:27.856Z</dcterms:modified>
</cp:coreProperties>
</file>

<file path=docProps/custom.xml><?xml version="1.0" encoding="utf-8"?>
<Properties xmlns="http://schemas.openxmlformats.org/officeDocument/2006/custom-properties" xmlns:vt="http://schemas.openxmlformats.org/officeDocument/2006/docPropsVTypes"/>
</file>