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 TEMPLATE ONLY. This file contains no data and no findings. Do not submit. Every [FILL] must be completed from the real corpus texts.</w:t>
      </w:r>
    </w:p>
    <w:p>
      <w:pPr>
        <w:spacing w:after="120" w:line="276"/>
      </w:pPr>
      <w:r>
        <w:rPr>
          <w:b/>
          <w:bCs/>
        </w:rPr>
        <w:t xml:space="preserve">CHAPTER 4</w:t>
      </w:r>
    </w:p>
    <w:p>
      <w:pPr>
        <w:spacing w:after="120" w:line="276"/>
      </w:pPr>
      <w:r>
        <w:rPr>
          <w:b/>
          <w:bCs/>
        </w:rPr>
        <w:t xml:space="preserve">DATA ANALYSIS AND DISCUSSION</w:t>
      </w:r>
    </w:p>
    <w:p>
      <w:pPr>
        <w:spacing w:after="120" w:line="276"/>
      </w:pPr>
      <w:r>
        <w:t xml:space="preserve">[FILL — about 80 words: introduce the chapter. State that the 16 texts are analysed using the framework in Table 3.2, that the analysis is organised by research question as the supervisor's guidance recommends, and that each section ends with a discussion relating the findings to the literature in Chapter 2.]</w:t>
      </w:r>
    </w:p>
    <w:p>
      <w:pPr>
        <w:pStyle w:val="Heading2"/>
        <w:keepNext/>
        <w:spacing w:after="120" w:before="240"/>
        <w:jc w:val="left"/>
      </w:pPr>
      <w:r>
        <w:rPr>
          <w:b/>
          <w:bCs/>
          <w:sz w:val="28"/>
          <w:szCs w:val="28"/>
        </w:rPr>
        <w:t xml:space="preserve">4.1 Overview of the Corpus  </w:t>
      </w:r>
      <w:r>
        <w:rPr>
          <w:b/>
          <w:bCs/>
          <w:i/>
          <w:iCs/>
          <w:sz w:val="28"/>
          <w:szCs w:val="28"/>
        </w:rPr>
        <w:t xml:space="preserve">(target ≈ 250 words)</w:t>
      </w:r>
    </w:p>
    <w:p>
      <w:pPr>
        <w:spacing w:after="120" w:line="276"/>
      </w:pPr>
      <w:r>
        <w:t xml:space="preserve">[FILL: describe the final corpus: number of texts, total words per outlet, dates covered, any substitutions (e.g. if </w:t>
      </w:r>
      <w:r>
        <w:rPr>
          <w:i/>
          <w:iCs/>
        </w:rPr>
        <w:t xml:space="preserve">The Friday Times</w:t>
      </w:r>
      <w:r>
        <w:t xml:space="preserve"> replaced a text), and any texts that were checked but excluded, with reasons.]</w:t>
      </w:r>
    </w:p>
    <w:p>
      <w:pPr>
        <w:spacing w:after="120" w:line="276"/>
      </w:pPr>
      <w:r>
        <w:rPr>
          <w:b/>
          <w:bCs/>
        </w:rPr>
        <w:t xml:space="preserve">Table 4.1</w:t>
      </w:r>
    </w:p>
    <w:p>
      <w:pPr>
        <w:spacing w:after="120" w:line="276"/>
      </w:pPr>
      <w:r>
        <w:rPr>
          <w:i/>
          <w:iCs/>
        </w:rPr>
        <w:t xml:space="preserve">The Corpus of the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8"/>
        <w:gridCol w:w="1504"/>
        <w:gridCol w:w="2005"/>
        <w:gridCol w:w="1378"/>
        <w:gridCol w:w="1378"/>
        <w:gridCol w:w="1383"/>
      </w:tblGrid>
      <w:tr>
        <w:trPr>
          <w:tblHeader/>
        </w:trPr>
        <w:tc>
          <w:tcPr>
            <w:tcW w:type="dxa" w:w="137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ID</w:t>
            </w:r>
          </w:p>
        </w:tc>
        <w:tc>
          <w:tcPr>
            <w:tcW w:type="dxa" w:w="150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Outlet</w:t>
            </w:r>
          </w:p>
        </w:tc>
        <w:tc>
          <w:tcPr>
            <w:tcW w:type="dxa" w:w="20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Headline (exact)</w:t>
            </w:r>
          </w:p>
        </w:tc>
        <w:tc>
          <w:tcPr>
            <w:tcW w:type="dxa" w:w="137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Date</w:t>
            </w:r>
          </w:p>
        </w:tc>
        <w:tc>
          <w:tcPr>
            <w:tcW w:type="dxa" w:w="137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Stage</w:t>
            </w:r>
          </w:p>
        </w:tc>
        <w:tc>
          <w:tcPr>
            <w:tcW w:type="dxa" w:w="138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Words</w:t>
            </w:r>
          </w:p>
        </w:tc>
      </w:tr>
      <w:tr>
        <w:trPr>
          <w:tblHeader w:val="false"/>
        </w:trPr>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D01</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r>
              <w:rPr>
                <w:sz w:val="20"/>
                <w:szCs w:val="20"/>
              </w:rPr>
              <w:t xml:space="preserve"> (print)</w:t>
            </w:r>
          </w:p>
        </w:tc>
        <w:tc>
          <w:tcPr>
            <w:tcW w:type="dxa" w:w="2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E1</w:t>
            </w:r>
          </w:p>
        </w:tc>
        <w:tc>
          <w:tcPr>
            <w:tcW w:type="dxa" w:w="13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D02</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r>
              <w:rPr>
                <w:sz w:val="20"/>
                <w:szCs w:val="20"/>
              </w:rPr>
              <w:t xml:space="preserve"> (print)</w:t>
            </w:r>
          </w:p>
        </w:tc>
        <w:tc>
          <w:tcPr>
            <w:tcW w:type="dxa" w:w="2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E1</w:t>
            </w:r>
          </w:p>
        </w:tc>
        <w:tc>
          <w:tcPr>
            <w:tcW w:type="dxa" w:w="13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D03–D08</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2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E2–E4</w:t>
            </w:r>
          </w:p>
        </w:tc>
        <w:tc>
          <w:tcPr>
            <w:tcW w:type="dxa" w:w="13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r>
      <w:tr>
        <w:trPr>
          <w:tblHeader w:val="false"/>
        </w:trPr>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C01–C04</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The Current</w:t>
            </w:r>
          </w:p>
        </w:tc>
        <w:tc>
          <w:tcPr>
            <w:tcW w:type="dxa" w:w="2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E1–E4</w:t>
            </w:r>
          </w:p>
        </w:tc>
        <w:tc>
          <w:tcPr>
            <w:tcW w:type="dxa" w:w="13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r>
      <w:tr>
        <w:trPr>
          <w:tblHeader w:val="false"/>
        </w:trPr>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V01–V04</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Voicepk.net</w:t>
            </w:r>
          </w:p>
        </w:tc>
        <w:tc>
          <w:tcPr>
            <w:tcW w:type="dxa" w:w="2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E1–E4</w:t>
            </w:r>
          </w:p>
        </w:tc>
        <w:tc>
          <w:tcPr>
            <w:tcW w:type="dxa" w:w="13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t>
            </w:r>
          </w:p>
        </w:tc>
      </w:tr>
      <w:tr>
        <w:trPr>
          <w:tblHeader w:val="false"/>
        </w:trPr>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2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3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b/>
                <w:bCs/>
                <w:sz w:val="20"/>
                <w:szCs w:val="20"/>
              </w:rPr>
              <w:t xml:space="preserve">Total</w:t>
            </w:r>
          </w:p>
        </w:tc>
        <w:tc>
          <w:tcPr>
            <w:tcW w:type="dxa" w:w="13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bl>
    <w:p>
      <w:pPr>
        <w:spacing w:after="120"/>
      </w:pPr>
    </w:p>
    <w:p>
      <w:pPr>
        <w:pStyle w:val="Heading2"/>
        <w:keepNext/>
        <w:spacing w:after="120" w:before="240"/>
        <w:jc w:val="left"/>
      </w:pPr>
      <w:r>
        <w:rPr>
          <w:b/>
          <w:bCs/>
          <w:sz w:val="28"/>
          <w:szCs w:val="28"/>
        </w:rPr>
        <w:t xml:space="preserve">4.2 RQ1: Representation of Political Actors  </w:t>
      </w:r>
      <w:r>
        <w:rPr>
          <w:b/>
          <w:bCs/>
          <w:i/>
          <w:iCs/>
          <w:sz w:val="28"/>
          <w:szCs w:val="28"/>
        </w:rPr>
        <w:t xml:space="preserve">(target ≈ 950 words)</w:t>
      </w:r>
    </w:p>
    <w:p>
      <w:pPr>
        <w:spacing w:after="120" w:line="276"/>
      </w:pPr>
      <w:r>
        <w:rPr>
          <w:i/>
          <w:iCs/>
        </w:rPr>
        <w:t xml:space="preserve">RQ1: How are the main political actors represented in the selected digital-native and</w:t>
      </w:r>
      <w:r>
        <w:t xml:space="preserve"> Dawn </w:t>
      </w:r>
      <w:r>
        <w:rPr>
          <w:i/>
          <w:iCs/>
        </w:rPr>
        <w:t xml:space="preserve">news reports, in terms of naming, description and agency?</w:t>
      </w:r>
    </w:p>
    <w:p>
      <w:pPr>
        <w:pStyle w:val="Heading3"/>
        <w:keepNext/>
        <w:spacing w:after="120" w:before="240"/>
        <w:jc w:val="left"/>
      </w:pPr>
      <w:r>
        <w:rPr>
          <w:b/>
          <w:bCs/>
          <w:sz w:val="24"/>
          <w:szCs w:val="24"/>
        </w:rPr>
        <w:t xml:space="preserve">4.2.1 The Government and Coalition Parties</w:t>
      </w:r>
    </w:p>
    <w:p>
      <w:pPr>
        <w:spacing w:after="120" w:line="276"/>
      </w:pPr>
      <w:r>
        <w:t xml:space="preserve">[FILL: nomination (how are the PM, law minister, PML-N, PPP named?), predication (what are they said to do or be?), transitivity (are they agents of material processes like </w:t>
      </w:r>
      <w:r>
        <w:rPr>
          <w:i/>
          <w:iCs/>
        </w:rPr>
        <w:t xml:space="preserve">passed</w:t>
      </w:r>
      <w:r>
        <w:t xml:space="preserve">, </w:t>
      </w:r>
      <w:r>
        <w:rPr>
          <w:i/>
          <w:iCs/>
        </w:rPr>
        <w:t xml:space="preserve">tabled</w:t>
      </w:r>
      <w:r>
        <w:t xml:space="preserve">, </w:t>
      </w:r>
      <w:r>
        <w:rPr>
          <w:i/>
          <w:iCs/>
        </w:rPr>
        <w:t xml:space="preserve">secured</w:t>
      </w:r>
      <w:r>
        <w:t xml:space="preserve">?). Compare </w:t>
      </w:r>
      <w:r>
        <w:rPr>
          <w:i/>
          <w:iCs/>
        </w:rPr>
        <w:t xml:space="preserve">Dawn</w:t>
      </w:r>
      <w:r>
        <w:t xml:space="preserve"> and the digital texts.]</w:t>
      </w:r>
    </w:p>
    <w:p>
      <w:pPr>
        <w:pStyle w:val="Heading3"/>
        <w:keepNext/>
        <w:spacing w:after="120" w:before="240"/>
        <w:jc w:val="left"/>
      </w:pPr>
      <w:r>
        <w:rPr>
          <w:b/>
          <w:bCs/>
          <w:sz w:val="24"/>
          <w:szCs w:val="24"/>
        </w:rPr>
        <w:t xml:space="preserve">4.2.2 The Opposition (PTI) and JUI-F</w:t>
      </w:r>
    </w:p>
    <w:p>
      <w:pPr>
        <w:spacing w:after="120" w:line="276"/>
      </w:pPr>
      <w:r>
        <w:t xml:space="preserve">[FILL: same categories. Note especially how PTI's non-participation is described (</w:t>
      </w:r>
      <w:r>
        <w:rPr>
          <w:i/>
          <w:iCs/>
        </w:rPr>
        <w:t xml:space="preserve">boycotted</w:t>
      </w:r>
      <w:r>
        <w:t xml:space="preserve">, </w:t>
      </w:r>
      <w:r>
        <w:rPr>
          <w:i/>
          <w:iCs/>
        </w:rPr>
        <w:t xml:space="preserve">walked out</w:t>
      </w:r>
      <w:r>
        <w:t xml:space="preserve">, </w:t>
      </w:r>
      <w:r>
        <w:rPr>
          <w:i/>
          <w:iCs/>
        </w:rPr>
        <w:t xml:space="preserve">abstained</w:t>
      </w:r>
      <w:r>
        <w:t xml:space="preserve">, </w:t>
      </w:r>
      <w:r>
        <w:rPr>
          <w:i/>
          <w:iCs/>
        </w:rPr>
        <w:t xml:space="preserve">skipped</w:t>
      </w:r>
      <w:r>
        <w:t xml:space="preserve">), because the choice of verb carries evaluation.]</w:t>
      </w:r>
    </w:p>
    <w:p>
      <w:pPr>
        <w:pStyle w:val="Heading3"/>
        <w:keepNext/>
        <w:spacing w:after="120" w:before="240"/>
        <w:jc w:val="left"/>
      </w:pPr>
      <w:r>
        <w:rPr>
          <w:b/>
          <w:bCs/>
          <w:sz w:val="24"/>
          <w:szCs w:val="24"/>
        </w:rPr>
        <w:t xml:space="preserve">4.2.3 The Judiciary and Other Actors</w:t>
      </w:r>
    </w:p>
    <w:p>
      <w:pPr>
        <w:spacing w:after="120" w:line="276"/>
      </w:pPr>
      <w:r>
        <w:t xml:space="preserve">[FILL: how are the courts, the Chief Justice, lawyers and bodies such as the ICJ represented: as actors, as affected parties, or as sources?]</w:t>
      </w:r>
    </w:p>
    <w:p>
      <w:pPr>
        <w:spacing w:after="120" w:line="276"/>
      </w:pPr>
      <w:r>
        <w:rPr>
          <w:b/>
          <w:bCs/>
        </w:rPr>
        <w:t xml:space="preserve">Table 4.2</w:t>
      </w:r>
    </w:p>
    <w:p>
      <w:pPr>
        <w:spacing w:after="120" w:line="276"/>
      </w:pPr>
      <w:r>
        <w:rPr>
          <w:i/>
          <w:iCs/>
        </w:rPr>
        <w:t xml:space="preserve">Representation of Main Actors by Outlet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5"/>
        <w:gridCol w:w="2956"/>
        <w:gridCol w:w="3734"/>
        <w:gridCol w:w="1481"/>
      </w:tblGrid>
      <w:tr>
        <w:trPr>
          <w:tblHeader/>
        </w:trPr>
        <w:tc>
          <w:tcPr>
            <w:tcW w:type="dxa" w:w="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Actor</w:t>
            </w:r>
          </w:p>
        </w:tc>
        <w:tc>
          <w:tcPr>
            <w:tcW w:type="dxa" w:w="29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i/>
                <w:iCs/>
                <w:sz w:val="20"/>
                <w:szCs w:val="20"/>
              </w:rPr>
              <w:t xml:space="preserve">Dawn</w:t>
            </w:r>
            <w:r>
              <w:rPr>
                <w:b/>
                <w:bCs/>
                <w:sz w:val="20"/>
                <w:szCs w:val="20"/>
              </w:rPr>
              <w:t xml:space="preserve">: typical nomination / predication</w:t>
            </w:r>
          </w:p>
        </w:tc>
        <w:tc>
          <w:tcPr>
            <w:tcW w:type="dxa" w:w="373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Digital-native: typical nomination / predication</w:t>
            </w:r>
          </w:p>
        </w:tc>
        <w:tc>
          <w:tcPr>
            <w:tcW w:type="dxa" w:w="14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Example (ID, para.)</w:t>
            </w:r>
          </w:p>
        </w:tc>
      </w:tr>
      <w:tr>
        <w:trPr>
          <w:tblHeader w:val="false"/>
        </w:trPr>
        <w:tc>
          <w:tcPr>
            <w:tcW w:type="dxa" w:w="8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Government</w:t>
            </w:r>
          </w:p>
        </w:tc>
        <w:tc>
          <w:tcPr>
            <w:tcW w:type="dxa" w:w="295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37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4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8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PTI</w:t>
            </w:r>
          </w:p>
        </w:tc>
        <w:tc>
          <w:tcPr>
            <w:tcW w:type="dxa" w:w="295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37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4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8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JUI-F</w:t>
            </w:r>
          </w:p>
        </w:tc>
        <w:tc>
          <w:tcPr>
            <w:tcW w:type="dxa" w:w="295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37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4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85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Judiciary</w:t>
            </w:r>
          </w:p>
        </w:tc>
        <w:tc>
          <w:tcPr>
            <w:tcW w:type="dxa" w:w="295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37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4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bl>
    <w:p>
      <w:pPr>
        <w:spacing w:after="120"/>
      </w:pPr>
    </w:p>
    <w:p>
      <w:pPr>
        <w:pStyle w:val="Heading3"/>
        <w:keepNext/>
        <w:spacing w:after="120" w:before="240"/>
        <w:jc w:val="left"/>
      </w:pPr>
      <w:r>
        <w:rPr>
          <w:b/>
          <w:bCs/>
          <w:sz w:val="24"/>
          <w:szCs w:val="24"/>
        </w:rPr>
        <w:t xml:space="preserve">4.2.4 Discussion</w:t>
      </w:r>
    </w:p>
    <w:p>
      <w:pPr>
        <w:spacing w:after="120" w:line="276"/>
      </w:pPr>
      <w:r>
        <w:t xml:space="preserve">[FILL — about 200 words: relate to the literature, e.g. whether the pattern resembles Butool et al.'s (2021) finding that </w:t>
      </w:r>
      <w:r>
        <w:rPr>
          <w:i/>
          <w:iCs/>
        </w:rPr>
        <w:t xml:space="preserve">Dawn</w:t>
      </w:r>
      <w:r>
        <w:t xml:space="preserve"> presented both government and opposition views; note where the evidence supports or does not support this.]</w:t>
      </w:r>
    </w:p>
    <w:p>
      <w:pPr>
        <w:pStyle w:val="Heading2"/>
        <w:keepNext/>
        <w:spacing w:after="120" w:before="240"/>
        <w:jc w:val="left"/>
      </w:pPr>
      <w:r>
        <w:rPr>
          <w:b/>
          <w:bCs/>
          <w:sz w:val="28"/>
          <w:szCs w:val="28"/>
        </w:rPr>
        <w:t xml:space="preserve">4.3 RQ2: Linguistic and Discursive Strategies  </w:t>
      </w:r>
      <w:r>
        <w:rPr>
          <w:b/>
          <w:bCs/>
          <w:i/>
          <w:iCs/>
          <w:sz w:val="28"/>
          <w:szCs w:val="28"/>
        </w:rPr>
        <w:t xml:space="preserve">(target ≈ 950 words)</w:t>
      </w:r>
    </w:p>
    <w:p>
      <w:pPr>
        <w:spacing w:after="120" w:line="276"/>
      </w:pPr>
      <w:r>
        <w:rPr>
          <w:i/>
          <w:iCs/>
        </w:rPr>
        <w:t xml:space="preserve">RQ2: What linguistic and discursive strategies (lexical choice, headline structure, transitivity, attribution and quotation) are used to frame the 26th Constitutional Amendment in the two sets of texts?</w:t>
      </w:r>
    </w:p>
    <w:p>
      <w:pPr>
        <w:pStyle w:val="Heading3"/>
        <w:keepNext/>
        <w:spacing w:after="120" w:before="240"/>
        <w:jc w:val="left"/>
      </w:pPr>
      <w:r>
        <w:rPr>
          <w:b/>
          <w:bCs/>
          <w:sz w:val="24"/>
          <w:szCs w:val="24"/>
        </w:rPr>
        <w:t xml:space="preserve">4.3.1 Headlines</w:t>
      </w:r>
    </w:p>
    <w:p>
      <w:pPr>
        <w:spacing w:after="120" w:line="276"/>
      </w:pPr>
      <w:r>
        <w:t xml:space="preserve">[FILL: what each headline foregrounds; whose action or voice comes first; use of metaphor, presupposition or quotation in the headline.]</w:t>
      </w:r>
    </w:p>
    <w:p>
      <w:pPr>
        <w:pStyle w:val="Heading3"/>
        <w:keepNext/>
        <w:spacing w:after="120" w:before="240"/>
        <w:jc w:val="left"/>
      </w:pPr>
      <w:r>
        <w:rPr>
          <w:b/>
          <w:bCs/>
          <w:sz w:val="24"/>
          <w:szCs w:val="24"/>
        </w:rPr>
        <w:t xml:space="preserve">4.3.2 Lexical Choice and Evaluation</w:t>
      </w:r>
    </w:p>
    <w:p>
      <w:pPr>
        <w:spacing w:after="120" w:line="276"/>
      </w:pPr>
      <w:r>
        <w:t xml:space="preserve">[FILL: evaluative words for the amendment itself (</w:t>
      </w:r>
      <w:r>
        <w:rPr>
          <w:i/>
          <w:iCs/>
        </w:rPr>
        <w:t xml:space="preserve">reform</w:t>
      </w:r>
      <w:r>
        <w:t xml:space="preserve">, </w:t>
      </w:r>
      <w:r>
        <w:rPr>
          <w:i/>
          <w:iCs/>
        </w:rPr>
        <w:t xml:space="preserve">package</w:t>
      </w:r>
      <w:r>
        <w:t xml:space="preserve">, </w:t>
      </w:r>
      <w:r>
        <w:rPr>
          <w:i/>
          <w:iCs/>
        </w:rPr>
        <w:t xml:space="preserve">controversial</w:t>
      </w:r>
      <w:r>
        <w:t xml:space="preserve">, etc.) and for the process (</w:t>
      </w:r>
      <w:r>
        <w:rPr>
          <w:i/>
          <w:iCs/>
        </w:rPr>
        <w:t xml:space="preserve">passed</w:t>
      </w:r>
      <w:r>
        <w:t xml:space="preserve">, </w:t>
      </w:r>
      <w:r>
        <w:rPr>
          <w:i/>
          <w:iCs/>
        </w:rPr>
        <w:t xml:space="preserve">rushed</w:t>
      </w:r>
      <w:r>
        <w:t xml:space="preserve">, </w:t>
      </w:r>
      <w:r>
        <w:rPr>
          <w:i/>
          <w:iCs/>
        </w:rPr>
        <w:t xml:space="preserve">bulldozed</w:t>
      </w:r>
      <w:r>
        <w:t xml:space="preserve">, etc.). Only list words that actually occur in the corpus.]</w:t>
      </w:r>
    </w:p>
    <w:p>
      <w:pPr>
        <w:pStyle w:val="Heading3"/>
        <w:keepNext/>
        <w:spacing w:after="120" w:before="240"/>
        <w:jc w:val="left"/>
      </w:pPr>
      <w:r>
        <w:rPr>
          <w:b/>
          <w:bCs/>
          <w:sz w:val="24"/>
          <w:szCs w:val="24"/>
        </w:rPr>
        <w:t xml:space="preserve">4.3.3 Attribution and Source Selection</w:t>
      </w:r>
    </w:p>
    <w:p>
      <w:pPr>
        <w:spacing w:after="120" w:line="276"/>
      </w:pPr>
      <w:r>
        <w:rPr>
          <w:b/>
          <w:bCs/>
        </w:rPr>
        <w:t xml:space="preserve">Table 4.3</w:t>
      </w:r>
    </w:p>
    <w:p>
      <w:pPr>
        <w:spacing w:after="120" w:line="276"/>
      </w:pPr>
      <w:r>
        <w:rPr>
          <w:i/>
          <w:iCs/>
        </w:rPr>
        <w:t xml:space="preserve">Quoted Sources and Reporting Verbs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19"/>
        <w:gridCol w:w="1819"/>
        <w:gridCol w:w="2474"/>
        <w:gridCol w:w="2114"/>
      </w:tblGrid>
      <w:tr>
        <w:trPr>
          <w:tblHeader/>
        </w:trPr>
        <w:tc>
          <w:tcPr>
            <w:tcW w:type="dxa" w:w="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Outlet</w:t>
            </w:r>
          </w:p>
        </w:tc>
        <w:tc>
          <w:tcPr>
            <w:tcW w:type="dxa" w:w="18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Government sources quoted</w:t>
            </w:r>
          </w:p>
        </w:tc>
        <w:tc>
          <w:tcPr>
            <w:tcW w:type="dxa" w:w="18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Opposition sources quoted</w:t>
            </w:r>
          </w:p>
        </w:tc>
        <w:tc>
          <w:tcPr>
            <w:tcW w:type="dxa" w:w="24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Judiciary / legal / rights sources</w:t>
            </w:r>
          </w:p>
        </w:tc>
        <w:tc>
          <w:tcPr>
            <w:tcW w:type="dxa" w:w="211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Most frequent reporting verbs</w:t>
            </w:r>
          </w:p>
        </w:tc>
      </w:tr>
      <w:tr>
        <w:trPr>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Dawn</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4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1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The Current</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4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1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i/>
                <w:iCs/>
                <w:sz w:val="20"/>
                <w:szCs w:val="20"/>
              </w:rPr>
              <w:t xml:space="preserve">Voicepk.net</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8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4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11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bl>
    <w:p>
      <w:pPr>
        <w:spacing w:after="120"/>
      </w:pPr>
    </w:p>
    <w:p>
      <w:pPr>
        <w:pStyle w:val="Heading3"/>
        <w:keepNext/>
        <w:spacing w:after="120" w:before="240"/>
        <w:jc w:val="left"/>
      </w:pPr>
      <w:r>
        <w:rPr>
          <w:b/>
          <w:bCs/>
          <w:sz w:val="24"/>
          <w:szCs w:val="24"/>
        </w:rPr>
        <w:t xml:space="preserve">4.3.4 Discussion</w:t>
      </w:r>
    </w:p>
    <w:p>
      <w:pPr>
        <w:spacing w:after="120" w:line="276"/>
      </w:pPr>
      <w:r>
        <w:t xml:space="preserve">[FILL — about 200 words]</w:t>
      </w:r>
    </w:p>
    <w:p>
      <w:pPr>
        <w:pStyle w:val="Heading2"/>
        <w:keepNext/>
        <w:spacing w:after="120" w:before="240"/>
        <w:jc w:val="left"/>
      </w:pPr>
      <w:r>
        <w:rPr>
          <w:b/>
          <w:bCs/>
          <w:sz w:val="28"/>
          <w:szCs w:val="28"/>
        </w:rPr>
        <w:t xml:space="preserve">4.4 RQ3: Similarities and Differences  </w:t>
      </w:r>
      <w:r>
        <w:rPr>
          <w:b/>
          <w:bCs/>
          <w:i/>
          <w:iCs/>
          <w:sz w:val="28"/>
          <w:szCs w:val="28"/>
        </w:rPr>
        <w:t xml:space="preserve">(target ≈ 900 words)</w:t>
      </w:r>
    </w:p>
    <w:p>
      <w:pPr>
        <w:spacing w:after="120" w:line="276"/>
      </w:pPr>
      <w:r>
        <w:rPr>
          <w:i/>
          <w:iCs/>
        </w:rPr>
        <w:t xml:space="preserve">RQ3: What similarities and differences emerge between the digital-native and</w:t>
      </w:r>
      <w:r>
        <w:t xml:space="preserve"> Dawn </w:t>
      </w:r>
      <w:r>
        <w:rPr>
          <w:i/>
          <w:iCs/>
        </w:rPr>
        <w:t xml:space="preserve">coverage in evaluation, source selection and framing?</w:t>
      </w:r>
    </w:p>
    <w:p>
      <w:pPr>
        <w:spacing w:after="120" w:line="276"/>
      </w:pPr>
      <w:r>
        <w:rPr>
          <w:b/>
          <w:bCs/>
        </w:rPr>
        <w:t xml:space="preserve">Table 4.4</w:t>
      </w:r>
    </w:p>
    <w:p>
      <w:pPr>
        <w:spacing w:after="120" w:line="276"/>
      </w:pPr>
      <w:r>
        <w:rPr>
          <w:i/>
          <w:iCs/>
        </w:rPr>
        <w:t xml:space="preserve">Comparison by Stage of the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2"/>
        <w:gridCol w:w="1906"/>
        <w:gridCol w:w="1906"/>
        <w:gridCol w:w="2672"/>
      </w:tblGrid>
      <w:tr>
        <w:trPr>
          <w:tblHeader/>
        </w:trPr>
        <w:tc>
          <w:tcPr>
            <w:tcW w:type="dxa" w:w="254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Stage</w:t>
            </w:r>
          </w:p>
        </w:tc>
        <w:tc>
          <w:tcPr>
            <w:tcW w:type="dxa" w:w="19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Main similarity</w:t>
            </w:r>
          </w:p>
        </w:tc>
        <w:tc>
          <w:tcPr>
            <w:tcW w:type="dxa" w:w="190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Main difference</w:t>
            </w:r>
          </w:p>
        </w:tc>
        <w:tc>
          <w:tcPr>
            <w:tcW w:type="dxa" w:w="2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Evidence (IDs, paras)</w:t>
            </w:r>
          </w:p>
        </w:tc>
      </w:tr>
      <w:tr>
        <w:trPr>
          <w:tblHeader w:val="false"/>
        </w:trPr>
        <w:tc>
          <w:tcPr>
            <w:tcW w:type="dxa" w:w="25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E1 Negotiations</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25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E2 Passage</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25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E3 Reactions</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r>
        <w:trPr>
          <w:tblHeader w:val="false"/>
        </w:trPr>
        <w:tc>
          <w:tcPr>
            <w:tcW w:type="dxa" w:w="25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E4 New Chief Justice</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190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c>
          <w:tcPr>
            <w:tcW w:type="dxa" w:w="26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w:t>
            </w:r>
          </w:p>
        </w:tc>
      </w:tr>
    </w:tbl>
    <w:p>
      <w:pPr>
        <w:spacing w:after="120"/>
      </w:pPr>
    </w:p>
    <w:p>
      <w:pPr>
        <w:spacing w:after="120" w:line="276"/>
      </w:pPr>
      <w:r>
        <w:t xml:space="preserve">[FILL: write up the patterns. Report similarities as carefully as differences. If the texts are largely alike, say so; this would support Ghersetti (2014).]</w:t>
      </w:r>
    </w:p>
    <w:p>
      <w:pPr>
        <w:spacing w:after="120" w:line="276"/>
      </w:pPr>
      <w:r>
        <w:rPr>
          <w:b/>
          <w:bCs/>
        </w:rPr>
        <w:t xml:space="preserve">Caution to keep in the text:</w:t>
      </w:r>
      <w:r>
        <w:t xml:space="preserve"> differences may reflect the editorial orientation of particular outlets (especially </w:t>
      </w:r>
      <w:r>
        <w:rPr>
          <w:i/>
          <w:iCs/>
        </w:rPr>
        <w:t xml:space="preserve">Voicepk.net</w:t>
      </w:r>
      <w:r>
        <w:t xml:space="preserve">) as well as the medium (see Section 3.4).</w:t>
      </w:r>
    </w:p>
    <w:p>
      <w:pPr>
        <w:pStyle w:val="Heading2"/>
        <w:keepNext/>
        <w:spacing w:after="120" w:before="240"/>
        <w:jc w:val="left"/>
      </w:pPr>
      <w:r>
        <w:rPr>
          <w:b/>
          <w:bCs/>
          <w:sz w:val="28"/>
          <w:szCs w:val="28"/>
        </w:rPr>
        <w:t xml:space="preserve">4.5 RQ4: Ideological Implications  </w:t>
      </w:r>
      <w:r>
        <w:rPr>
          <w:b/>
          <w:bCs/>
          <w:i/>
          <w:iCs/>
          <w:sz w:val="28"/>
          <w:szCs w:val="28"/>
        </w:rPr>
        <w:t xml:space="preserve">(target ≈ 950 words)</w:t>
      </w:r>
    </w:p>
    <w:p>
      <w:pPr>
        <w:spacing w:after="120" w:line="276"/>
      </w:pPr>
      <w:r>
        <w:rPr>
          <w:i/>
          <w:iCs/>
        </w:rPr>
        <w:t xml:space="preserve">RQ4: What ideological positions, if any, are supported by the textual evidence, and how can they be explained by the conditions in which each type of outlet produces news?</w:t>
      </w:r>
    </w:p>
    <w:p>
      <w:pPr>
        <w:spacing w:after="120" w:line="276"/>
      </w:pPr>
      <w:r>
        <w:rPr>
          <w:b/>
          <w:bCs/>
        </w:rPr>
        <w:t xml:space="preserve">Table 4.5</w:t>
      </w:r>
    </w:p>
    <w:p>
      <w:pPr>
        <w:spacing w:after="120" w:line="276"/>
      </w:pPr>
      <w:r>
        <w:rPr>
          <w:i/>
          <w:iCs/>
        </w:rPr>
        <w:t xml:space="preserve">Evidence for the Moves of the Ideological Square (van Dijk, 2006)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5"/>
        <w:gridCol w:w="2974"/>
        <w:gridCol w:w="1128"/>
        <w:gridCol w:w="1129"/>
      </w:tblGrid>
      <w:tr>
        <w:trPr>
          <w:tblHeader/>
        </w:trPr>
        <w:tc>
          <w:tcPr>
            <w:tcW w:type="dxa" w:w="37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Move</w:t>
            </w:r>
          </w:p>
        </w:tc>
        <w:tc>
          <w:tcPr>
            <w:tcW w:type="dxa" w:w="297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i/>
                <w:iCs/>
                <w:sz w:val="20"/>
                <w:szCs w:val="20"/>
              </w:rPr>
              <w:t xml:space="preserve">Dawn</w:t>
            </w:r>
          </w:p>
        </w:tc>
        <w:tc>
          <w:tcPr>
            <w:tcW w:type="dxa" w:w="11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i/>
                <w:iCs/>
                <w:sz w:val="20"/>
                <w:szCs w:val="20"/>
              </w:rPr>
              <w:t xml:space="preserve">The Current</w:t>
            </w:r>
          </w:p>
        </w:tc>
        <w:tc>
          <w:tcPr>
            <w:tcW w:type="dxa" w:w="11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i/>
                <w:iCs/>
                <w:sz w:val="20"/>
                <w:szCs w:val="20"/>
              </w:rPr>
              <w:t xml:space="preserve">Voicepk.net</w:t>
            </w:r>
          </w:p>
        </w:tc>
      </w:tr>
      <w:tr>
        <w:trPr>
          <w:tblHeader w:val="false"/>
        </w:trPr>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Emphasise "our" positive actions</w:t>
            </w:r>
          </w:p>
        </w:tc>
        <w:tc>
          <w:tcPr>
            <w:tcW w:type="dxa" w:w="29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[FILL or "no clear evidence"]</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r>
      <w:tr>
        <w:trPr>
          <w:tblHeader w:val="false"/>
        </w:trPr>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Emphasise "their" negative actions</w:t>
            </w:r>
          </w:p>
        </w:tc>
        <w:tc>
          <w:tcPr>
            <w:tcW w:type="dxa" w:w="29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r>
      <w:tr>
        <w:trPr>
          <w:tblHeader w:val="false"/>
        </w:trPr>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De-emphasise "our" negative actions</w:t>
            </w:r>
          </w:p>
        </w:tc>
        <w:tc>
          <w:tcPr>
            <w:tcW w:type="dxa" w:w="29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r>
      <w:tr>
        <w:trPr>
          <w:tblHeader w:val="false"/>
        </w:trPr>
        <w:tc>
          <w:tcPr>
            <w:tcW w:type="dxa" w:w="37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De-emphasise "their" positive actions</w:t>
            </w:r>
          </w:p>
        </w:tc>
        <w:tc>
          <w:tcPr>
            <w:tcW w:type="dxa" w:w="297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2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r>
    </w:tbl>
    <w:p>
      <w:pPr>
        <w:spacing w:after="120"/>
      </w:pPr>
    </w:p>
    <w:p>
      <w:pPr>
        <w:spacing w:after="120" w:line="276"/>
      </w:pPr>
      <w:r>
        <w:t xml:space="preserve">[FILL: Who, if anyone, is constructed as "us" and "them" in each outlet? Is the pattern consistent across texts or only in some? Explain at the level of discursive practice (production routines, sources, audience) and social practice (the political conflict over the judiciary).]</w:t>
      </w:r>
    </w:p>
    <w:p>
      <w:pPr>
        <w:spacing w:after="120" w:line="276"/>
      </w:pPr>
      <w:r>
        <w:rPr>
          <w:b/>
          <w:bCs/>
        </w:rPr>
        <w:t xml:space="preserve">Rule:</w:t>
      </w:r>
      <w:r>
        <w:t xml:space="preserve"> if the evidence does not show a consistent pattern, the chapter must say so. "No clear ideological polarisation was found in X" is a legitimate finding.</w:t>
      </w:r>
    </w:p>
    <w:p>
      <w:pPr>
        <w:pBdr>
          <w:bottom w:val="single" w:color="999999" w:sz="6" w:space="1"/>
        </w:pBdr>
        <w:spacing w:after="120"/>
      </w:pPr>
    </w:p>
    <w:p>
      <w:pPr>
        <w:pStyle w:val="Heading1"/>
        <w:keepNext/>
        <w:spacing w:after="120" w:before="0"/>
        <w:jc w:val="center"/>
      </w:pPr>
      <w:r>
        <w:rPr>
          <w:b/>
          <w:bCs/>
          <w:sz w:val="32"/>
          <w:szCs w:val="32"/>
        </w:rPr>
        <w:t xml:space="preserve">Writing method for every analytical paragraph</w:t>
      </w:r>
    </w:p>
    <w:p>
      <w:pPr>
        <w:spacing w:after="120" w:line="276"/>
      </w:pPr>
      <w:r>
        <w:t xml:space="preserve">Use this six-step recipe (from the project brief) for each point:</w:t>
      </w:r>
    </w:p>
    <w:p>
      <w:pPr>
        <w:pStyle w:val="ListParagraph"/>
        <w:numPr>
          <w:ilvl w:val="0"/>
          <w:numId w:val="2"/>
        </w:numPr>
        <w:spacing w:after="120" w:line="276"/>
      </w:pPr>
      <w:r>
        <w:rPr>
          <w:b/>
          <w:bCs/>
        </w:rPr>
        <w:t xml:space="preserve">Feature:</w:t>
      </w:r>
      <w:r>
        <w:t xml:space="preserve"> name the linguistic feature (e.g. "agentless passive").</w:t>
      </w:r>
    </w:p>
    <w:p>
      <w:pPr>
        <w:pStyle w:val="ListParagraph"/>
        <w:numPr>
          <w:ilvl w:val="0"/>
          <w:numId w:val="2"/>
        </w:numPr>
        <w:spacing w:after="120" w:line="276"/>
      </w:pPr>
      <w:r>
        <w:rPr>
          <w:b/>
          <w:bCs/>
        </w:rPr>
        <w:t xml:space="preserve">Evidence:</w:t>
      </w:r>
      <w:r>
        <w:t xml:space="preserve"> give a short exact quotation with its ID and paragraph: (D03, para. 2).</w:t>
      </w:r>
    </w:p>
    <w:p>
      <w:pPr>
        <w:pStyle w:val="ListParagraph"/>
        <w:numPr>
          <w:ilvl w:val="0"/>
          <w:numId w:val="2"/>
        </w:numPr>
        <w:spacing w:after="120" w:line="276"/>
      </w:pPr>
      <w:r>
        <w:rPr>
          <w:b/>
          <w:bCs/>
        </w:rPr>
        <w:t xml:space="preserve">Function:</w:t>
      </w:r>
      <w:r>
        <w:t xml:space="preserve"> explain what the feature does linguistically.</w:t>
      </w:r>
    </w:p>
    <w:p>
      <w:pPr>
        <w:pStyle w:val="ListParagraph"/>
        <w:numPr>
          <w:ilvl w:val="0"/>
          <w:numId w:val="2"/>
        </w:numPr>
        <w:spacing w:after="120" w:line="276"/>
      </w:pPr>
      <w:r>
        <w:rPr>
          <w:b/>
          <w:bCs/>
        </w:rPr>
        <w:t xml:space="preserve">Comparison:</w:t>
      </w:r>
      <w:r>
        <w:t xml:space="preserve"> set it against the matched text(s) from the other side.</w:t>
      </w:r>
    </w:p>
    <w:p>
      <w:pPr>
        <w:pStyle w:val="ListParagraph"/>
        <w:numPr>
          <w:ilvl w:val="0"/>
          <w:numId w:val="2"/>
        </w:numPr>
        <w:spacing w:after="120" w:line="276"/>
      </w:pPr>
      <w:r>
        <w:rPr>
          <w:b/>
          <w:bCs/>
        </w:rPr>
        <w:t xml:space="preserve">Link:</w:t>
      </w:r>
      <w:r>
        <w:t xml:space="preserve"> connect it to the RQ and to Fairclough's level (text / discursive / social).</w:t>
      </w:r>
    </w:p>
    <w:p>
      <w:pPr>
        <w:pStyle w:val="ListParagraph"/>
        <w:numPr>
          <w:ilvl w:val="0"/>
          <w:numId w:val="2"/>
        </w:numPr>
        <w:spacing w:after="120" w:line="276"/>
      </w:pPr>
      <w:r>
        <w:rPr>
          <w:b/>
          <w:bCs/>
        </w:rPr>
        <w:t xml:space="preserve">Alternative reading:</w:t>
      </w:r>
      <w:r>
        <w:t xml:space="preserve"> note another plausible interpretation where one exists.</w:t>
      </w:r>
    </w:p>
    <w:p>
      <w:pPr>
        <w:pBdr>
          <w:bottom w:val="single" w:color="999999" w:sz="6" w:space="1"/>
        </w:pBdr>
        <w:spacing w:after="120"/>
      </w:pPr>
    </w:p>
    <w:p>
      <w:pPr>
        <w:pStyle w:val="Heading1"/>
        <w:keepNext/>
        <w:spacing w:after="120" w:before="0"/>
        <w:jc w:val="center"/>
      </w:pPr>
      <w:r>
        <w:rPr>
          <w:b/>
          <w:bCs/>
          <w:sz w:val="32"/>
          <w:szCs w:val="32"/>
        </w:rPr>
        <w:t xml:space="preserve">TRAINING EXAMPLE — practice only, NOT thesis content</w:t>
      </w:r>
    </w:p>
    <w:p>
      <w:pPr>
        <w:spacing w:after="120" w:line="276"/>
      </w:pPr>
      <w:r>
        <w:rPr>
          <w:b/>
          <w:bCs/>
        </w:rPr>
        <w:t xml:space="preserve">Status of the evidence:</w:t>
      </w:r>
      <w:r>
        <w:t xml:space="preserve"> the two headlines below were confirmed as real headlines through web search on 14 October 2026. </w:t>
      </w:r>
      <w:r>
        <w:rPr>
          <w:b/>
          <w:bCs/>
        </w:rPr>
        <w:t xml:space="preserve">The full reports have not been read.</w:t>
      </w:r>
      <w:r>
        <w:t xml:space="preserve"> Neither text has yet been checked against the inclusion criteria; the </w:t>
      </w:r>
      <w:r>
        <w:rPr>
          <w:i/>
          <w:iCs/>
        </w:rPr>
        <w:t xml:space="preserve">Dawn</w:t>
      </w:r>
      <w:r>
        <w:t xml:space="preserve"> item is labelled "Pakistan" on Dawn.com and may be web-only, which would exclude it. This example exists only to show the method. It must not be copied into Chapter 4 unless both texts enter the corpus and the analysis is re-checked against the full reports.</w:t>
      </w:r>
    </w:p>
    <w:p>
      <w:pPr>
        <w:pStyle w:val="ListParagraph"/>
        <w:numPr>
          <w:ilvl w:val="0"/>
          <w:numId w:val="3"/>
        </w:numPr>
        <w:spacing w:after="120" w:line="276"/>
      </w:pPr>
      <w:r>
        <w:rPr>
          <w:i/>
          <w:iCs/>
        </w:rPr>
        <w:t xml:space="preserve">Dawn</w:t>
      </w:r>
      <w:r>
        <w:t xml:space="preserve"> (dawn.com/news/1866452): "26th Constitutional Amendment awaits presidential assent after sailing through NA in late-night session"</w:t>
      </w:r>
    </w:p>
    <w:p>
      <w:pPr>
        <w:pStyle w:val="ListParagraph"/>
        <w:numPr>
          <w:ilvl w:val="0"/>
          <w:numId w:val="3"/>
        </w:numPr>
        <w:spacing w:after="120" w:line="276"/>
      </w:pPr>
      <w:r>
        <w:rPr>
          <w:i/>
          <w:iCs/>
        </w:rPr>
        <w:t xml:space="preserve">The Current</w:t>
      </w:r>
      <w:r>
        <w:t xml:space="preserve">: "Long-awaited 26th Amendment tabled; PTI skips voting"</w:t>
      </w:r>
    </w:p>
    <w:p>
      <w:pPr>
        <w:spacing w:after="120" w:line="276"/>
      </w:pPr>
      <w:r>
        <w:rPr>
          <w:b/>
          <w:bCs/>
        </w:rPr>
        <w:t xml:space="preserve">Applying the recipe (headline level only):</w:t>
      </w:r>
    </w:p>
    <w:p>
      <w:pPr>
        <w:pStyle w:val="ListParagraph"/>
        <w:numPr>
          <w:ilvl w:val="0"/>
          <w:numId w:val="4"/>
        </w:numPr>
        <w:spacing w:after="120" w:line="276"/>
      </w:pPr>
      <w:r>
        <w:rPr>
          <w:b/>
          <w:bCs/>
        </w:rPr>
        <w:t xml:space="preserve">Feature: metaphor and agency.</w:t>
      </w:r>
      <w:r>
        <w:t xml:space="preserve"> The </w:t>
      </w:r>
      <w:r>
        <w:rPr>
          <w:i/>
          <w:iCs/>
        </w:rPr>
        <w:t xml:space="preserve">Dawn</w:t>
      </w:r>
      <w:r>
        <w:t xml:space="preserve"> headline uses the metaphor </w:t>
      </w:r>
      <w:r>
        <w:rPr>
          <w:i/>
          <w:iCs/>
        </w:rPr>
        <w:t xml:space="preserve">sailing through</w:t>
      </w:r>
      <w:r>
        <w:t xml:space="preserve"> for the passage of the bill.</w:t>
      </w:r>
    </w:p>
    <w:p>
      <w:pPr>
        <w:pStyle w:val="ListParagraph"/>
        <w:numPr>
          <w:ilvl w:val="0"/>
          <w:numId w:val="4"/>
        </w:numPr>
        <w:spacing w:after="120" w:line="276"/>
      </w:pPr>
      <w:r>
        <w:rPr>
          <w:b/>
          <w:bCs/>
        </w:rPr>
        <w:t xml:space="preserve">Evidence:</w:t>
      </w:r>
      <w:r>
        <w:t xml:space="preserve"> "after sailing through NA in late-night session".</w:t>
      </w:r>
    </w:p>
    <w:p>
      <w:pPr>
        <w:pStyle w:val="ListParagraph"/>
        <w:numPr>
          <w:ilvl w:val="0"/>
          <w:numId w:val="4"/>
        </w:numPr>
        <w:spacing w:after="120" w:line="276"/>
      </w:pPr>
      <w:r>
        <w:rPr>
          <w:b/>
          <w:bCs/>
        </w:rPr>
        <w:t xml:space="preserve">Function:</w:t>
      </w:r>
      <w:r>
        <w:t xml:space="preserve"> </w:t>
      </w:r>
      <w:r>
        <w:rPr>
          <w:i/>
          <w:iCs/>
        </w:rPr>
        <w:t xml:space="preserve">Sailing through</w:t>
      </w:r>
      <w:r>
        <w:t xml:space="preserve"> suggests ease and lack of obstruction. Grammatically, the amendment itself is the subject; the people who voted for it are not named, so the agency of the government and coalition is backgrounded. The phrase </w:t>
      </w:r>
      <w:r>
        <w:rPr>
          <w:i/>
          <w:iCs/>
        </w:rPr>
        <w:t xml:space="preserve">late-night session</w:t>
      </w:r>
      <w:r>
        <w:t xml:space="preserve"> adds a detail about timing without explicitly evaluating it.</w:t>
      </w:r>
    </w:p>
    <w:p>
      <w:pPr>
        <w:pStyle w:val="ListParagraph"/>
        <w:numPr>
          <w:ilvl w:val="0"/>
          <w:numId w:val="4"/>
        </w:numPr>
        <w:spacing w:after="120" w:line="276"/>
      </w:pPr>
      <w:r>
        <w:rPr>
          <w:b/>
          <w:bCs/>
        </w:rPr>
        <w:t xml:space="preserve">Comparison:</w:t>
      </w:r>
      <w:r>
        <w:t xml:space="preserve"> </w:t>
      </w:r>
      <w:r>
        <w:rPr>
          <w:i/>
          <w:iCs/>
        </w:rPr>
        <w:t xml:space="preserve">The Current</w:t>
      </w:r>
      <w:r>
        <w:t xml:space="preserve">'s headline makes a political actor, PTI, the grammatical agent of the second clause ("PTI skips voting"). The verb </w:t>
      </w:r>
      <w:r>
        <w:rPr>
          <w:i/>
          <w:iCs/>
        </w:rPr>
        <w:t xml:space="preserve">skips</w:t>
      </w:r>
      <w:r>
        <w:t xml:space="preserve"> is informal and may imply avoidance, rather than the more formal </w:t>
      </w:r>
      <w:r>
        <w:rPr>
          <w:i/>
          <w:iCs/>
        </w:rPr>
        <w:t xml:space="preserve">boycotts</w:t>
      </w:r>
      <w:r>
        <w:t xml:space="preserve"> or </w:t>
      </w:r>
      <w:r>
        <w:rPr>
          <w:i/>
          <w:iCs/>
        </w:rPr>
        <w:t xml:space="preserve">abstains</w:t>
      </w:r>
      <w:r>
        <w:t xml:space="preserve">. The adjective </w:t>
      </w:r>
      <w:r>
        <w:rPr>
          <w:i/>
          <w:iCs/>
        </w:rPr>
        <w:t xml:space="preserve">Long-awaited</w:t>
      </w:r>
      <w:r>
        <w:t xml:space="preserve"> presupposes that the amendment had been expected or delayed.</w:t>
      </w:r>
    </w:p>
    <w:p>
      <w:pPr>
        <w:pStyle w:val="ListParagraph"/>
        <w:numPr>
          <w:ilvl w:val="0"/>
          <w:numId w:val="4"/>
        </w:numPr>
        <w:spacing w:after="120" w:line="276"/>
      </w:pPr>
      <w:r>
        <w:rPr>
          <w:b/>
          <w:bCs/>
        </w:rPr>
        <w:t xml:space="preserve">Link (RQ1, RQ2; textual level):</w:t>
      </w:r>
      <w:r>
        <w:t xml:space="preserve"> the two headlines differ in </w:t>
      </w:r>
      <w:r>
        <w:rPr>
          <w:i/>
          <w:iCs/>
        </w:rPr>
        <w:t xml:space="preserve">whose</w:t>
      </w:r>
      <w:r>
        <w:t xml:space="preserve"> action is foregrounded: the bill's procedural progress (</w:t>
      </w:r>
      <w:r>
        <w:rPr>
          <w:i/>
          <w:iCs/>
        </w:rPr>
        <w:t xml:space="preserve">Dawn</w:t>
      </w:r>
      <w:r>
        <w:t xml:space="preserve">) versus the opposition's behaviour (</w:t>
      </w:r>
      <w:r>
        <w:rPr>
          <w:i/>
          <w:iCs/>
        </w:rPr>
        <w:t xml:space="preserve">The Current</w:t>
      </w:r>
      <w:r>
        <w:t xml:space="preserve">).</w:t>
      </w:r>
    </w:p>
    <w:p>
      <w:pPr>
        <w:pStyle w:val="ListParagraph"/>
        <w:numPr>
          <w:ilvl w:val="0"/>
          <w:numId w:val="4"/>
        </w:numPr>
        <w:spacing w:after="120" w:line="276"/>
      </w:pPr>
      <w:r>
        <w:rPr>
          <w:b/>
          <w:bCs/>
        </w:rPr>
        <w:t xml:space="preserve">Alternative readings:</w:t>
      </w:r>
      <w:r>
        <w:t xml:space="preserve"> </w:t>
      </w:r>
      <w:r>
        <w:rPr>
          <w:i/>
          <w:iCs/>
        </w:rPr>
        <w:t xml:space="preserve">sailing through</w:t>
      </w:r>
      <w:r>
        <w:t xml:space="preserve"> could be read as quietly critical (the bill passed too easily) or simply as conventional headline idiom; </w:t>
      </w:r>
      <w:r>
        <w:rPr>
          <w:i/>
          <w:iCs/>
        </w:rPr>
        <w:t xml:space="preserve">skips</w:t>
      </w:r>
      <w:r>
        <w:t xml:space="preserve"> may reflect </w:t>
      </w:r>
      <w:r>
        <w:rPr>
          <w:i/>
          <w:iCs/>
        </w:rPr>
        <w:t xml:space="preserve">The Current</w:t>
      </w:r>
      <w:r>
        <w:t xml:space="preserve">'s informal, youth-oriented style rather than an evaluation of PTI. Only the full texts, and patterns across several texts, could decide between these readings.</w:t>
      </w:r>
    </w:p>
    <w:p>
      <w:pPr>
        <w:spacing w:after="120" w:line="276"/>
      </w:pPr>
      <w:r>
        <w:t xml:space="preserve">Notice what this example does </w:t>
      </w:r>
      <w:r>
        <w:rPr>
          <w:b/>
          <w:bCs/>
        </w:rPr>
        <w:t xml:space="preserve">not</w:t>
      </w:r>
      <w:r>
        <w:t xml:space="preserve"> do: it does not claim that either outlet is biased. Two headlines are far too little evidence for that.</w:t>
      </w:r>
    </w:p>
    <w:p>
      <w:pPr>
        <w:pBdr>
          <w:bottom w:val="single" w:color="999999" w:sz="6" w:space="1"/>
        </w:pBdr>
        <w:spacing w:after="120"/>
      </w:pPr>
    </w:p>
    <w:p>
      <w:pPr>
        <w:pStyle w:val="Heading1"/>
        <w:keepNext/>
        <w:spacing w:after="120" w:before="0"/>
        <w:jc w:val="center"/>
      </w:pPr>
      <w:r>
        <w:rPr>
          <w:b/>
          <w:bCs/>
          <w:sz w:val="32"/>
          <w:szCs w:val="32"/>
        </w:rPr>
        <w:t xml:space="preserve">Appendix B: Coding Sheet (one per text)</w:t>
      </w:r>
    </w:p>
    <w:p>
      <w:pPr>
        <w:spacing w:after="120" w:line="276"/>
      </w:pPr>
      <w:r>
        <w:rPr>
          <w:b/>
          <w:bCs/>
        </w:rPr>
        <w:t xml:space="preserve">Text ID:</w:t>
      </w:r>
      <w:r>
        <w:t xml:space="preserve"> ____ </w:t>
      </w:r>
      <w:r>
        <w:rPr>
          <w:b/>
          <w:bCs/>
        </w:rPr>
        <w:t xml:space="preserve">Outlet:</w:t>
      </w:r>
      <w:r>
        <w:t xml:space="preserve"> ____ </w:t>
      </w:r>
      <w:r>
        <w:rPr>
          <w:b/>
          <w:bCs/>
        </w:rPr>
        <w:t xml:space="preserve">Date:</w:t>
      </w:r>
      <w:r>
        <w:t xml:space="preserve"> ____ </w:t>
      </w:r>
      <w:r>
        <w:rPr>
          <w:b/>
          <w:bCs/>
        </w:rPr>
        <w:t xml:space="preserve">Stage:</w:t>
      </w:r>
      <w:r>
        <w:t xml:space="preserve"> E__ </w:t>
      </w:r>
      <w:r>
        <w:rPr>
          <w:b/>
          <w:bCs/>
        </w:rPr>
        <w:t xml:space="preserve">Words:</w:t>
      </w:r>
      <w:r>
        <w:t xml:space="preserve"> 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1"/>
        <w:gridCol w:w="1556"/>
        <w:gridCol w:w="2593"/>
        <w:gridCol w:w="1141"/>
        <w:gridCol w:w="1452"/>
        <w:gridCol w:w="1143"/>
      </w:tblGrid>
      <w:tr>
        <w:trPr>
          <w:tblHeader/>
        </w:trPr>
        <w:tc>
          <w:tcPr>
            <w:tcW w:type="dxa" w:w="11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Para.</w:t>
            </w:r>
          </w:p>
        </w:tc>
        <w:tc>
          <w:tcPr>
            <w:tcW w:type="dxa" w:w="15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Exact quotation</w:t>
            </w:r>
          </w:p>
        </w:tc>
        <w:tc>
          <w:tcPr>
            <w:tcW w:type="dxa" w:w="259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Category (from Table 3.2)</w:t>
            </w:r>
          </w:p>
        </w:tc>
        <w:tc>
          <w:tcPr>
            <w:tcW w:type="dxa" w:w="11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Actor(s)</w:t>
            </w:r>
          </w:p>
        </w:tc>
        <w:tc>
          <w:tcPr>
            <w:tcW w:type="dxa" w:w="14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Interpretation</w:t>
            </w:r>
          </w:p>
        </w:tc>
        <w:tc>
          <w:tcPr>
            <w:tcW w:type="dxa" w:w="114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RQ</w:t>
            </w:r>
          </w:p>
        </w:tc>
      </w:tr>
      <w:tr>
        <w:trPr>
          <w:tblHeader w:val="false"/>
        </w:trPr>
        <w:tc>
          <w:tcPr>
            <w:tcW w:type="dxa" w:w="11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55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25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45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r>
      <w:tr>
        <w:trPr>
          <w:tblHeader w:val="false"/>
        </w:trPr>
        <w:tc>
          <w:tcPr>
            <w:tcW w:type="dxa" w:w="11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55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25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4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45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114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r>
    </w:tbl>
    <w:p>
      <w:pPr>
        <w:spacing w:after="120"/>
      </w:pPr>
    </w:p>
    <w:p>
      <w:pPr>
        <w:spacing w:after="120" w:line="276"/>
      </w:pPr>
      <w:r>
        <w:rPr>
          <w:b/>
          <w:bCs/>
        </w:rPr>
        <w:t xml:space="preserve">Summary for this text:</w:t>
      </w:r>
      <w:r>
        <w:t xml:space="preserve"> main actors · who is quoted (in order) · dominant evaluation · notes for comparison.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2026-10-14T08:54:28.830Z</dcterms:created>
  <dcterms:modified xsi:type="dcterms:W3CDTF">2026-10-14T08:54:28.831Z</dcterms:modified>
</cp:coreProperties>
</file>

<file path=docProps/custom.xml><?xml version="1.0" encoding="utf-8"?>
<Properties xmlns="http://schemas.openxmlformats.org/officeDocument/2006/custom-properties" xmlns:vt="http://schemas.openxmlformats.org/officeDocument/2006/docPropsVTypes"/>
</file>