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20" w:before="0"/>
        <w:jc w:val="center"/>
      </w:pPr>
      <w:r>
        <w:rPr>
          <w:b/>
          <w:bCs/>
          <w:sz w:val="32"/>
          <w:szCs w:val="32"/>
        </w:rPr>
        <w:t xml:space="preserve">Stage 4 — Source Verification Register</w:t>
      </w:r>
    </w:p>
    <w:p>
      <w:pPr>
        <w:spacing w:after="120" w:line="276"/>
      </w:pPr>
      <w:r>
        <w:rPr>
          <w:b/>
          <w:bCs/>
        </w:rPr>
        <w:t xml:space="preserve">Thesis:</w:t>
      </w:r>
      <w:r>
        <w:t xml:space="preserve"> </w:t>
      </w:r>
      <w:r>
        <w:rPr>
          <w:i/>
          <w:iCs/>
        </w:rPr>
        <w:t xml:space="preserve">Digital Media vs</w:t>
      </w:r>
      <w:r>
        <w:t xml:space="preserve"> Dawn </w:t>
      </w:r>
      <w:r>
        <w:rPr>
          <w:i/>
          <w:iCs/>
        </w:rPr>
        <w:t xml:space="preserve">Newspaper: A Comparative Political Discourse Analysis of the Coverage of the 26th Constitutional Amendment</w:t>
      </w:r>
    </w:p>
    <w:p>
      <w:pPr>
        <w:spacing w:after="120" w:line="276"/>
      </w:pPr>
      <w:r>
        <w:rPr>
          <w:b/>
          <w:bCs/>
        </w:rPr>
        <w:t xml:space="preserve">Stage 3 decisions approved by researcher (14 Oct 2026):</w:t>
      </w:r>
      <w:r>
        <w:t xml:space="preserve"> P1 The Current + Voicepk.net (reserve: The Friday Times) · P2 16–28 Oct 2024 · P3 four-stage pairing (E1–E4) · P4 texts to be collected by the researcher or fetched once news-site access is enabled.</w:t>
      </w:r>
    </w:p>
    <w:p>
      <w:pPr>
        <w:spacing w:after="120" w:line="276"/>
      </w:pPr>
      <w:r>
        <w:rPr>
          <w:b/>
          <w:bCs/>
        </w:rPr>
        <w:t xml:space="preserve">Citation style:</w:t>
      </w:r>
      <w:r>
        <w:t xml:space="preserve"> APA 7th edition (departmental requirement). References below are already formatted in APA 7.</w:t>
      </w:r>
    </w:p>
    <w:p>
      <w:pPr>
        <w:pBdr>
          <w:bottom w:val="single" w:color="999999" w:sz="6" w:space="1"/>
        </w:pBdr>
        <w:spacing w:after="120"/>
      </w:pPr>
    </w:p>
    <w:p>
      <w:pPr>
        <w:pStyle w:val="Heading2"/>
        <w:keepNext/>
        <w:spacing w:after="120" w:before="240"/>
        <w:jc w:val="left"/>
      </w:pPr>
      <w:r>
        <w:rPr>
          <w:b/>
          <w:bCs/>
          <w:sz w:val="28"/>
          <w:szCs w:val="28"/>
        </w:rPr>
        <w:t xml:space="preserve">0. How sources were checked and what "verified" means</w:t>
      </w:r>
    </w:p>
    <w:p>
      <w:pPr>
        <w:spacing w:after="120" w:line="276"/>
      </w:pPr>
      <w:r>
        <w:t xml:space="preserve">This session cannot open Google Scholar, Crossref/DOI services or publisher websites directly, so every source was checked through web searches that returned </w:t>
      </w:r>
      <w:r>
        <w:rPr>
          <w:b/>
          <w:bCs/>
        </w:rPr>
        <w:t xml:space="preserve">publisher pages, library catalogues (e.g. WorldCat, British Library), journal websites or repository records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4"/>
        <w:gridCol w:w="5207"/>
        <w:gridCol w:w="2865"/>
      </w:tblGrid>
      <w:tr>
        <w:trPr>
          <w:tblHeader/>
        </w:trPr>
        <w:tc>
          <w:tcPr>
            <w:tcW w:type="dxa" w:w="95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Mark</w:t>
            </w:r>
          </w:p>
        </w:tc>
        <w:tc>
          <w:tcPr>
            <w:tcW w:type="dxa" w:w="520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Meaning</w:t>
            </w:r>
          </w:p>
        </w:tc>
        <w:tc>
          <w:tcPr>
            <w:tcW w:type="dxa" w:w="286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May it be cited?</w:t>
            </w:r>
          </w:p>
        </w:tc>
      </w:tr>
      <w:tr>
        <w:trPr>
          <w:tblHeader w:val="false"/>
        </w:trPr>
        <w:tc>
          <w:tcPr>
            <w:tcW w:type="dxa" w:w="9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w:t>
            </w:r>
          </w:p>
        </w:tc>
        <w:tc>
          <w:tcPr>
            <w:tcW w:type="dxa" w:w="52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Authors, year, title and venue confirmed by at least one publisher, journal, catalogue or repository record</w:t>
            </w:r>
          </w:p>
        </w:tc>
        <w:tc>
          <w:tcPr>
            <w:tcW w:type="dxa" w:w="286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Yes</w:t>
            </w:r>
          </w:p>
        </w:tc>
      </w:tr>
      <w:tr>
        <w:trPr>
          <w:tblHeader w:val="false"/>
        </w:trPr>
        <w:tc>
          <w:tcPr>
            <w:tcW w:type="dxa" w:w="9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w:t>
            </w:r>
          </w:p>
        </w:tc>
        <w:tc>
          <w:tcPr>
            <w:tcW w:type="dxa" w:w="52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The source exists, but </w:t>
            </w:r>
            <w:r>
              <w:rPr>
                <w:b/>
                <w:bCs/>
                <w:sz w:val="20"/>
                <w:szCs w:val="20"/>
              </w:rPr>
              <w:t xml:space="preserve">one detail</w:t>
            </w:r>
            <w:r>
              <w:rPr>
                <w:sz w:val="20"/>
                <w:szCs w:val="20"/>
              </w:rPr>
              <w:t xml:space="preserve"> is uncertain (named in the table)</w:t>
            </w:r>
          </w:p>
        </w:tc>
        <w:tc>
          <w:tcPr>
            <w:tcW w:type="dxa" w:w="286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Yes, </w:t>
            </w:r>
            <w:r>
              <w:rPr>
                <w:b/>
                <w:bCs/>
                <w:sz w:val="20"/>
                <w:szCs w:val="20"/>
              </w:rPr>
              <w:t xml:space="preserve">after</w:t>
            </w:r>
            <w:r>
              <w:rPr>
                <w:sz w:val="20"/>
                <w:szCs w:val="20"/>
              </w:rPr>
              <w:t xml:space="preserve"> that detail is checked</w:t>
            </w:r>
          </w:p>
        </w:tc>
      </w:tr>
      <w:tr>
        <w:trPr>
          <w:tblHeader w:val="false"/>
        </w:trPr>
        <w:tc>
          <w:tcPr>
            <w:tcW w:type="dxa" w:w="9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w:t>
            </w:r>
          </w:p>
        </w:tc>
        <w:tc>
          <w:tcPr>
            <w:tcW w:type="dxa" w:w="52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Could not be confirmed, or details conflict</w:t>
            </w:r>
          </w:p>
        </w:tc>
        <w:tc>
          <w:tcPr>
            <w:tcW w:type="dxa" w:w="286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b/>
                <w:bCs/>
                <w:sz w:val="20"/>
                <w:szCs w:val="20"/>
              </w:rPr>
              <w:t xml:space="preserve">No.</w:t>
            </w:r>
            <w:r>
              <w:rPr>
                <w:sz w:val="20"/>
                <w:szCs w:val="20"/>
              </w:rPr>
              <w:t xml:space="preserve"> Removed</w:t>
            </w:r>
          </w:p>
        </w:tc>
      </w:tr>
    </w:tbl>
    <w:p>
      <w:pPr>
        <w:spacing w:after="120"/>
      </w:pPr>
    </w:p>
    <w:p>
      <w:pPr>
        <w:spacing w:after="120" w:line="276"/>
      </w:pPr>
      <w:r>
        <w:rPr>
          <w:b/>
          <w:bCs/>
        </w:rPr>
        <w:t xml:space="preserve">Important limit:</w:t>
      </w:r>
      <w:r>
        <w:t xml:space="preserve"> "verified" means the </w:t>
      </w:r>
      <w:r>
        <w:rPr>
          <w:b/>
          <w:bCs/>
        </w:rPr>
        <w:t xml:space="preserve">source exists with these details</w:t>
      </w:r>
      <w:r>
        <w:t xml:space="preserve">. In most cases </w:t>
      </w:r>
      <w:r>
        <w:rPr>
          <w:b/>
          <w:bCs/>
        </w:rPr>
        <w:t xml:space="preserve">only the abstract</w:t>
      </w:r>
      <w:r>
        <w:t xml:space="preserve"> has been seen. Before Chapter 2 reports any study's </w:t>
      </w:r>
      <w:r>
        <w:rPr>
          <w:i/>
          <w:iCs/>
        </w:rPr>
        <w:t xml:space="preserve">findings</w:t>
      </w:r>
      <w:r>
        <w:t xml:space="preserve">, the full text (or at least the abstract) must be read, and findings will be reported </w:t>
      </w:r>
      <w:r>
        <w:rPr>
          <w:b/>
          <w:bCs/>
        </w:rPr>
        <w:t xml:space="preserve">only as far as that reading supports</w:t>
      </w:r>
      <w:r>
        <w:t xml:space="preserve">. Any claim drawn only from an abstract will be worded accordingly (e.g. "the abstract reports…").</w:t>
      </w:r>
    </w:p>
    <w:p>
      <w:pPr>
        <w:pBdr>
          <w:bottom w:val="single" w:color="999999" w:sz="6" w:space="1"/>
        </w:pBdr>
        <w:spacing w:after="120"/>
      </w:pPr>
    </w:p>
    <w:p>
      <w:pPr>
        <w:pStyle w:val="Heading2"/>
        <w:keepNext/>
        <w:spacing w:after="120" w:before="240"/>
        <w:jc w:val="left"/>
      </w:pPr>
      <w:r>
        <w:rPr>
          <w:b/>
          <w:bCs/>
          <w:sz w:val="28"/>
          <w:szCs w:val="28"/>
        </w:rPr>
        <w:t xml:space="preserve">1. Theory and method (Chapter 2.1, Chapter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19"/>
        <w:gridCol w:w="2835"/>
        <w:gridCol w:w="2835"/>
        <w:gridCol w:w="2837"/>
      </w:tblGrid>
      <w:tr>
        <w:trPr>
          <w:tblHeader/>
        </w:trPr>
        <w:tc>
          <w:tcPr>
            <w:tcW w:type="dxa" w:w="51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w:t>
            </w:r>
          </w:p>
        </w:tc>
        <w:tc>
          <w:tcPr>
            <w:tcW w:type="dxa" w:w="283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APA 7 reference</w:t>
            </w:r>
          </w:p>
        </w:tc>
        <w:tc>
          <w:tcPr>
            <w:tcW w:type="dxa" w:w="283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Status</w:t>
            </w:r>
          </w:p>
        </w:tc>
        <w:tc>
          <w:tcPr>
            <w:tcW w:type="dxa" w:w="283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Use in thesis</w:t>
            </w:r>
          </w:p>
        </w:tc>
      </w:tr>
      <w:tr>
        <w:trPr>
          <w:tblHeader w:val="false"/>
        </w:trPr>
        <w:tc>
          <w:tcPr>
            <w:tcW w:type="dxa" w:w="5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T1</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Fairclough, N. (1989). </w:t>
            </w:r>
            <w:r>
              <w:rPr>
                <w:i/>
                <w:iCs/>
                <w:sz w:val="20"/>
                <w:szCs w:val="20"/>
              </w:rPr>
              <w:t xml:space="preserve">Language and power</w:t>
            </w:r>
            <w:r>
              <w:rPr>
                <w:sz w:val="20"/>
                <w:szCs w:val="20"/>
              </w:rPr>
              <w:t xml:space="preserve">. Longman.</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 (2nd ed. 2001 also exists; cite the edition actually used)</w:t>
            </w:r>
          </w:p>
        </w:tc>
        <w:tc>
          <w:tcPr>
            <w:tcW w:type="dxa" w:w="2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CDA foundations; power and ideology</w:t>
            </w:r>
          </w:p>
        </w:tc>
      </w:tr>
      <w:tr>
        <w:trPr>
          <w:tblHeader w:val="false"/>
        </w:trPr>
        <w:tc>
          <w:tcPr>
            <w:tcW w:type="dxa" w:w="5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T2</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Fairclough, N. (1992). </w:t>
            </w:r>
            <w:r>
              <w:rPr>
                <w:i/>
                <w:iCs/>
                <w:sz w:val="20"/>
                <w:szCs w:val="20"/>
              </w:rPr>
              <w:t xml:space="preserve">Discourse and social change</w:t>
            </w:r>
            <w:r>
              <w:rPr>
                <w:sz w:val="20"/>
                <w:szCs w:val="20"/>
              </w:rPr>
              <w:t xml:space="preserve">. Polity Press.</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w:t>
            </w:r>
          </w:p>
        </w:tc>
        <w:tc>
          <w:tcPr>
            <w:tcW w:type="dxa" w:w="2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b/>
                <w:bCs/>
                <w:sz w:val="20"/>
                <w:szCs w:val="20"/>
              </w:rPr>
              <w:t xml:space="preserve">Three-dimensional model</w:t>
            </w:r>
            <w:r>
              <w:rPr>
                <w:sz w:val="20"/>
                <w:szCs w:val="20"/>
              </w:rPr>
              <w:t xml:space="preserve"> (main framework)</w:t>
            </w:r>
          </w:p>
        </w:tc>
      </w:tr>
      <w:tr>
        <w:trPr>
          <w:tblHeader w:val="false"/>
        </w:trPr>
        <w:tc>
          <w:tcPr>
            <w:tcW w:type="dxa" w:w="5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T3</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Fairclough, N. (1995). </w:t>
            </w:r>
            <w:r>
              <w:rPr>
                <w:i/>
                <w:iCs/>
                <w:sz w:val="20"/>
                <w:szCs w:val="20"/>
              </w:rPr>
              <w:t xml:space="preserve">Media discourse</w:t>
            </w:r>
            <w:r>
              <w:rPr>
                <w:sz w:val="20"/>
                <w:szCs w:val="20"/>
              </w:rPr>
              <w:t xml:space="preserve">. Edward Arnold.</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w:t>
            </w:r>
          </w:p>
        </w:tc>
        <w:tc>
          <w:tcPr>
            <w:tcW w:type="dxa" w:w="2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Applying CDA to news media</w:t>
            </w:r>
          </w:p>
        </w:tc>
      </w:tr>
      <w:tr>
        <w:trPr>
          <w:tblHeader w:val="false"/>
        </w:trPr>
        <w:tc>
          <w:tcPr>
            <w:tcW w:type="dxa" w:w="5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T4</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van Dijk, T. A. (1988). </w:t>
            </w:r>
            <w:r>
              <w:rPr>
                <w:i/>
                <w:iCs/>
                <w:sz w:val="20"/>
                <w:szCs w:val="20"/>
              </w:rPr>
              <w:t xml:space="preserve">News as discourse</w:t>
            </w:r>
            <w:r>
              <w:rPr>
                <w:sz w:val="20"/>
                <w:szCs w:val="20"/>
              </w:rPr>
              <w:t xml:space="preserve">. Lawrence Erlbaum.</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 Publisher inferred from ISBN 0805808280 (Erlbaum prefix) and Hillsdale, NJ; confirm on title page</w:t>
            </w:r>
          </w:p>
        </w:tc>
        <w:tc>
          <w:tcPr>
            <w:tcW w:type="dxa" w:w="2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Structure of news; headlines</w:t>
            </w:r>
          </w:p>
        </w:tc>
      </w:tr>
      <w:tr>
        <w:trPr>
          <w:tblHeader w:val="false"/>
        </w:trPr>
        <w:tc>
          <w:tcPr>
            <w:tcW w:type="dxa" w:w="5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T5</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van Dijk, T. A. (1998). </w:t>
            </w:r>
            <w:r>
              <w:rPr>
                <w:i/>
                <w:iCs/>
                <w:sz w:val="20"/>
                <w:szCs w:val="20"/>
              </w:rPr>
              <w:t xml:space="preserve">Ideology: A multidisciplinary approach</w:t>
            </w:r>
            <w:r>
              <w:rPr>
                <w:sz w:val="20"/>
                <w:szCs w:val="20"/>
              </w:rPr>
              <w:t xml:space="preserve">. Sage.</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 (Sage listing)</w:t>
            </w:r>
          </w:p>
        </w:tc>
        <w:tc>
          <w:tcPr>
            <w:tcW w:type="dxa" w:w="2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Ideology theory; </w:t>
            </w:r>
            <w:r>
              <w:rPr>
                <w:b/>
                <w:bCs/>
                <w:sz w:val="20"/>
                <w:szCs w:val="20"/>
              </w:rPr>
              <w:t xml:space="preserve">ideological square</w:t>
            </w:r>
          </w:p>
        </w:tc>
      </w:tr>
      <w:tr>
        <w:trPr>
          <w:tblHeader w:val="false"/>
        </w:trPr>
        <w:tc>
          <w:tcPr>
            <w:tcW w:type="dxa" w:w="5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T6</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van Dijk, T. A. (2006). Ideology and discourse analysis. </w:t>
            </w:r>
            <w:r>
              <w:rPr>
                <w:i/>
                <w:iCs/>
                <w:sz w:val="20"/>
                <w:szCs w:val="20"/>
              </w:rPr>
              <w:t xml:space="preserve">Journal of Political Ideologies, 11</w:t>
            </w:r>
            <w:r>
              <w:rPr>
                <w:sz w:val="20"/>
                <w:szCs w:val="20"/>
              </w:rPr>
              <w:t xml:space="preserve">(2), 115–140. https://doi.org/10.1080/13569310600687908</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w:t>
            </w:r>
          </w:p>
        </w:tc>
        <w:tc>
          <w:tcPr>
            <w:tcW w:type="dxa" w:w="2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Concise statement of the ideological square; easier to read than T5</w:t>
            </w:r>
          </w:p>
        </w:tc>
      </w:tr>
      <w:tr>
        <w:trPr>
          <w:tblHeader w:val="false"/>
        </w:trPr>
        <w:tc>
          <w:tcPr>
            <w:tcW w:type="dxa" w:w="5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T7</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Entman, R. M. (1993). Framing: Toward clarification of a fractured paradigm. </w:t>
            </w:r>
            <w:r>
              <w:rPr>
                <w:i/>
                <w:iCs/>
                <w:sz w:val="20"/>
                <w:szCs w:val="20"/>
              </w:rPr>
              <w:t xml:space="preserve">Journal of Communication, 43</w:t>
            </w:r>
            <w:r>
              <w:rPr>
                <w:sz w:val="20"/>
                <w:szCs w:val="20"/>
              </w:rPr>
              <w:t xml:space="preserve">(4), 51–58. https://doi.org/10.1111/j.1460-2466.1993.tb01304.x</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w:t>
            </w:r>
          </w:p>
        </w:tc>
        <w:tc>
          <w:tcPr>
            <w:tcW w:type="dxa" w:w="2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Definition of framing (supporting concept only)</w:t>
            </w:r>
          </w:p>
        </w:tc>
      </w:tr>
      <w:tr>
        <w:trPr>
          <w:tblHeader w:val="false"/>
        </w:trPr>
        <w:tc>
          <w:tcPr>
            <w:tcW w:type="dxa" w:w="5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T8</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Reisigl, M., &amp; Wodak, R. (2001). </w:t>
            </w:r>
            <w:r>
              <w:rPr>
                <w:i/>
                <w:iCs/>
                <w:sz w:val="20"/>
                <w:szCs w:val="20"/>
              </w:rPr>
              <w:t xml:space="preserve">Discourse and discrimination: Rhetorics of racism and antisemitism</w:t>
            </w:r>
            <w:r>
              <w:rPr>
                <w:sz w:val="20"/>
                <w:szCs w:val="20"/>
              </w:rPr>
              <w:t xml:space="preserve">. Routledge.</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w:t>
            </w:r>
          </w:p>
        </w:tc>
        <w:tc>
          <w:tcPr>
            <w:tcW w:type="dxa" w:w="2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Source of </w:t>
            </w:r>
            <w:r>
              <w:rPr>
                <w:b/>
                <w:bCs/>
                <w:sz w:val="20"/>
                <w:szCs w:val="20"/>
              </w:rPr>
              <w:t xml:space="preserve">nomination</w:t>
            </w:r>
            <w:r>
              <w:rPr>
                <w:sz w:val="20"/>
                <w:szCs w:val="20"/>
              </w:rPr>
              <w:t xml:space="preserve"> and </w:t>
            </w:r>
            <w:r>
              <w:rPr>
                <w:b/>
                <w:bCs/>
                <w:sz w:val="20"/>
                <w:szCs w:val="20"/>
              </w:rPr>
              <w:t xml:space="preserve">predication</w:t>
            </w:r>
            <w:r>
              <w:rPr>
                <w:sz w:val="20"/>
                <w:szCs w:val="20"/>
              </w:rPr>
              <w:t xml:space="preserve"> categories</w:t>
            </w:r>
          </w:p>
        </w:tc>
      </w:tr>
      <w:tr>
        <w:trPr>
          <w:tblHeader w:val="false"/>
        </w:trPr>
        <w:tc>
          <w:tcPr>
            <w:tcW w:type="dxa" w:w="5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T9</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van Leeuwen, T. (2008). </w:t>
            </w:r>
            <w:r>
              <w:rPr>
                <w:i/>
                <w:iCs/>
                <w:sz w:val="20"/>
                <w:szCs w:val="20"/>
              </w:rPr>
              <w:t xml:space="preserve">Discourse and practice: New tools for critical discourse analysis</w:t>
            </w:r>
            <w:r>
              <w:rPr>
                <w:sz w:val="20"/>
                <w:szCs w:val="20"/>
              </w:rPr>
              <w:t xml:space="preserve">. Oxford University Press.</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 Some catalogues give the subtitle as "New tools for critical analysis"; check the cover</w:t>
            </w:r>
          </w:p>
        </w:tc>
        <w:tc>
          <w:tcPr>
            <w:tcW w:type="dxa" w:w="2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b/>
                <w:bCs/>
                <w:sz w:val="20"/>
                <w:szCs w:val="20"/>
              </w:rPr>
              <w:t xml:space="preserve">Representation of social actors</w:t>
            </w:r>
            <w:r>
              <w:rPr>
                <w:sz w:val="20"/>
                <w:szCs w:val="20"/>
              </w:rPr>
              <w:t xml:space="preserve"> (useful for RQ1)</w:t>
            </w:r>
          </w:p>
        </w:tc>
      </w:tr>
      <w:tr>
        <w:trPr>
          <w:tblHeader w:val="false"/>
        </w:trPr>
        <w:tc>
          <w:tcPr>
            <w:tcW w:type="dxa" w:w="5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T10</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Fowler, R. (1991). </w:t>
            </w:r>
            <w:r>
              <w:rPr>
                <w:i/>
                <w:iCs/>
                <w:sz w:val="20"/>
                <w:szCs w:val="20"/>
              </w:rPr>
              <w:t xml:space="preserve">Language in the news: Discourse and ideology in the press</w:t>
            </w:r>
            <w:r>
              <w:rPr>
                <w:sz w:val="20"/>
                <w:szCs w:val="20"/>
              </w:rPr>
              <w:t xml:space="preserve">. Routledge.</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w:t>
            </w:r>
          </w:p>
        </w:tc>
        <w:tc>
          <w:tcPr>
            <w:tcW w:type="dxa" w:w="2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Critical linguistics of news; transitivity in news</w:t>
            </w:r>
          </w:p>
        </w:tc>
      </w:tr>
      <w:tr>
        <w:trPr>
          <w:tblHeader w:val="false"/>
        </w:trPr>
        <w:tc>
          <w:tcPr>
            <w:tcW w:type="dxa" w:w="5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T11</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Richardson, J. E. (2007). </w:t>
            </w:r>
            <w:r>
              <w:rPr>
                <w:i/>
                <w:iCs/>
                <w:sz w:val="20"/>
                <w:szCs w:val="20"/>
              </w:rPr>
              <w:t xml:space="preserve">Analysing newspapers: An approach from critical discourse analysis</w:t>
            </w:r>
            <w:r>
              <w:rPr>
                <w:sz w:val="20"/>
                <w:szCs w:val="20"/>
              </w:rPr>
              <w:t xml:space="preserve">. Palgrave Macmillan.</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w:t>
            </w:r>
          </w:p>
        </w:tc>
        <w:tc>
          <w:tcPr>
            <w:tcW w:type="dxa" w:w="2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Practical CDA tools for newspaper texts (lexis, presupposition, quotation)</w:t>
            </w:r>
          </w:p>
        </w:tc>
      </w:tr>
      <w:tr>
        <w:trPr>
          <w:tblHeader w:val="false"/>
        </w:trPr>
        <w:tc>
          <w:tcPr>
            <w:tcW w:type="dxa" w:w="5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T12</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Wodak, R., &amp; Meyer, M. (Eds.). (2016). </w:t>
            </w:r>
            <w:r>
              <w:rPr>
                <w:i/>
                <w:iCs/>
                <w:sz w:val="20"/>
                <w:szCs w:val="20"/>
              </w:rPr>
              <w:t xml:space="preserve">Methods of critical discourse studies</w:t>
            </w:r>
            <w:r>
              <w:rPr>
                <w:sz w:val="20"/>
                <w:szCs w:val="20"/>
              </w:rPr>
              <w:t xml:space="preserve"> (3rd ed.). Sage.</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 Sage page says Oct 2015; library records say 2016. Use the year printed in the copy consulted</w:t>
            </w:r>
          </w:p>
        </w:tc>
        <w:tc>
          <w:tcPr>
            <w:tcW w:type="dxa" w:w="2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Overview of CDA approaches; justifying the choice of Fairclough</w:t>
            </w:r>
          </w:p>
        </w:tc>
      </w:tr>
      <w:tr>
        <w:trPr>
          <w:tblHeader w:val="false"/>
        </w:trPr>
        <w:tc>
          <w:tcPr>
            <w:tcW w:type="dxa" w:w="5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T13</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Chilton, P. (2004). </w:t>
            </w:r>
            <w:r>
              <w:rPr>
                <w:i/>
                <w:iCs/>
                <w:sz w:val="20"/>
                <w:szCs w:val="20"/>
              </w:rPr>
              <w:t xml:space="preserve">Analysing political discourse: Theory and practice</w:t>
            </w:r>
            <w:r>
              <w:rPr>
                <w:sz w:val="20"/>
                <w:szCs w:val="20"/>
              </w:rPr>
              <w:t xml:space="preserve">. Routledge.</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w:t>
            </w:r>
          </w:p>
        </w:tc>
        <w:tc>
          <w:tcPr>
            <w:tcW w:type="dxa" w:w="2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Political discourse; also a critique of some CDA assumptions (useful for balance)</w:t>
            </w:r>
          </w:p>
        </w:tc>
      </w:tr>
      <w:tr>
        <w:trPr>
          <w:tblHeader w:val="false"/>
        </w:trPr>
        <w:tc>
          <w:tcPr>
            <w:tcW w:type="dxa" w:w="5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T14</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Halliday, M. A. K., &amp; Matthiessen, C. M. I. M. (2014). </w:t>
            </w:r>
            <w:r>
              <w:rPr>
                <w:i/>
                <w:iCs/>
                <w:sz w:val="20"/>
                <w:szCs w:val="20"/>
              </w:rPr>
              <w:t xml:space="preserve">Halliday's introduction to functional grammar</w:t>
            </w:r>
            <w:r>
              <w:rPr>
                <w:sz w:val="20"/>
                <w:szCs w:val="20"/>
              </w:rPr>
              <w:t xml:space="preserve"> (4th ed.). Routledge.</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 Some listings give 2013; confirm the year on the copyright page</w:t>
            </w:r>
          </w:p>
        </w:tc>
        <w:tc>
          <w:tcPr>
            <w:tcW w:type="dxa" w:w="2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b/>
                <w:bCs/>
                <w:sz w:val="20"/>
                <w:szCs w:val="20"/>
              </w:rPr>
              <w:t xml:space="preserve">Transitivity</w:t>
            </w:r>
            <w:r>
              <w:rPr>
                <w:sz w:val="20"/>
                <w:szCs w:val="20"/>
              </w:rPr>
              <w:t xml:space="preserve"> (who does what to whom)</w:t>
            </w:r>
          </w:p>
        </w:tc>
      </w:tr>
    </w:tbl>
    <w:p>
      <w:pPr>
        <w:spacing w:after="120"/>
      </w:pPr>
    </w:p>
    <w:p>
      <w:pPr>
        <w:pBdr>
          <w:bottom w:val="single" w:color="999999" w:sz="6" w:space="1"/>
        </w:pBdr>
        <w:spacing w:after="120"/>
      </w:pPr>
    </w:p>
    <w:p>
      <w:pPr>
        <w:pStyle w:val="Heading2"/>
        <w:keepNext/>
        <w:spacing w:after="120" w:before="240"/>
        <w:jc w:val="left"/>
      </w:pPr>
      <w:r>
        <w:rPr>
          <w:b/>
          <w:bCs/>
          <w:sz w:val="28"/>
          <w:szCs w:val="28"/>
        </w:rPr>
        <w:t xml:space="preserve">2. Digital journalism and online vs print news (Chapter 2.2.2, 2.2.4)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19"/>
        <w:gridCol w:w="2835"/>
        <w:gridCol w:w="2835"/>
        <w:gridCol w:w="2837"/>
      </w:tblGrid>
      <w:tr>
        <w:trPr>
          <w:tblHeader/>
        </w:trPr>
        <w:tc>
          <w:tcPr>
            <w:tcW w:type="dxa" w:w="51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w:t>
            </w:r>
          </w:p>
        </w:tc>
        <w:tc>
          <w:tcPr>
            <w:tcW w:type="dxa" w:w="283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APA 7 reference</w:t>
            </w:r>
          </w:p>
        </w:tc>
        <w:tc>
          <w:tcPr>
            <w:tcW w:type="dxa" w:w="283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Status</w:t>
            </w:r>
          </w:p>
        </w:tc>
        <w:tc>
          <w:tcPr>
            <w:tcW w:type="dxa" w:w="283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Use in thesis</w:t>
            </w:r>
          </w:p>
        </w:tc>
      </w:tr>
      <w:tr>
        <w:trPr>
          <w:tblHeader w:val="false"/>
        </w:trPr>
        <w:tc>
          <w:tcPr>
            <w:tcW w:type="dxa" w:w="5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J1</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Deuze, M. (2003). The web and its journalisms: Considering the consequences of different types of newsmedia online. </w:t>
            </w:r>
            <w:r>
              <w:rPr>
                <w:i/>
                <w:iCs/>
                <w:sz w:val="20"/>
                <w:szCs w:val="20"/>
              </w:rPr>
              <w:t xml:space="preserve">New Media &amp; Society, 5</w:t>
            </w:r>
            <w:r>
              <w:rPr>
                <w:sz w:val="20"/>
                <w:szCs w:val="20"/>
              </w:rPr>
              <w:t xml:space="preserve">(2), 203–230. https://doi.org/10.1177/1461444803005002004</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w:t>
            </w:r>
          </w:p>
        </w:tc>
        <w:tc>
          <w:tcPr>
            <w:tcW w:type="dxa" w:w="2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Typology of online journalism; how online characteristics shape news</w:t>
            </w:r>
          </w:p>
        </w:tc>
      </w:tr>
      <w:tr>
        <w:trPr>
          <w:tblHeader w:val="false"/>
        </w:trPr>
        <w:tc>
          <w:tcPr>
            <w:tcW w:type="dxa" w:w="5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J2</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Karlsson, M. (2011). The immediacy of online news, the visibility of journalistic processes and a restructuring of journalistic authority. </w:t>
            </w:r>
            <w:r>
              <w:rPr>
                <w:i/>
                <w:iCs/>
                <w:sz w:val="20"/>
                <w:szCs w:val="20"/>
              </w:rPr>
              <w:t xml:space="preserve">Journalism, 12</w:t>
            </w:r>
            <w:r>
              <w:rPr>
                <w:sz w:val="20"/>
                <w:szCs w:val="20"/>
              </w:rPr>
              <w:t xml:space="preserve">(3), 279–295. https://doi.org/10.1177/1464884910388223</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w:t>
            </w:r>
          </w:p>
        </w:tc>
        <w:tc>
          <w:tcPr>
            <w:tcW w:type="dxa" w:w="2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Speed and provisional nature of online news</w:t>
            </w:r>
          </w:p>
        </w:tc>
      </w:tr>
      <w:tr>
        <w:trPr>
          <w:tblHeader w:val="false"/>
        </w:trPr>
        <w:tc>
          <w:tcPr>
            <w:tcW w:type="dxa" w:w="5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J3</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Quandt, T. (2008). (No) news on the World Wide Web? A comparative content analysis of online news in Europe and the United States. </w:t>
            </w:r>
            <w:r>
              <w:rPr>
                <w:i/>
                <w:iCs/>
                <w:sz w:val="20"/>
                <w:szCs w:val="20"/>
              </w:rPr>
              <w:t xml:space="preserve">Journalism Studies, 9</w:t>
            </w:r>
            <w:r>
              <w:rPr>
                <w:sz w:val="20"/>
                <w:szCs w:val="20"/>
              </w:rPr>
              <w:t xml:space="preserve">(5), 717–738.</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 DOI not yet retrieved</w:t>
            </w:r>
          </w:p>
        </w:tc>
        <w:tc>
          <w:tcPr>
            <w:tcW w:type="dxa" w:w="2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Evidence that online news often repeats conventional formats</w:t>
            </w:r>
          </w:p>
        </w:tc>
      </w:tr>
      <w:tr>
        <w:trPr>
          <w:tblHeader w:val="false"/>
        </w:trPr>
        <w:tc>
          <w:tcPr>
            <w:tcW w:type="dxa" w:w="5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J4</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Ghersetti, M. (2014). Still the same? Comparing news content in online and print media. </w:t>
            </w:r>
            <w:r>
              <w:rPr>
                <w:i/>
                <w:iCs/>
                <w:sz w:val="20"/>
                <w:szCs w:val="20"/>
              </w:rPr>
              <w:t xml:space="preserve">Journalism Practice, 8</w:t>
            </w:r>
            <w:r>
              <w:rPr>
                <w:sz w:val="20"/>
                <w:szCs w:val="20"/>
              </w:rPr>
              <w:t xml:space="preserve">(4), 373–389. https://doi.org/10.1080/17512786.2013.813201</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 Title, journal, volume, pages and DOI confirmed; </w:t>
            </w:r>
            <w:r>
              <w:rPr>
                <w:b/>
                <w:bCs/>
                <w:sz w:val="20"/>
                <w:szCs w:val="20"/>
              </w:rPr>
              <w:t xml:space="preserve">author name taken from citing reference lists</w:t>
            </w:r>
            <w:r>
              <w:rPr>
                <w:sz w:val="20"/>
                <w:szCs w:val="20"/>
              </w:rPr>
              <w:t xml:space="preserve">, so confirm on the publisher page</w:t>
            </w:r>
          </w:p>
        </w:tc>
        <w:tc>
          <w:tcPr>
            <w:tcW w:type="dxa" w:w="2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b/>
                <w:bCs/>
                <w:sz w:val="20"/>
                <w:szCs w:val="20"/>
              </w:rPr>
              <w:t xml:space="preserve">Key comparison study</w:t>
            </w:r>
            <w:r>
              <w:rPr>
                <w:sz w:val="20"/>
                <w:szCs w:val="20"/>
              </w:rPr>
              <w:t xml:space="preserve">: found no significant online/print difference (Swedish 2010 election). Gives the thesis a genuine "open question"</w:t>
            </w:r>
          </w:p>
        </w:tc>
      </w:tr>
      <w:tr>
        <w:trPr>
          <w:tblHeader w:val="false"/>
        </w:trPr>
        <w:tc>
          <w:tcPr>
            <w:tcW w:type="dxa" w:w="5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J5</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Nicholls, T., Shabbir, N., &amp; Nielsen, R. K. (2016). </w:t>
            </w:r>
            <w:r>
              <w:rPr>
                <w:i/>
                <w:iCs/>
                <w:sz w:val="20"/>
                <w:szCs w:val="20"/>
              </w:rPr>
              <w:t xml:space="preserve">Digital-born news media in Europe</w:t>
            </w:r>
            <w:r>
              <w:rPr>
                <w:sz w:val="20"/>
                <w:szCs w:val="20"/>
              </w:rPr>
              <w:t xml:space="preserve">. Reuters Institute for the Study of Journalism.</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w:t>
            </w:r>
          </w:p>
        </w:tc>
        <w:tc>
          <w:tcPr>
            <w:tcW w:type="dxa" w:w="2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b/>
                <w:bCs/>
                <w:sz w:val="20"/>
                <w:szCs w:val="20"/>
              </w:rPr>
              <w:t xml:space="preserve">Definition of "digital-born" (digital-native) outlets</w:t>
            </w:r>
            <w:r>
              <w:rPr>
                <w:sz w:val="20"/>
                <w:szCs w:val="20"/>
              </w:rPr>
              <w:t xml:space="preserve">; supports the operational definition in Ch. 1.7</w:t>
            </w:r>
          </w:p>
        </w:tc>
      </w:tr>
    </w:tbl>
    <w:p>
      <w:pPr>
        <w:spacing w:after="120"/>
      </w:pPr>
    </w:p>
    <w:p>
      <w:pPr>
        <w:pBdr>
          <w:bottom w:val="single" w:color="999999" w:sz="6" w:space="1"/>
        </w:pBdr>
        <w:spacing w:after="120"/>
      </w:pPr>
    </w:p>
    <w:p>
      <w:pPr>
        <w:pStyle w:val="Heading2"/>
        <w:keepNext/>
        <w:spacing w:after="120" w:before="240"/>
        <w:jc w:val="left"/>
      </w:pPr>
      <w:r>
        <w:rPr>
          <w:b/>
          <w:bCs/>
          <w:sz w:val="28"/>
          <w:szCs w:val="28"/>
        </w:rPr>
        <w:t xml:space="preserve">3. Pakistani studies of news discourse (Chapter 2.2.3)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19"/>
        <w:gridCol w:w="2835"/>
        <w:gridCol w:w="2835"/>
        <w:gridCol w:w="2837"/>
      </w:tblGrid>
      <w:tr>
        <w:trPr>
          <w:tblHeader/>
        </w:trPr>
        <w:tc>
          <w:tcPr>
            <w:tcW w:type="dxa" w:w="51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w:t>
            </w:r>
          </w:p>
        </w:tc>
        <w:tc>
          <w:tcPr>
            <w:tcW w:type="dxa" w:w="283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APA 7 reference</w:t>
            </w:r>
          </w:p>
        </w:tc>
        <w:tc>
          <w:tcPr>
            <w:tcW w:type="dxa" w:w="283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Status</w:t>
            </w:r>
          </w:p>
        </w:tc>
        <w:tc>
          <w:tcPr>
            <w:tcW w:type="dxa" w:w="283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Relevance</w:t>
            </w:r>
          </w:p>
        </w:tc>
      </w:tr>
      <w:tr>
        <w:trPr>
          <w:tblHeader w:val="false"/>
        </w:trPr>
        <w:tc>
          <w:tcPr>
            <w:tcW w:type="dxa" w:w="5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P1</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Sajid, M. A., Anwar, B., &amp; Ashraf, M. (2019). Politics, ideology and print media: A CDA of newspapers' headlines. </w:t>
            </w:r>
            <w:r>
              <w:rPr>
                <w:i/>
                <w:iCs/>
                <w:sz w:val="20"/>
                <w:szCs w:val="20"/>
              </w:rPr>
              <w:t xml:space="preserve">Khazar Journal of Humanities and Social Sciences, 22</w:t>
            </w:r>
            <w:r>
              <w:rPr>
                <w:sz w:val="20"/>
                <w:szCs w:val="20"/>
              </w:rPr>
              <w:t xml:space="preserve">(3). https://doi.org/10.5782/2223-2621.2019.22.3.44</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 Page range not yet retrieved</w:t>
            </w:r>
          </w:p>
        </w:tc>
        <w:tc>
          <w:tcPr>
            <w:tcW w:type="dxa" w:w="2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Political headlines in </w:t>
            </w:r>
            <w:r>
              <w:rPr>
                <w:i/>
                <w:iCs/>
                <w:sz w:val="20"/>
                <w:szCs w:val="20"/>
              </w:rPr>
              <w:t xml:space="preserve">Dawn</w:t>
            </w:r>
            <w:r>
              <w:rPr>
                <w:sz w:val="20"/>
                <w:szCs w:val="20"/>
              </w:rPr>
              <w:t xml:space="preserve"> and </w:t>
            </w:r>
            <w:r>
              <w:rPr>
                <w:i/>
                <w:iCs/>
                <w:sz w:val="20"/>
                <w:szCs w:val="20"/>
              </w:rPr>
              <w:t xml:space="preserve">The Nation</w:t>
            </w:r>
            <w:r>
              <w:rPr>
                <w:sz w:val="20"/>
                <w:szCs w:val="20"/>
              </w:rPr>
              <w:t xml:space="preserve"> (2014); van Dijk framework. </w:t>
            </w:r>
            <w:r>
              <w:rPr>
                <w:b/>
                <w:bCs/>
                <w:sz w:val="20"/>
                <w:szCs w:val="20"/>
              </w:rPr>
              <w:t xml:space="preserve">Directly relevant</w:t>
            </w:r>
          </w:p>
        </w:tc>
      </w:tr>
      <w:tr>
        <w:trPr>
          <w:tblHeader w:val="false"/>
        </w:trPr>
        <w:tc>
          <w:tcPr>
            <w:tcW w:type="dxa" w:w="5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P2</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Butool, F., Azher, M., &amp; Arshad, F. (2021). Ideology, politics and media: A critical discourse analysis of news headline about Pakistan Democratic Movement. </w:t>
            </w:r>
            <w:r>
              <w:rPr>
                <w:i/>
                <w:iCs/>
                <w:sz w:val="20"/>
                <w:szCs w:val="20"/>
              </w:rPr>
              <w:t xml:space="preserve">Pakistan Social Sciences Review, 5</w:t>
            </w:r>
            <w:r>
              <w:rPr>
                <w:sz w:val="20"/>
                <w:szCs w:val="20"/>
              </w:rPr>
              <w:t xml:space="preserve">(4), 701–713.</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w:t>
            </w:r>
          </w:p>
        </w:tc>
        <w:tc>
          <w:tcPr>
            <w:tcW w:type="dxa" w:w="2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Abstract reports that </w:t>
            </w:r>
            <w:r>
              <w:rPr>
                <w:i/>
                <w:iCs/>
                <w:sz w:val="20"/>
                <w:szCs w:val="20"/>
              </w:rPr>
              <w:t xml:space="preserve">Dawn</w:t>
            </w:r>
            <w:r>
              <w:rPr>
                <w:sz w:val="20"/>
                <w:szCs w:val="20"/>
              </w:rPr>
              <w:t xml:space="preserve"> presented both government and opposition views while </w:t>
            </w:r>
            <w:r>
              <w:rPr>
                <w:i/>
                <w:iCs/>
                <w:sz w:val="20"/>
                <w:szCs w:val="20"/>
              </w:rPr>
              <w:t xml:space="preserve">Express</w:t>
            </w:r>
            <w:r>
              <w:rPr>
                <w:sz w:val="20"/>
                <w:szCs w:val="20"/>
              </w:rPr>
              <w:t xml:space="preserve"> foregrounded the government; uses the </w:t>
            </w:r>
            <w:r>
              <w:rPr>
                <w:b/>
                <w:bCs/>
                <w:sz w:val="20"/>
                <w:szCs w:val="20"/>
              </w:rPr>
              <w:t xml:space="preserve">ideological square</w:t>
            </w:r>
            <w:r>
              <w:rPr>
                <w:sz w:val="20"/>
                <w:szCs w:val="20"/>
              </w:rPr>
              <w:t xml:space="preserve">. </w:t>
            </w:r>
            <w:r>
              <w:rPr>
                <w:b/>
                <w:bCs/>
                <w:sz w:val="20"/>
                <w:szCs w:val="20"/>
              </w:rPr>
              <w:t xml:space="preserve">Highly relevant</w:t>
            </w:r>
          </w:p>
        </w:tc>
      </w:tr>
      <w:tr>
        <w:trPr>
          <w:tblHeader w:val="false"/>
        </w:trPr>
        <w:tc>
          <w:tcPr>
            <w:tcW w:type="dxa" w:w="5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P3</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Ahmed, G., &amp; Memon, S. (2024). Discursive power play: Analyzing front page headlines in English and Urdu newspapers during PDM's "no-confidence motion". </w:t>
            </w:r>
            <w:r>
              <w:rPr>
                <w:i/>
                <w:iCs/>
                <w:sz w:val="20"/>
                <w:szCs w:val="20"/>
              </w:rPr>
              <w:t xml:space="preserve">Journal of Social Sciences and Media Studies, 8</w:t>
            </w:r>
            <w:r>
              <w:rPr>
                <w:sz w:val="20"/>
                <w:szCs w:val="20"/>
              </w:rPr>
              <w:t xml:space="preserve">(2).</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 Page range not yet retrieved</w:t>
            </w:r>
          </w:p>
        </w:tc>
        <w:tc>
          <w:tcPr>
            <w:tcW w:type="dxa" w:w="2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Government vs opposition framing in English vs Urdu headlines</w:t>
            </w:r>
          </w:p>
        </w:tc>
      </w:tr>
      <w:tr>
        <w:trPr>
          <w:tblHeader w:val="false"/>
        </w:trPr>
        <w:tc>
          <w:tcPr>
            <w:tcW w:type="dxa" w:w="5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P4</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Shah, M. M. (2025). Manipulating public perception: A critical discourse analysis of political headlines on Pakistani social media. </w:t>
            </w:r>
            <w:r>
              <w:rPr>
                <w:i/>
                <w:iCs/>
                <w:sz w:val="20"/>
                <w:szCs w:val="20"/>
              </w:rPr>
              <w:t xml:space="preserve">Journal of Development and Social Sciences, 6</w:t>
            </w:r>
            <w:r>
              <w:rPr>
                <w:sz w:val="20"/>
                <w:szCs w:val="20"/>
              </w:rPr>
              <w:t xml:space="preserve">(1), 554–563. https://doi.org/10.47205/jdss.2025(6-I)48</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w:t>
            </w:r>
          </w:p>
        </w:tc>
        <w:tc>
          <w:tcPr>
            <w:tcW w:type="dxa" w:w="2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b/>
                <w:bCs/>
                <w:sz w:val="20"/>
                <w:szCs w:val="20"/>
              </w:rPr>
              <w:t xml:space="preserve">One of the few CDA studies of Pakistani digital/social-media news</w:t>
            </w:r>
            <w:r>
              <w:rPr>
                <w:sz w:val="20"/>
                <w:szCs w:val="20"/>
              </w:rPr>
              <w:t xml:space="preserve">; Fairclough + van Dijk. Sample is only four Facebook headlines, which itself shows the gap</w:t>
            </w:r>
          </w:p>
        </w:tc>
      </w:tr>
      <w:tr>
        <w:trPr>
          <w:tblHeader w:val="false"/>
        </w:trPr>
        <w:tc>
          <w:tcPr>
            <w:tcW w:type="dxa" w:w="5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P5</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Adnan, M. (2025). Resisting the established: The role of mobile media in political journalism in Pakistan. </w:t>
            </w:r>
            <w:r>
              <w:rPr>
                <w:i/>
                <w:iCs/>
                <w:sz w:val="20"/>
                <w:szCs w:val="20"/>
              </w:rPr>
              <w:t xml:space="preserve">Journalism Practice</w:t>
            </w:r>
            <w:r>
              <w:rPr>
                <w:sz w:val="20"/>
                <w:szCs w:val="20"/>
              </w:rPr>
              <w:t xml:space="preserve">. https://doi.org/10.1080/17512786.2025.2538126</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 Volume/issue and full author list to confirm</w:t>
            </w:r>
          </w:p>
        </w:tc>
        <w:tc>
          <w:tcPr>
            <w:tcW w:type="dxa" w:w="2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Context: how digital tools change Pakistani political reporting</w:t>
            </w:r>
          </w:p>
        </w:tc>
      </w:tr>
      <w:tr>
        <w:trPr>
          <w:tblHeader w:val="false"/>
        </w:trPr>
        <w:tc>
          <w:tcPr>
            <w:tcW w:type="dxa" w:w="5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P6</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[Author to confirm]. (2025). Navigating digital transformation in Pakistan: A discourse analysis of the media representation of the Digital Pakistan Initiative. </w:t>
            </w:r>
            <w:r>
              <w:rPr>
                <w:i/>
                <w:iCs/>
                <w:sz w:val="20"/>
                <w:szCs w:val="20"/>
              </w:rPr>
              <w:t xml:space="preserve">Asian Studies Review, 49</w:t>
            </w:r>
            <w:r>
              <w:rPr>
                <w:sz w:val="20"/>
                <w:szCs w:val="20"/>
              </w:rPr>
              <w:t xml:space="preserve">(4), 798–817. https://doi.org/10.1080/10357823.2025.2466434</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 </w:t>
            </w:r>
            <w:r>
              <w:rPr>
                <w:b/>
                <w:bCs/>
                <w:sz w:val="20"/>
                <w:szCs w:val="20"/>
              </w:rPr>
              <w:t xml:space="preserve">Author not confirmed</w:t>
            </w:r>
            <w:r>
              <w:rPr>
                <w:sz w:val="20"/>
                <w:szCs w:val="20"/>
              </w:rPr>
              <w:t xml:space="preserve"> (ResearchGate lists Zhou Li); do not cite until confirmed</w:t>
            </w:r>
          </w:p>
        </w:tc>
        <w:tc>
          <w:tcPr>
            <w:tcW w:type="dxa" w:w="2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Discourse study of </w:t>
            </w:r>
            <w:r>
              <w:rPr>
                <w:i/>
                <w:iCs/>
                <w:sz w:val="20"/>
                <w:szCs w:val="20"/>
              </w:rPr>
              <w:t xml:space="preserve">Dawn</w:t>
            </w:r>
            <w:r>
              <w:rPr>
                <w:sz w:val="20"/>
                <w:szCs w:val="20"/>
              </w:rPr>
              <w:t xml:space="preserve"> and </w:t>
            </w:r>
            <w:r>
              <w:rPr>
                <w:i/>
                <w:iCs/>
                <w:sz w:val="20"/>
                <w:szCs w:val="20"/>
              </w:rPr>
              <w:t xml:space="preserve">The News</w:t>
            </w:r>
            <w:r>
              <w:rPr>
                <w:sz w:val="20"/>
                <w:szCs w:val="20"/>
              </w:rPr>
              <w:t xml:space="preserve">; recent and peer-reviewed</w:t>
            </w:r>
          </w:p>
        </w:tc>
      </w:tr>
      <w:tr>
        <w:trPr>
          <w:tblHeader w:val="false"/>
        </w:trPr>
        <w:tc>
          <w:tcPr>
            <w:tcW w:type="dxa" w:w="5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P7</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Yaseen, A., Asghar, M., &amp; Sardar, T. (2023). Investigating discursive gender representation in Pakistani English newspaper </w:t>
            </w:r>
            <w:r>
              <w:rPr>
                <w:i/>
                <w:iCs/>
                <w:sz w:val="20"/>
                <w:szCs w:val="20"/>
              </w:rPr>
              <w:t xml:space="preserve">The Express Tribune</w:t>
            </w:r>
            <w:r>
              <w:rPr>
                <w:sz w:val="20"/>
                <w:szCs w:val="20"/>
              </w:rPr>
              <w:t xml:space="preserve">'s headlines: A critical discourse analysis. </w:t>
            </w:r>
            <w:r>
              <w:rPr>
                <w:i/>
                <w:iCs/>
                <w:sz w:val="20"/>
                <w:szCs w:val="20"/>
              </w:rPr>
              <w:t xml:space="preserve">Pakistan Journal of Humanities and Social Sciences, 11</w:t>
            </w:r>
            <w:r>
              <w:rPr>
                <w:sz w:val="20"/>
                <w:szCs w:val="20"/>
              </w:rPr>
              <w:t xml:space="preserve">(3), 2955–2968. https://doi.org/10.52131/pjhss.2023.1103.0585</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w:t>
            </w:r>
          </w:p>
        </w:tc>
        <w:tc>
          <w:tcPr>
            <w:tcW w:type="dxa" w:w="2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Only </w:t>
            </w:r>
            <w:r>
              <w:rPr>
                <w:b/>
                <w:bCs/>
                <w:sz w:val="20"/>
                <w:szCs w:val="20"/>
              </w:rPr>
              <w:t xml:space="preserve">optional</w:t>
            </w:r>
            <w:r>
              <w:rPr>
                <w:sz w:val="20"/>
                <w:szCs w:val="20"/>
              </w:rPr>
              <w:t xml:space="preserve">. It is about gender, not politics; useful only to show van Dijk's model applied to Pakistani headlines</w:t>
            </w:r>
          </w:p>
        </w:tc>
      </w:tr>
    </w:tbl>
    <w:p>
      <w:pPr>
        <w:spacing w:after="120"/>
      </w:pPr>
    </w:p>
    <w:p>
      <w:pPr>
        <w:pStyle w:val="Heading3"/>
        <w:keepNext/>
        <w:spacing w:after="120" w:before="240"/>
        <w:jc w:val="left"/>
      </w:pPr>
      <w:r>
        <w:rPr>
          <w:b/>
          <w:bCs/>
          <w:sz w:val="24"/>
          <w:szCs w:val="24"/>
        </w:rPr>
        <w:t xml:space="preserve">Rejected or on hold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Item</w:t>
            </w:r>
          </w:p>
        </w:tc>
        <w:tc>
          <w:tcPr>
            <w:tcW w:type="dxa" w:w="451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Why</w:t>
            </w:r>
          </w:p>
        </w:tc>
      </w:tr>
      <w:tr>
        <w:trPr>
          <w:tblHeader w:val="false"/>
        </w:trPr>
        <w:tc>
          <w:tcPr>
            <w:tcW w:type="dxa" w:w="451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"Rehman (2021), </w:t>
            </w:r>
            <w:r>
              <w:rPr>
                <w:i/>
                <w:iCs/>
                <w:sz w:val="20"/>
                <w:szCs w:val="20"/>
              </w:rPr>
              <w:t xml:space="preserve">Media and Communication</w:t>
            </w:r>
            <w:r>
              <w:rPr>
                <w:sz w:val="20"/>
                <w:szCs w:val="20"/>
              </w:rPr>
              <w:t xml:space="preserve"> 9(1), political crime reporting in </w:t>
            </w:r>
            <w:r>
              <w:rPr>
                <w:i/>
                <w:iCs/>
                <w:sz w:val="20"/>
                <w:szCs w:val="20"/>
              </w:rPr>
              <w:t xml:space="preserve">Dawn</w:t>
            </w:r>
            <w:r>
              <w:rPr>
                <w:sz w:val="20"/>
                <w:szCs w:val="20"/>
              </w:rPr>
              <w:t xml:space="preserve">"</w:t>
            </w:r>
          </w:p>
        </w:tc>
        <w:tc>
          <w:tcPr>
            <w:tcW w:type="dxa" w:w="451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 </w:t>
            </w:r>
            <w:r>
              <w:rPr>
                <w:b/>
                <w:bCs/>
                <w:sz w:val="20"/>
                <w:szCs w:val="20"/>
              </w:rPr>
              <w:t xml:space="preserve">Could not be confirmed.</w:t>
            </w:r>
            <w:r>
              <w:rPr>
                <w:sz w:val="20"/>
                <w:szCs w:val="20"/>
              </w:rPr>
              <w:t xml:space="preserve"> One search summary gave this citation, but a targeted search found no such article. It may be an error. </w:t>
            </w:r>
            <w:r>
              <w:rPr>
                <w:b/>
                <w:bCs/>
                <w:sz w:val="20"/>
                <w:szCs w:val="20"/>
              </w:rPr>
              <w:t xml:space="preserve">Not used.</w:t>
            </w:r>
          </w:p>
        </w:tc>
      </w:tr>
      <w:tr>
        <w:trPr>
          <w:tblHeader w:val="false"/>
        </w:trPr>
        <w:tc>
          <w:tcPr>
            <w:tcW w:type="dxa" w:w="451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"Transitivity analysis of election coverage in online newspapers of Malaysia &amp; Pakistan"</w:t>
            </w:r>
          </w:p>
        </w:tc>
        <w:tc>
          <w:tcPr>
            <w:tcW w:type="dxa" w:w="451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 </w:t>
            </w:r>
            <w:r>
              <w:rPr>
                <w:b/>
                <w:bCs/>
                <w:sz w:val="20"/>
                <w:szCs w:val="20"/>
              </w:rPr>
              <w:t xml:space="preserve">Conflicting details</w:t>
            </w:r>
            <w:r>
              <w:rPr>
                <w:sz w:val="20"/>
                <w:szCs w:val="20"/>
              </w:rPr>
              <w:t xml:space="preserve">: cited as Asad, Noor &amp; Jaes (2019) in </w:t>
            </w:r>
            <w:r>
              <w:rPr>
                <w:i/>
                <w:iCs/>
                <w:sz w:val="20"/>
                <w:szCs w:val="20"/>
              </w:rPr>
              <w:t xml:space="preserve">Amazonia Investiga</w:t>
            </w:r>
            <w:r>
              <w:rPr>
                <w:sz w:val="20"/>
                <w:szCs w:val="20"/>
              </w:rPr>
              <w:t xml:space="preserve">, and as Ahmad &amp; Hussain (2022) in </w:t>
            </w:r>
            <w:r>
              <w:rPr>
                <w:i/>
                <w:iCs/>
                <w:sz w:val="20"/>
                <w:szCs w:val="20"/>
              </w:rPr>
              <w:t xml:space="preserve">Inception</w:t>
            </w:r>
            <w:r>
              <w:rPr>
                <w:sz w:val="20"/>
                <w:szCs w:val="20"/>
              </w:rPr>
              <w:t xml:space="preserve">. Not used unless the original is found</w:t>
            </w:r>
          </w:p>
        </w:tc>
      </w:tr>
      <w:tr>
        <w:trPr>
          <w:tblHeader w:val="false"/>
        </w:trPr>
        <w:tc>
          <w:tcPr>
            <w:tcW w:type="dxa" w:w="451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"The evolution of linguistic strategies in digital news discourse" (ResearchGate/Academia)</w:t>
            </w:r>
          </w:p>
        </w:tc>
        <w:tc>
          <w:tcPr>
            <w:tcW w:type="dxa" w:w="451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 Venue and peer-review status unknown</w:t>
            </w:r>
          </w:p>
        </w:tc>
      </w:tr>
      <w:tr>
        <w:trPr>
          <w:tblHeader w:val="false"/>
        </w:trPr>
        <w:tc>
          <w:tcPr>
            <w:tcW w:type="dxa" w:w="451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Studies found only on ResearchGate/Academia.edu without a journal record</w:t>
            </w:r>
          </w:p>
        </w:tc>
        <w:tc>
          <w:tcPr>
            <w:tcW w:type="dxa" w:w="451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 Not used, because peer-review status is unknown</w:t>
            </w:r>
          </w:p>
        </w:tc>
      </w:tr>
    </w:tbl>
    <w:p>
      <w:pPr>
        <w:spacing w:after="120"/>
      </w:pPr>
    </w:p>
    <w:p>
      <w:pPr>
        <w:pBdr>
          <w:bottom w:val="single" w:color="999999" w:sz="6" w:space="1"/>
        </w:pBdr>
        <w:spacing w:after="120"/>
      </w:pPr>
    </w:p>
    <w:p>
      <w:pPr>
        <w:pStyle w:val="Heading2"/>
        <w:keepNext/>
        <w:spacing w:after="120" w:before="240"/>
        <w:jc w:val="left"/>
      </w:pPr>
      <w:r>
        <w:rPr>
          <w:b/>
          <w:bCs/>
          <w:sz w:val="28"/>
          <w:szCs w:val="28"/>
        </w:rPr>
        <w:t xml:space="preserve">4. Pakistani media context (Chapter 1.1, 2.2.2)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1"/>
        <w:gridCol w:w="3008"/>
        <w:gridCol w:w="2457"/>
        <w:gridCol w:w="3010"/>
      </w:tblGrid>
      <w:tr>
        <w:trPr>
          <w:tblHeader/>
        </w:trPr>
        <w:tc>
          <w:tcPr>
            <w:tcW w:type="dxa" w:w="55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w:t>
            </w:r>
          </w:p>
        </w:tc>
        <w:tc>
          <w:tcPr>
            <w:tcW w:type="dxa" w:w="300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APA 7 reference</w:t>
            </w:r>
          </w:p>
        </w:tc>
        <w:tc>
          <w:tcPr>
            <w:tcW w:type="dxa" w:w="245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Status</w:t>
            </w:r>
          </w:p>
        </w:tc>
        <w:tc>
          <w:tcPr>
            <w:tcW w:type="dxa" w:w="301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Use</w:t>
            </w:r>
          </w:p>
        </w:tc>
      </w:tr>
      <w:tr>
        <w:trPr>
          <w:tblHeader w:val="false"/>
        </w:trPr>
        <w:tc>
          <w:tcPr>
            <w:tcW w:type="dxa" w:w="55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C1</w:t>
            </w:r>
          </w:p>
        </w:tc>
        <w:tc>
          <w:tcPr>
            <w:tcW w:type="dxa" w:w="30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Yusuf, H. (2013). </w:t>
            </w:r>
            <w:r>
              <w:rPr>
                <w:i/>
                <w:iCs/>
                <w:sz w:val="20"/>
                <w:szCs w:val="20"/>
              </w:rPr>
              <w:t xml:space="preserve">Mapping digital media: Pakistan</w:t>
            </w:r>
            <w:r>
              <w:rPr>
                <w:sz w:val="20"/>
                <w:szCs w:val="20"/>
              </w:rPr>
              <w:t xml:space="preserve">. Open Society Foundations.</w:t>
            </w:r>
          </w:p>
        </w:tc>
        <w:tc>
          <w:tcPr>
            <w:tcW w:type="dxa" w:w="24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w:t>
            </w:r>
          </w:p>
        </w:tc>
        <w:tc>
          <w:tcPr>
            <w:tcW w:type="dxa" w:w="30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Background on Pakistan's shift to digital media (dated, so present as background)</w:t>
            </w:r>
          </w:p>
        </w:tc>
      </w:tr>
      <w:tr>
        <w:trPr>
          <w:tblHeader w:val="false"/>
        </w:trPr>
        <w:tc>
          <w:tcPr>
            <w:tcW w:type="dxa" w:w="55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C2</w:t>
            </w:r>
          </w:p>
        </w:tc>
        <w:tc>
          <w:tcPr>
            <w:tcW w:type="dxa" w:w="30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CDAC Network. (2022). </w:t>
            </w:r>
            <w:r>
              <w:rPr>
                <w:i/>
                <w:iCs/>
                <w:sz w:val="20"/>
                <w:szCs w:val="20"/>
              </w:rPr>
              <w:t xml:space="preserve">Pakistan media landscape guide</w:t>
            </w:r>
            <w:r>
              <w:rPr>
                <w:sz w:val="20"/>
                <w:szCs w:val="20"/>
              </w:rPr>
              <w:t xml:space="preserve">.</w:t>
            </w:r>
          </w:p>
        </w:tc>
        <w:tc>
          <w:tcPr>
            <w:tcW w:type="dxa" w:w="24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 Exact title and publication details to confirm</w:t>
            </w:r>
          </w:p>
        </w:tc>
        <w:tc>
          <w:tcPr>
            <w:tcW w:type="dxa" w:w="30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More recent overview of print, TV and digital media</w:t>
            </w:r>
          </w:p>
        </w:tc>
      </w:tr>
      <w:tr>
        <w:trPr>
          <w:tblHeader w:val="false"/>
        </w:trPr>
        <w:tc>
          <w:tcPr>
            <w:tcW w:type="dxa" w:w="55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C3</w:t>
            </w:r>
          </w:p>
        </w:tc>
        <w:tc>
          <w:tcPr>
            <w:tcW w:type="dxa" w:w="30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Aurora article (Dawn, 2020) on The Current's launch: aurora.dawn.com/news/1143898</w:t>
            </w:r>
          </w:p>
        </w:tc>
        <w:tc>
          <w:tcPr>
            <w:tcW w:type="dxa" w:w="24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 Exact title and author to retrieve</w:t>
            </w:r>
          </w:p>
        </w:tc>
        <w:tc>
          <w:tcPr>
            <w:tcW w:type="dxa" w:w="30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Evidence that The Current is digital-native</w:t>
            </w:r>
          </w:p>
        </w:tc>
      </w:tr>
      <w:tr>
        <w:trPr>
          <w:tblHeader w:val="false"/>
        </w:trPr>
        <w:tc>
          <w:tcPr>
            <w:tcW w:type="dxa" w:w="55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C4</w:t>
            </w:r>
          </w:p>
        </w:tc>
        <w:tc>
          <w:tcPr>
            <w:tcW w:type="dxa" w:w="30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The Friday Times, "About TFT" page</w:t>
            </w:r>
          </w:p>
        </w:tc>
        <w:tc>
          <w:tcPr>
            <w:tcW w:type="dxa" w:w="24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 Retrieve text and access date</w:t>
            </w:r>
          </w:p>
        </w:tc>
        <w:tc>
          <w:tcPr>
            <w:tcW w:type="dxa" w:w="30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Only if TFT is used as reserve</w:t>
            </w:r>
          </w:p>
        </w:tc>
      </w:tr>
    </w:tbl>
    <w:p>
      <w:pPr>
        <w:spacing w:after="120"/>
      </w:pPr>
    </w:p>
    <w:p>
      <w:pPr>
        <w:pBdr>
          <w:bottom w:val="single" w:color="999999" w:sz="6" w:space="1"/>
        </w:pBdr>
        <w:spacing w:after="120"/>
      </w:pPr>
    </w:p>
    <w:p>
      <w:pPr>
        <w:pStyle w:val="Heading2"/>
        <w:keepNext/>
        <w:spacing w:after="120" w:before="240"/>
        <w:jc w:val="left"/>
      </w:pPr>
      <w:r>
        <w:rPr>
          <w:b/>
          <w:bCs/>
          <w:sz w:val="28"/>
          <w:szCs w:val="28"/>
        </w:rPr>
        <w:t xml:space="preserve">5. Sources about the event itself (Chapter 1.1, Chapter 4 context)</w:t>
      </w:r>
    </w:p>
    <w:p>
      <w:pPr>
        <w:spacing w:after="120" w:line="276"/>
      </w:pPr>
      <w:r>
        <w:t xml:space="preserve">These are </w:t>
      </w:r>
      <w:r>
        <w:rPr>
          <w:b/>
          <w:bCs/>
        </w:rPr>
        <w:t xml:space="preserve">context sources</w:t>
      </w:r>
      <w:r>
        <w:t xml:space="preserve">, not corpus texts. They are kept separate so that the analysis data and the background information are never mixed.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3384"/>
        <w:gridCol w:w="1918"/>
        <w:gridCol w:w="3104"/>
      </w:tblGrid>
      <w:tr>
        <w:trPr>
          <w:tblHeader/>
        </w:trPr>
        <w:tc>
          <w:tcPr>
            <w:tcW w:type="dxa" w:w="62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w:t>
            </w:r>
          </w:p>
        </w:tc>
        <w:tc>
          <w:tcPr>
            <w:tcW w:type="dxa" w:w="338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Source</w:t>
            </w:r>
          </w:p>
        </w:tc>
        <w:tc>
          <w:tcPr>
            <w:tcW w:type="dxa" w:w="191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Status</w:t>
            </w:r>
          </w:p>
        </w:tc>
        <w:tc>
          <w:tcPr>
            <w:tcW w:type="dxa" w:w="310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Use</w:t>
            </w:r>
          </w:p>
        </w:tc>
      </w:tr>
      <w:tr>
        <w:trPr>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E1</w:t>
            </w:r>
          </w:p>
        </w:tc>
        <w:tc>
          <w:tcPr>
            <w:tcW w:type="dxa" w:w="33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Constitution (Twenty-sixth Amendment) Act, 2024 (Gazette of Pakistan, assent 21 October 2024)</w:t>
            </w:r>
          </w:p>
        </w:tc>
        <w:tc>
          <w:tcPr>
            <w:tcW w:type="dxa" w:w="19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 Official gazette copy to obtain</w:t>
            </w:r>
          </w:p>
        </w:tc>
        <w:tc>
          <w:tcPr>
            <w:tcW w:type="dxa" w:w="31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Exact provisions; resolves the 22 vs 27 clause question</w:t>
            </w:r>
          </w:p>
        </w:tc>
      </w:tr>
      <w:tr>
        <w:trPr>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E2</w:t>
            </w:r>
          </w:p>
        </w:tc>
        <w:tc>
          <w:tcPr>
            <w:tcW w:type="dxa" w:w="33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PILDAT. (2024). </w:t>
            </w:r>
            <w:r>
              <w:rPr>
                <w:i/>
                <w:iCs/>
                <w:sz w:val="20"/>
                <w:szCs w:val="20"/>
              </w:rPr>
              <w:t xml:space="preserve">Update on the performance of democratic institutions: October 2024</w:t>
            </w:r>
            <w:r>
              <w:rPr>
                <w:sz w:val="20"/>
                <w:szCs w:val="20"/>
              </w:rPr>
              <w:t xml:space="preserve">.</w:t>
            </w:r>
          </w:p>
        </w:tc>
        <w:tc>
          <w:tcPr>
            <w:tcW w:type="dxa" w:w="19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 Confirm authorship line and URL</w:t>
            </w:r>
          </w:p>
        </w:tc>
        <w:tc>
          <w:tcPr>
            <w:tcW w:type="dxa" w:w="31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Neutral summary of the parliamentary process</w:t>
            </w:r>
          </w:p>
        </w:tc>
      </w:tr>
      <w:tr>
        <w:trPr>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E3</w:t>
            </w:r>
          </w:p>
        </w:tc>
        <w:tc>
          <w:tcPr>
            <w:tcW w:type="dxa" w:w="33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i/>
                <w:iCs/>
                <w:sz w:val="20"/>
                <w:szCs w:val="20"/>
              </w:rPr>
              <w:t xml:space="preserve">Dawn</w:t>
            </w:r>
            <w:r>
              <w:rPr>
                <w:sz w:val="20"/>
                <w:szCs w:val="20"/>
              </w:rPr>
              <w:t xml:space="preserve"> explainer "What are 'judicial reforms' in the new amendment?" (21 Oct 2024)</w:t>
            </w:r>
          </w:p>
        </w:tc>
        <w:tc>
          <w:tcPr>
            <w:tcW w:type="dxa" w:w="19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 exists (print, 21 Oct 2024)</w:t>
            </w:r>
          </w:p>
        </w:tc>
        <w:tc>
          <w:tcPr>
            <w:tcW w:type="dxa" w:w="31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Background explanation only; </w:t>
            </w:r>
            <w:r>
              <w:rPr>
                <w:b/>
                <w:bCs/>
                <w:sz w:val="20"/>
                <w:szCs w:val="20"/>
              </w:rPr>
              <w:t xml:space="preserve">not</w:t>
            </w:r>
            <w:r>
              <w:rPr>
                <w:sz w:val="20"/>
                <w:szCs w:val="20"/>
              </w:rPr>
              <w:t xml:space="preserve"> part of the corpus</w:t>
            </w:r>
          </w:p>
        </w:tc>
      </w:tr>
    </w:tbl>
    <w:p>
      <w:pPr>
        <w:spacing w:after="120"/>
      </w:pPr>
    </w:p>
    <w:p>
      <w:pPr>
        <w:pBdr>
          <w:bottom w:val="single" w:color="999999" w:sz="6" w:space="1"/>
        </w:pBdr>
        <w:spacing w:after="120"/>
      </w:pPr>
    </w:p>
    <w:p>
      <w:pPr>
        <w:pStyle w:val="Heading2"/>
        <w:keepNext/>
        <w:spacing w:after="120" w:before="240"/>
        <w:jc w:val="left"/>
      </w:pPr>
      <w:r>
        <w:rPr>
          <w:b/>
          <w:bCs/>
          <w:sz w:val="28"/>
          <w:szCs w:val="28"/>
        </w:rPr>
        <w:t xml:space="preserve">6. What the verified literature shows (preliminary map for Chapter 2)</w:t>
      </w:r>
    </w:p>
    <w:p>
      <w:pPr>
        <w:spacing w:after="120" w:line="276"/>
      </w:pPr>
      <w:r>
        <w:t xml:space="preserve">This is based on titles and abstracts only and will be checked when the full texts are read.</w:t>
      </w:r>
    </w:p>
    <w:p>
      <w:pPr>
        <w:pStyle w:val="ListParagraph"/>
        <w:numPr>
          <w:ilvl w:val="0"/>
          <w:numId w:val="2"/>
        </w:numPr>
        <w:spacing w:after="120" w:line="276"/>
      </w:pPr>
      <w:r>
        <w:rPr>
          <w:b/>
          <w:bCs/>
        </w:rPr>
        <w:t xml:space="preserve">CDA of Pakistani print newspapers is well established.</w:t>
      </w:r>
      <w:r>
        <w:t xml:space="preserve"> Several studies analyse political headlines in </w:t>
      </w:r>
      <w:r>
        <w:rPr>
          <w:i/>
          <w:iCs/>
        </w:rPr>
        <w:t xml:space="preserve">Dawn</w:t>
      </w:r>
      <w:r>
        <w:t xml:space="preserve">, </w:t>
      </w:r>
      <w:r>
        <w:rPr>
          <w:i/>
          <w:iCs/>
        </w:rPr>
        <w:t xml:space="preserve">The Nation</w:t>
      </w:r>
      <w:r>
        <w:t xml:space="preserve"> and </w:t>
      </w:r>
      <w:r>
        <w:rPr>
          <w:i/>
          <w:iCs/>
        </w:rPr>
        <w:t xml:space="preserve">Express</w:t>
      </w:r>
      <w:r>
        <w:t xml:space="preserve"> using van Dijk's or Fairclough's models (P1, P2, P3).</w:t>
      </w:r>
    </w:p>
    <w:p>
      <w:pPr>
        <w:pStyle w:val="ListParagraph"/>
        <w:numPr>
          <w:ilvl w:val="0"/>
          <w:numId w:val="2"/>
        </w:numPr>
        <w:spacing w:after="120" w:line="276"/>
      </w:pPr>
      <w:r>
        <w:rPr>
          <w:b/>
          <w:bCs/>
        </w:rPr>
        <w:t xml:space="preserve">The common comparison is English vs Urdu, or one newspaper vs another</w:t>
      </w:r>
      <w:r>
        <w:t xml:space="preserve">, not </w:t>
      </w:r>
      <w:r>
        <w:rPr>
          <w:b/>
          <w:bCs/>
        </w:rPr>
        <w:t xml:space="preserve">digital-native vs print</w:t>
      </w:r>
      <w:r>
        <w:t xml:space="preserve"> (P2, P3).</w:t>
      </w:r>
    </w:p>
    <w:p>
      <w:pPr>
        <w:pStyle w:val="ListParagraph"/>
        <w:numPr>
          <w:ilvl w:val="0"/>
          <w:numId w:val="2"/>
        </w:numPr>
        <w:spacing w:after="120" w:line="276"/>
      </w:pPr>
      <w:r>
        <w:rPr>
          <w:b/>
          <w:bCs/>
        </w:rPr>
        <w:t xml:space="preserve">Pakistani CDA of digital news is scarce and small-scale.</w:t>
      </w:r>
      <w:r>
        <w:t xml:space="preserve"> The one verified study (P4) analyses four Facebook headlines.</w:t>
      </w:r>
    </w:p>
    <w:p>
      <w:pPr>
        <w:pStyle w:val="ListParagraph"/>
        <w:numPr>
          <w:ilvl w:val="0"/>
          <w:numId w:val="2"/>
        </w:numPr>
        <w:spacing w:after="120" w:line="276"/>
      </w:pPr>
      <w:r>
        <w:rPr>
          <w:b/>
          <w:bCs/>
        </w:rPr>
        <w:t xml:space="preserve">International research on online vs print news is mostly quantitative content analysis</w:t>
      </w:r>
      <w:r>
        <w:t xml:space="preserve">, not CDA, and its findings conflict. Ghersetti (J4) found no significant difference, while Deuze (J1) and Karlsson (J2) argue that online production changes journalism.</w:t>
      </w:r>
    </w:p>
    <w:p>
      <w:pPr>
        <w:spacing w:after="120" w:line="276"/>
      </w:pPr>
      <w:r>
        <w:rPr>
          <w:b/>
          <w:bCs/>
        </w:rPr>
        <w:t xml:space="preserve">Provisional research gap (to be confirmed after full reading):</w:t>
      </w:r>
      <w:r>
        <w:t xml:space="preserve"> In the searches carried out, </w:t>
      </w:r>
      <w:r>
        <w:rPr>
          <w:b/>
          <w:bCs/>
        </w:rPr>
        <w:t xml:space="preserve">no study was found that uses CDA to compare Pakistani digital-native outlets with </w:t>
      </w:r>
      <w:r>
        <w:rPr>
          <w:b/>
          <w:bCs/>
          <w:i/>
          <w:iCs/>
        </w:rPr>
        <w:t xml:space="preserve">Dawn</w:t>
      </w:r>
      <w:r>
        <w:rPr>
          <w:b/>
          <w:bCs/>
        </w:rPr>
        <w:t xml:space="preserve">'s print edition on the same political event.</w:t>
      </w:r>
      <w:r>
        <w:t xml:space="preserve"> The thesis will word this carefully ("no study was identified in the literature reviewed") rather than claiming that no such study exists anywhere.</w:t>
      </w:r>
    </w:p>
    <w:p>
      <w:pPr>
        <w:pBdr>
          <w:bottom w:val="single" w:color="999999" w:sz="6" w:space="1"/>
        </w:pBdr>
        <w:spacing w:after="120"/>
      </w:pPr>
    </w:p>
    <w:p>
      <w:pPr>
        <w:pStyle w:val="Heading2"/>
        <w:keepNext/>
        <w:spacing w:after="120" w:before="240"/>
        <w:jc w:val="left"/>
      </w:pPr>
      <w:r>
        <w:rPr>
          <w:b/>
          <w:bCs/>
          <w:sz w:val="28"/>
          <w:szCs w:val="28"/>
        </w:rPr>
        <w:t xml:space="preserve">7. Counts and next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24"/>
        <w:gridCol w:w="1909"/>
        <w:gridCol w:w="1909"/>
        <w:gridCol w:w="2084"/>
      </w:tblGrid>
      <w:tr>
        <w:trPr>
          <w:tblHeader/>
        </w:trPr>
        <w:tc>
          <w:tcPr>
            <w:tcW w:type="dxa" w:w="312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Category</w:t>
            </w:r>
          </w:p>
        </w:tc>
        <w:tc>
          <w:tcPr>
            <w:tcW w:type="dxa" w:w="190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w:t>
            </w:r>
          </w:p>
        </w:tc>
        <w:tc>
          <w:tcPr>
            <w:tcW w:type="dxa" w:w="190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w:t>
            </w:r>
          </w:p>
        </w:tc>
        <w:tc>
          <w:tcPr>
            <w:tcW w:type="dxa" w:w="208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Total usable</w:t>
            </w:r>
          </w:p>
        </w:tc>
      </w:tr>
      <w:tr>
        <w:trPr>
          <w:tblHeader w:val="false"/>
        </w:trPr>
        <w:tc>
          <w:tcPr>
            <w:tcW w:type="dxa" w:w="312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Theory and method</w:t>
            </w:r>
          </w:p>
        </w:tc>
        <w:tc>
          <w:tcPr>
            <w:tcW w:type="dxa" w:w="19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10</w:t>
            </w:r>
          </w:p>
        </w:tc>
        <w:tc>
          <w:tcPr>
            <w:tcW w:type="dxa" w:w="19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4</w:t>
            </w:r>
          </w:p>
        </w:tc>
        <w:tc>
          <w:tcPr>
            <w:tcW w:type="dxa" w:w="20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14</w:t>
            </w:r>
          </w:p>
        </w:tc>
      </w:tr>
      <w:tr>
        <w:trPr>
          <w:tblHeader w:val="false"/>
        </w:trPr>
        <w:tc>
          <w:tcPr>
            <w:tcW w:type="dxa" w:w="312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Digital journalism</w:t>
            </w:r>
          </w:p>
        </w:tc>
        <w:tc>
          <w:tcPr>
            <w:tcW w:type="dxa" w:w="19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3</w:t>
            </w:r>
          </w:p>
        </w:tc>
        <w:tc>
          <w:tcPr>
            <w:tcW w:type="dxa" w:w="19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2</w:t>
            </w:r>
          </w:p>
        </w:tc>
        <w:tc>
          <w:tcPr>
            <w:tcW w:type="dxa" w:w="20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5</w:t>
            </w:r>
          </w:p>
        </w:tc>
      </w:tr>
      <w:tr>
        <w:trPr>
          <w:tblHeader w:val="false"/>
        </w:trPr>
        <w:tc>
          <w:tcPr>
            <w:tcW w:type="dxa" w:w="312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Pakistani studies</w:t>
            </w:r>
          </w:p>
        </w:tc>
        <w:tc>
          <w:tcPr>
            <w:tcW w:type="dxa" w:w="19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3</w:t>
            </w:r>
          </w:p>
        </w:tc>
        <w:tc>
          <w:tcPr>
            <w:tcW w:type="dxa" w:w="19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4</w:t>
            </w:r>
          </w:p>
        </w:tc>
        <w:tc>
          <w:tcPr>
            <w:tcW w:type="dxa" w:w="20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7</w:t>
            </w:r>
          </w:p>
        </w:tc>
      </w:tr>
      <w:tr>
        <w:trPr>
          <w:tblHeader w:val="false"/>
        </w:trPr>
        <w:tc>
          <w:tcPr>
            <w:tcW w:type="dxa" w:w="312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Context and event</w:t>
            </w:r>
          </w:p>
        </w:tc>
        <w:tc>
          <w:tcPr>
            <w:tcW w:type="dxa" w:w="19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2</w:t>
            </w:r>
          </w:p>
        </w:tc>
        <w:tc>
          <w:tcPr>
            <w:tcW w:type="dxa" w:w="19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5</w:t>
            </w:r>
          </w:p>
        </w:tc>
        <w:tc>
          <w:tcPr>
            <w:tcW w:type="dxa" w:w="20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7</w:t>
            </w:r>
          </w:p>
        </w:tc>
      </w:tr>
      <w:tr>
        <w:trPr>
          <w:tblHeader w:val="false"/>
        </w:trPr>
        <w:tc>
          <w:tcPr>
            <w:tcW w:type="dxa" w:w="312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b/>
                <w:bCs/>
                <w:sz w:val="20"/>
                <w:szCs w:val="20"/>
              </w:rPr>
              <w:t xml:space="preserve">Total</w:t>
            </w:r>
          </w:p>
        </w:tc>
        <w:tc>
          <w:tcPr>
            <w:tcW w:type="dxa" w:w="19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b/>
                <w:bCs/>
                <w:sz w:val="20"/>
                <w:szCs w:val="20"/>
              </w:rPr>
              <w:t xml:space="preserve">18</w:t>
            </w:r>
          </w:p>
        </w:tc>
        <w:tc>
          <w:tcPr>
            <w:tcW w:type="dxa" w:w="19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b/>
                <w:bCs/>
                <w:sz w:val="20"/>
                <w:szCs w:val="20"/>
              </w:rPr>
              <w:t xml:space="preserve">15</w:t>
            </w:r>
          </w:p>
        </w:tc>
        <w:tc>
          <w:tcPr>
            <w:tcW w:type="dxa" w:w="20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b/>
                <w:bCs/>
                <w:sz w:val="20"/>
                <w:szCs w:val="20"/>
              </w:rPr>
              <w:t xml:space="preserve">33</w:t>
            </w:r>
          </w:p>
        </w:tc>
      </w:tr>
    </w:tbl>
    <w:p>
      <w:pPr>
        <w:spacing w:after="120"/>
      </w:pPr>
    </w:p>
    <w:p>
      <w:pPr>
        <w:spacing w:after="120" w:line="276"/>
      </w:pPr>
      <w:r>
        <w:rPr>
          <w:b/>
          <w:bCs/>
        </w:rPr>
        <w:t xml:space="preserve">Still to do before Chapter 2 is drafted:</w:t>
      </w:r>
    </w:p>
    <w:p>
      <w:pPr>
        <w:pStyle w:val="ListParagraph"/>
        <w:numPr>
          <w:ilvl w:val="0"/>
          <w:numId w:val="3"/>
        </w:numPr>
        <w:spacing w:after="120" w:line="276"/>
      </w:pPr>
      <w:r>
        <w:t xml:space="preserve">Resolve every 🟡 item (most need one detail: year, page range, author or DOI).</w:t>
      </w:r>
    </w:p>
    <w:p>
      <w:pPr>
        <w:pStyle w:val="ListParagraph"/>
        <w:numPr>
          <w:ilvl w:val="0"/>
          <w:numId w:val="3"/>
        </w:numPr>
        <w:spacing w:after="120" w:line="276"/>
      </w:pPr>
      <w:r>
        <w:t xml:space="preserve">Read at least the abstract (preferably the full text) of every study whose findings will be reported. Free PDFs appear to exist for P2, P3, P4 and P7 on their journal websites.</w:t>
      </w:r>
    </w:p>
    <w:p>
      <w:pPr>
        <w:pStyle w:val="ListParagraph"/>
        <w:numPr>
          <w:ilvl w:val="0"/>
          <w:numId w:val="3"/>
        </w:numPr>
        <w:spacing w:after="120" w:line="276"/>
      </w:pPr>
      <w:r>
        <w:t xml:space="preserve">Add 2–4 more Pakistani CDA studies on </w:t>
      </w:r>
      <w:r>
        <w:rPr>
          <w:b/>
          <w:bCs/>
        </w:rPr>
        <w:t xml:space="preserve">political</w:t>
      </w:r>
      <w:r>
        <w:t xml:space="preserve"> coverage if found with verifiable journal records.</w:t>
      </w:r>
    </w:p>
    <w:p>
      <w:pPr>
        <w:pStyle w:val="ListParagraph"/>
        <w:numPr>
          <w:ilvl w:val="0"/>
          <w:numId w:val="3"/>
        </w:numPr>
        <w:spacing w:after="120" w:line="276"/>
      </w:pPr>
      <w:r>
        <w:t xml:space="preserve">Library access: the department or AIOU library (or the HEC Digital Library, if available to you) can provide Fairclough, van Dijk and Richardson.</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2026-10-14T08:54:28.358Z</dcterms:created>
  <dcterms:modified xsi:type="dcterms:W3CDTF">2026-10-14T08:54:28.359Z</dcterms:modified>
</cp:coreProperties>
</file>

<file path=docProps/custom.xml><?xml version="1.0" encoding="utf-8"?>
<Properties xmlns="http://schemas.openxmlformats.org/officeDocument/2006/custom-properties" xmlns:vt="http://schemas.openxmlformats.org/officeDocument/2006/docPropsVTypes"/>
</file>