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74" w:rsidRDefault="002F4E74" w:rsidP="00CC72DD">
      <w:pPr>
        <w:pStyle w:val="Title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STAT 441/541 Statistical Methods II</w:t>
      </w:r>
    </w:p>
    <w:p w:rsidR="00837429" w:rsidRPr="00066F7F" w:rsidRDefault="00574B61" w:rsidP="00CC72DD">
      <w:pPr>
        <w:pStyle w:val="Title"/>
        <w:rPr>
          <w:rFonts w:ascii="Times New Roman" w:hAnsi="Times New Roman"/>
          <w:sz w:val="24"/>
          <w:szCs w:val="28"/>
        </w:rPr>
      </w:pPr>
      <w:r w:rsidRPr="00066F7F">
        <w:rPr>
          <w:rFonts w:ascii="Times New Roman" w:hAnsi="Times New Roman"/>
          <w:sz w:val="24"/>
          <w:szCs w:val="28"/>
        </w:rPr>
        <w:t xml:space="preserve">Homework </w:t>
      </w:r>
      <w:r w:rsidR="004419DF" w:rsidRPr="00066F7F">
        <w:rPr>
          <w:rFonts w:ascii="Times New Roman" w:hAnsi="Times New Roman"/>
          <w:sz w:val="24"/>
          <w:szCs w:val="28"/>
        </w:rPr>
        <w:t>Assignment</w:t>
      </w:r>
      <w:r w:rsidR="00CF2072">
        <w:rPr>
          <w:rFonts w:ascii="Times New Roman" w:hAnsi="Times New Roman"/>
          <w:sz w:val="24"/>
          <w:szCs w:val="28"/>
        </w:rPr>
        <w:t xml:space="preserve"> </w:t>
      </w:r>
      <w:r w:rsidR="007F1AD4">
        <w:rPr>
          <w:rFonts w:ascii="Times New Roman" w:hAnsi="Times New Roman"/>
          <w:sz w:val="24"/>
          <w:szCs w:val="28"/>
        </w:rPr>
        <w:t>5 One-Way ANOVA</w:t>
      </w:r>
    </w:p>
    <w:p w:rsidR="00F858BA" w:rsidRPr="00066F7F" w:rsidRDefault="00F858BA" w:rsidP="00F858BA">
      <w:pPr>
        <w:pStyle w:val="Title"/>
        <w:jc w:val="left"/>
        <w:rPr>
          <w:rFonts w:ascii="Times New Roman" w:hAnsi="Times New Roman"/>
          <w:b w:val="0"/>
          <w:sz w:val="16"/>
          <w:szCs w:val="28"/>
        </w:rPr>
      </w:pPr>
    </w:p>
    <w:p w:rsidR="009129E7" w:rsidRPr="0047648B" w:rsidRDefault="009129E7" w:rsidP="009129E7">
      <w:pPr>
        <w:pStyle w:val="Title"/>
        <w:jc w:val="left"/>
        <w:rPr>
          <w:rFonts w:ascii="Times New Roman" w:hAnsi="Times New Roman"/>
          <w:sz w:val="24"/>
          <w:szCs w:val="28"/>
        </w:rPr>
      </w:pPr>
      <w:r w:rsidRPr="0047648B">
        <w:rPr>
          <w:rFonts w:ascii="Times New Roman" w:hAnsi="Times New Roman"/>
          <w:sz w:val="24"/>
          <w:szCs w:val="28"/>
        </w:rPr>
        <w:t xml:space="preserve">Submit a </w:t>
      </w:r>
      <w:r w:rsidR="00970F7E" w:rsidRPr="0047648B">
        <w:rPr>
          <w:rFonts w:ascii="Times New Roman" w:hAnsi="Times New Roman"/>
          <w:sz w:val="24"/>
          <w:szCs w:val="28"/>
        </w:rPr>
        <w:t>single pdf document to the Dropbox folder</w:t>
      </w:r>
      <w:r w:rsidR="0047648B" w:rsidRPr="0047648B">
        <w:rPr>
          <w:rFonts w:ascii="Times New Roman" w:hAnsi="Times New Roman"/>
          <w:sz w:val="24"/>
          <w:szCs w:val="28"/>
        </w:rPr>
        <w:t xml:space="preserve"> </w:t>
      </w:r>
      <w:r w:rsidR="0047648B" w:rsidRPr="0047648B">
        <w:rPr>
          <w:rFonts w:ascii="Times New Roman" w:hAnsi="Times New Roman"/>
          <w:i/>
          <w:sz w:val="24"/>
          <w:szCs w:val="28"/>
        </w:rPr>
        <w:t xml:space="preserve">Homework Assignment </w:t>
      </w:r>
      <w:r w:rsidR="007F1AD4">
        <w:rPr>
          <w:rFonts w:ascii="Times New Roman" w:hAnsi="Times New Roman"/>
          <w:i/>
          <w:sz w:val="24"/>
          <w:szCs w:val="28"/>
        </w:rPr>
        <w:t>5 One-Way ANOVA</w:t>
      </w:r>
    </w:p>
    <w:p w:rsidR="009129E7" w:rsidRPr="00E8128E" w:rsidRDefault="009129E7" w:rsidP="009129E7">
      <w:pPr>
        <w:pStyle w:val="Title"/>
        <w:tabs>
          <w:tab w:val="left" w:pos="450"/>
        </w:tabs>
        <w:ind w:left="450" w:hanging="450"/>
        <w:jc w:val="left"/>
        <w:rPr>
          <w:rFonts w:ascii="Times New Roman" w:hAnsi="Times New Roman"/>
          <w:sz w:val="16"/>
        </w:rPr>
      </w:pPr>
    </w:p>
    <w:p w:rsidR="00A67ADA" w:rsidRPr="009C61B5" w:rsidRDefault="00E700A9" w:rsidP="003003D5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 w:rsidRPr="009C61B5">
        <w:rPr>
          <w:rFonts w:ascii="Times New Roman" w:hAnsi="Times New Roman"/>
          <w:sz w:val="24"/>
          <w:szCs w:val="32"/>
        </w:rPr>
        <w:t xml:space="preserve">Start </w:t>
      </w:r>
      <w:r w:rsidR="003B429F">
        <w:rPr>
          <w:rFonts w:ascii="Times New Roman" w:hAnsi="Times New Roman"/>
          <w:sz w:val="24"/>
          <w:szCs w:val="32"/>
        </w:rPr>
        <w:t xml:space="preserve">the </w:t>
      </w:r>
      <w:r w:rsidR="00CB1D98">
        <w:rPr>
          <w:rFonts w:ascii="Times New Roman" w:hAnsi="Times New Roman"/>
          <w:sz w:val="24"/>
          <w:szCs w:val="32"/>
        </w:rPr>
        <w:t>solution for each dataset</w:t>
      </w:r>
      <w:r w:rsidRPr="009C61B5">
        <w:rPr>
          <w:rFonts w:ascii="Times New Roman" w:hAnsi="Times New Roman"/>
          <w:sz w:val="24"/>
          <w:szCs w:val="32"/>
        </w:rPr>
        <w:t xml:space="preserve"> on a new page.</w:t>
      </w:r>
      <w:r w:rsidR="00162030">
        <w:rPr>
          <w:rFonts w:ascii="Times New Roman" w:hAnsi="Times New Roman"/>
          <w:sz w:val="24"/>
          <w:szCs w:val="32"/>
        </w:rPr>
        <w:t xml:space="preserve">  </w:t>
      </w:r>
    </w:p>
    <w:p w:rsidR="0047648B" w:rsidRPr="0047648B" w:rsidRDefault="0047648B" w:rsidP="0047648B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b w:val="0"/>
          <w:sz w:val="24"/>
          <w:szCs w:val="32"/>
        </w:rPr>
      </w:pPr>
    </w:p>
    <w:p w:rsidR="00B60219" w:rsidRDefault="00C2507E" w:rsidP="00B60219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Dataset 1</w:t>
      </w:r>
      <w:r w:rsidR="00B719D4">
        <w:rPr>
          <w:rFonts w:ascii="Times New Roman" w:hAnsi="Times New Roman"/>
          <w:sz w:val="24"/>
          <w:szCs w:val="32"/>
        </w:rPr>
        <w:t xml:space="preserve"> </w:t>
      </w:r>
    </w:p>
    <w:p w:rsidR="00C2507E" w:rsidRDefault="00C2507E" w:rsidP="00B60219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Scenario</w:t>
      </w:r>
      <w:r w:rsidR="006B2329">
        <w:rPr>
          <w:rFonts w:ascii="Times New Roman" w:hAnsi="Times New Roman"/>
          <w:sz w:val="24"/>
          <w:szCs w:val="32"/>
        </w:rPr>
        <w:t>: Etching Rate</w:t>
      </w:r>
    </w:p>
    <w:p w:rsidR="007F1AD4" w:rsidRPr="007F1AD4" w:rsidRDefault="007F1AD4" w:rsidP="007F1AD4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7F1AD4">
        <w:rPr>
          <w:color w:val="000000"/>
        </w:rPr>
        <w:t xml:space="preserve">An engineer is interested in investigating the relationship between the RF power setting and the etch rate of a tool for removing unwanted material from integrated circuits.  Four treatments consisting of different power settings are used. Etch rate data (angstroms/minute) from the plasma etching experiment </w:t>
      </w:r>
      <w:proofErr w:type="gramStart"/>
      <w:r w:rsidRPr="007F1AD4">
        <w:rPr>
          <w:color w:val="000000"/>
        </w:rPr>
        <w:t>are given</w:t>
      </w:r>
      <w:proofErr w:type="gramEnd"/>
      <w:r w:rsidRPr="007F1AD4">
        <w:rPr>
          <w:color w:val="000000"/>
        </w:rPr>
        <w:t xml:space="preserve"> in the following data table:</w:t>
      </w:r>
    </w:p>
    <w:p w:rsidR="007F1AD4" w:rsidRPr="007F1AD4" w:rsidRDefault="007F1AD4" w:rsidP="007F1AD4">
      <w:pPr>
        <w:widowControl w:val="0"/>
        <w:autoSpaceDE w:val="0"/>
        <w:autoSpaceDN w:val="0"/>
        <w:adjustRightInd w:val="0"/>
        <w:rPr>
          <w:color w:val="000000"/>
          <w:sz w:val="12"/>
        </w:rPr>
      </w:pPr>
    </w:p>
    <w:p w:rsidR="007F1AD4" w:rsidRPr="007F1AD4" w:rsidRDefault="007F1AD4" w:rsidP="007F1AD4">
      <w:pPr>
        <w:widowControl w:val="0"/>
        <w:autoSpaceDE w:val="0"/>
        <w:autoSpaceDN w:val="0"/>
        <w:adjustRightInd w:val="0"/>
        <w:rPr>
          <w:color w:val="000000"/>
          <w:sz w:val="12"/>
        </w:rPr>
      </w:pPr>
    </w:p>
    <w:tbl>
      <w:tblPr>
        <w:tblStyle w:val="TableGrid1"/>
        <w:tblW w:w="5402" w:type="dxa"/>
        <w:jc w:val="center"/>
        <w:tblLook w:val="04A0" w:firstRow="1" w:lastRow="0" w:firstColumn="1" w:lastColumn="0" w:noHBand="0" w:noVBand="1"/>
      </w:tblPr>
      <w:tblGrid>
        <w:gridCol w:w="1504"/>
        <w:gridCol w:w="841"/>
        <w:gridCol w:w="766"/>
        <w:gridCol w:w="766"/>
        <w:gridCol w:w="766"/>
        <w:gridCol w:w="759"/>
      </w:tblGrid>
      <w:tr w:rsidR="007F1AD4" w:rsidRPr="007F1AD4" w:rsidTr="0027110E">
        <w:trPr>
          <w:jc w:val="center"/>
        </w:trPr>
        <w:tc>
          <w:tcPr>
            <w:tcW w:w="1504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7F1AD4">
              <w:rPr>
                <w:b/>
                <w:color w:val="000000"/>
              </w:rPr>
              <w:t>Power (watts)</w:t>
            </w:r>
          </w:p>
        </w:tc>
        <w:tc>
          <w:tcPr>
            <w:tcW w:w="3898" w:type="dxa"/>
            <w:gridSpan w:val="5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7F1AD4">
              <w:rPr>
                <w:b/>
                <w:color w:val="000000"/>
              </w:rPr>
              <w:t>Etch Rate (angstroms/minute)</w:t>
            </w:r>
          </w:p>
        </w:tc>
      </w:tr>
      <w:tr w:rsidR="007F1AD4" w:rsidRPr="007F1AD4" w:rsidTr="0027110E">
        <w:trPr>
          <w:trHeight w:val="432"/>
          <w:jc w:val="center"/>
        </w:trPr>
        <w:tc>
          <w:tcPr>
            <w:tcW w:w="1504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7F1AD4">
              <w:rPr>
                <w:b/>
                <w:color w:val="000000"/>
              </w:rPr>
              <w:t>160</w:t>
            </w:r>
          </w:p>
        </w:tc>
        <w:tc>
          <w:tcPr>
            <w:tcW w:w="841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575</w:t>
            </w:r>
          </w:p>
        </w:tc>
        <w:tc>
          <w:tcPr>
            <w:tcW w:w="766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542</w:t>
            </w:r>
          </w:p>
        </w:tc>
        <w:tc>
          <w:tcPr>
            <w:tcW w:w="766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530</w:t>
            </w:r>
          </w:p>
        </w:tc>
        <w:tc>
          <w:tcPr>
            <w:tcW w:w="766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539</w:t>
            </w:r>
          </w:p>
        </w:tc>
        <w:tc>
          <w:tcPr>
            <w:tcW w:w="759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570</w:t>
            </w:r>
          </w:p>
        </w:tc>
      </w:tr>
      <w:tr w:rsidR="007F1AD4" w:rsidRPr="007F1AD4" w:rsidTr="0027110E">
        <w:trPr>
          <w:trHeight w:val="432"/>
          <w:jc w:val="center"/>
        </w:trPr>
        <w:tc>
          <w:tcPr>
            <w:tcW w:w="1504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7F1AD4">
              <w:rPr>
                <w:b/>
                <w:color w:val="000000"/>
              </w:rPr>
              <w:t>180</w:t>
            </w:r>
          </w:p>
        </w:tc>
        <w:tc>
          <w:tcPr>
            <w:tcW w:w="841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565</w:t>
            </w:r>
          </w:p>
        </w:tc>
        <w:tc>
          <w:tcPr>
            <w:tcW w:w="766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593</w:t>
            </w:r>
          </w:p>
        </w:tc>
        <w:tc>
          <w:tcPr>
            <w:tcW w:w="766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590</w:t>
            </w:r>
          </w:p>
        </w:tc>
        <w:tc>
          <w:tcPr>
            <w:tcW w:w="766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579</w:t>
            </w:r>
          </w:p>
        </w:tc>
        <w:tc>
          <w:tcPr>
            <w:tcW w:w="759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610</w:t>
            </w:r>
          </w:p>
        </w:tc>
      </w:tr>
      <w:tr w:rsidR="007F1AD4" w:rsidRPr="007F1AD4" w:rsidTr="0027110E">
        <w:trPr>
          <w:trHeight w:val="432"/>
          <w:jc w:val="center"/>
        </w:trPr>
        <w:tc>
          <w:tcPr>
            <w:tcW w:w="1504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7F1AD4">
              <w:rPr>
                <w:b/>
                <w:color w:val="000000"/>
              </w:rPr>
              <w:t>200</w:t>
            </w:r>
          </w:p>
        </w:tc>
        <w:tc>
          <w:tcPr>
            <w:tcW w:w="841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600</w:t>
            </w:r>
          </w:p>
        </w:tc>
        <w:tc>
          <w:tcPr>
            <w:tcW w:w="766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651</w:t>
            </w:r>
          </w:p>
        </w:tc>
        <w:tc>
          <w:tcPr>
            <w:tcW w:w="766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610</w:t>
            </w:r>
          </w:p>
        </w:tc>
        <w:tc>
          <w:tcPr>
            <w:tcW w:w="766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637</w:t>
            </w:r>
          </w:p>
        </w:tc>
        <w:tc>
          <w:tcPr>
            <w:tcW w:w="759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629</w:t>
            </w:r>
          </w:p>
        </w:tc>
      </w:tr>
      <w:tr w:rsidR="007F1AD4" w:rsidRPr="007F1AD4" w:rsidTr="0027110E">
        <w:trPr>
          <w:trHeight w:val="432"/>
          <w:jc w:val="center"/>
        </w:trPr>
        <w:tc>
          <w:tcPr>
            <w:tcW w:w="1504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7F1AD4">
              <w:rPr>
                <w:b/>
                <w:color w:val="000000"/>
              </w:rPr>
              <w:t>220</w:t>
            </w:r>
          </w:p>
        </w:tc>
        <w:tc>
          <w:tcPr>
            <w:tcW w:w="841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725</w:t>
            </w:r>
          </w:p>
        </w:tc>
        <w:tc>
          <w:tcPr>
            <w:tcW w:w="766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700</w:t>
            </w:r>
          </w:p>
        </w:tc>
        <w:tc>
          <w:tcPr>
            <w:tcW w:w="766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715</w:t>
            </w:r>
          </w:p>
        </w:tc>
        <w:tc>
          <w:tcPr>
            <w:tcW w:w="766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685</w:t>
            </w:r>
          </w:p>
        </w:tc>
        <w:tc>
          <w:tcPr>
            <w:tcW w:w="759" w:type="dxa"/>
            <w:vAlign w:val="center"/>
          </w:tcPr>
          <w:p w:rsidR="007F1AD4" w:rsidRPr="007F1AD4" w:rsidRDefault="007F1AD4" w:rsidP="007F1A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F1AD4">
              <w:rPr>
                <w:color w:val="000000"/>
              </w:rPr>
              <w:t>710</w:t>
            </w:r>
          </w:p>
        </w:tc>
      </w:tr>
    </w:tbl>
    <w:p w:rsidR="007F1AD4" w:rsidRDefault="007F1AD4" w:rsidP="007F1AD4">
      <w:pPr>
        <w:tabs>
          <w:tab w:val="left" w:pos="2880"/>
        </w:tabs>
        <w:ind w:left="2880" w:right="-36" w:hanging="2880"/>
        <w:rPr>
          <w:bCs/>
          <w:szCs w:val="32"/>
        </w:rPr>
      </w:pPr>
    </w:p>
    <w:p w:rsidR="00CF2A08" w:rsidRDefault="00CF2A08" w:rsidP="00CF2A08">
      <w:pPr>
        <w:pStyle w:val="Title"/>
        <w:tabs>
          <w:tab w:val="left" w:pos="45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CF2A08" w:rsidRPr="005D72BD" w:rsidRDefault="00CF2A08" w:rsidP="00CF2A08">
      <w:pPr>
        <w:pStyle w:val="Title"/>
        <w:tabs>
          <w:tab w:val="left" w:pos="0"/>
        </w:tabs>
        <w:ind w:right="-36"/>
        <w:jc w:val="left"/>
        <w:rPr>
          <w:rFonts w:asciiTheme="minorHAnsi" w:hAnsiTheme="minorHAnsi" w:cstheme="minorHAnsi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  The R code file: </w:t>
      </w:r>
      <w:r>
        <w:rPr>
          <w:rFonts w:asciiTheme="minorHAnsi" w:hAnsiTheme="minorHAnsi" w:cstheme="minorHAnsi"/>
          <w:sz w:val="24"/>
          <w:szCs w:val="32"/>
        </w:rPr>
        <w:t>Etching Rate</w:t>
      </w:r>
      <w:r w:rsidRPr="004476FF">
        <w:rPr>
          <w:rFonts w:asciiTheme="minorHAnsi" w:hAnsiTheme="minorHAnsi" w:cstheme="minorHAnsi"/>
          <w:sz w:val="24"/>
          <w:szCs w:val="32"/>
        </w:rPr>
        <w:t xml:space="preserve"> R </w:t>
      </w:r>
      <w:proofErr w:type="spellStart"/>
      <w:r w:rsidRPr="004476FF">
        <w:rPr>
          <w:rFonts w:asciiTheme="minorHAnsi" w:hAnsiTheme="minorHAnsi" w:cstheme="minorHAnsi"/>
          <w:sz w:val="24"/>
          <w:szCs w:val="32"/>
        </w:rPr>
        <w:t>Code.R</w:t>
      </w:r>
      <w:proofErr w:type="spellEnd"/>
    </w:p>
    <w:p w:rsidR="00CF2A08" w:rsidRDefault="00CF2A08" w:rsidP="00CF2A08">
      <w:pPr>
        <w:pStyle w:val="Title"/>
        <w:tabs>
          <w:tab w:val="left" w:pos="45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CF2A08" w:rsidRPr="004F410B" w:rsidRDefault="00CF2A08" w:rsidP="00CF2A08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 w:rsidRPr="00B775FD">
        <w:rPr>
          <w:rFonts w:asciiTheme="minorHAnsi" w:hAnsiTheme="minorHAnsi" w:cstheme="minorHAnsi"/>
          <w:szCs w:val="32"/>
        </w:rPr>
        <w:t>NOTE</w:t>
      </w:r>
      <w:r>
        <w:rPr>
          <w:rFonts w:asciiTheme="minorHAnsi" w:hAnsiTheme="minorHAnsi" w:cstheme="minorHAnsi"/>
          <w:sz w:val="24"/>
          <w:szCs w:val="32"/>
        </w:rPr>
        <w:t xml:space="preserve">: </w:t>
      </w:r>
      <w:r w:rsidRPr="00093AC9">
        <w:rPr>
          <w:rFonts w:asciiTheme="minorHAnsi" w:hAnsiTheme="minorHAnsi" w:cstheme="minorHAnsi"/>
          <w:sz w:val="24"/>
          <w:szCs w:val="32"/>
        </w:rPr>
        <w:t xml:space="preserve">Convert the tabular data to a statistical dataset and save as </w:t>
      </w:r>
      <w:r>
        <w:rPr>
          <w:rFonts w:asciiTheme="minorHAnsi" w:hAnsiTheme="minorHAnsi" w:cstheme="minorHAnsi"/>
          <w:sz w:val="24"/>
          <w:szCs w:val="32"/>
        </w:rPr>
        <w:t xml:space="preserve">Etching Rate.xlsx. Have two variables with names Power and </w:t>
      </w:r>
      <w:proofErr w:type="spellStart"/>
      <w:r>
        <w:rPr>
          <w:rFonts w:asciiTheme="minorHAnsi" w:hAnsiTheme="minorHAnsi" w:cstheme="minorHAnsi"/>
          <w:sz w:val="24"/>
          <w:szCs w:val="32"/>
        </w:rPr>
        <w:t>EtchRate</w:t>
      </w:r>
      <w:proofErr w:type="spellEnd"/>
      <w:r>
        <w:rPr>
          <w:rFonts w:asciiTheme="minorHAnsi" w:hAnsiTheme="minorHAnsi" w:cstheme="minorHAnsi"/>
          <w:sz w:val="24"/>
          <w:szCs w:val="32"/>
        </w:rPr>
        <w:t xml:space="preserve">. Denote the four treatments for Power </w:t>
      </w:r>
      <w:proofErr w:type="gramStart"/>
      <w:r>
        <w:rPr>
          <w:rFonts w:asciiTheme="minorHAnsi" w:hAnsiTheme="minorHAnsi" w:cstheme="minorHAnsi"/>
          <w:sz w:val="24"/>
          <w:szCs w:val="32"/>
        </w:rPr>
        <w:t>as:</w:t>
      </w:r>
      <w:proofErr w:type="gramEnd"/>
      <w:r>
        <w:rPr>
          <w:rFonts w:asciiTheme="minorHAnsi" w:hAnsiTheme="minorHAnsi" w:cstheme="minorHAnsi"/>
          <w:sz w:val="24"/>
          <w:szCs w:val="32"/>
        </w:rPr>
        <w:t xml:space="preserve"> 160, 180, 200, and 220.</w:t>
      </w:r>
    </w:p>
    <w:p w:rsidR="00CF2A08" w:rsidRDefault="00CF2A08" w:rsidP="00CF2A08">
      <w:pPr>
        <w:pStyle w:val="Title"/>
        <w:tabs>
          <w:tab w:val="left" w:pos="45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CF2A08" w:rsidRDefault="00CF2A08" w:rsidP="00CF2A08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(a)</w:t>
      </w:r>
      <w:r>
        <w:rPr>
          <w:rFonts w:ascii="Times New Roman" w:hAnsi="Times New Roman"/>
          <w:b w:val="0"/>
          <w:sz w:val="24"/>
          <w:szCs w:val="32"/>
        </w:rPr>
        <w:tab/>
        <w:t>Paste a screenshot of your dataset and explain how you converted the tabular data to a statistical dataset:</w:t>
      </w:r>
    </w:p>
    <w:p w:rsidR="00CF2A08" w:rsidRDefault="00CF2A08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3B429F" w:rsidRDefault="003B429F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AB5EE5" w:rsidRPr="00AB5EE5" w:rsidRDefault="00AB5EE5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AB5EE5" w:rsidRPr="00AB5EE5" w:rsidRDefault="00AB5EE5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AB5EE5" w:rsidRDefault="00AB5EE5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  <w:r w:rsidRPr="00AB5EE5">
        <w:rPr>
          <w:rFonts w:ascii="Times New Roman" w:hAnsi="Times New Roman"/>
          <w:b w:val="0"/>
          <w:sz w:val="24"/>
          <w:szCs w:val="32"/>
        </w:rPr>
        <w:t>(b)</w:t>
      </w:r>
      <w:r w:rsidRPr="00AB5EE5">
        <w:rPr>
          <w:rFonts w:ascii="Times New Roman" w:hAnsi="Times New Roman"/>
          <w:b w:val="0"/>
          <w:sz w:val="24"/>
          <w:szCs w:val="32"/>
        </w:rPr>
        <w:tab/>
      </w:r>
      <w:r>
        <w:rPr>
          <w:rFonts w:ascii="Times New Roman" w:hAnsi="Times New Roman"/>
          <w:b w:val="0"/>
          <w:sz w:val="24"/>
          <w:szCs w:val="32"/>
        </w:rPr>
        <w:t>Paste and comment on the boxplot of Observed Etching Rates:</w:t>
      </w:r>
    </w:p>
    <w:p w:rsidR="00AB5EE5" w:rsidRDefault="00AB5EE5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AB5EE5" w:rsidRDefault="00AB5EE5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AB5EE5" w:rsidRDefault="00AB5EE5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AB5EE5" w:rsidRDefault="00AB5EE5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(c)</w:t>
      </w:r>
      <w:r>
        <w:rPr>
          <w:rFonts w:ascii="Times New Roman" w:hAnsi="Times New Roman"/>
          <w:b w:val="0"/>
          <w:sz w:val="24"/>
          <w:szCs w:val="32"/>
        </w:rPr>
        <w:tab/>
        <w:t>Paste and comment on the table of summary statistics for each RF Power Level:</w:t>
      </w:r>
    </w:p>
    <w:p w:rsidR="00AB5EE5" w:rsidRDefault="00AB5EE5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AB5EE5" w:rsidRDefault="00AB5EE5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AB5EE5" w:rsidRDefault="00AB5EE5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AB5EE5" w:rsidRPr="00AB5EE5" w:rsidRDefault="00AB5EE5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3567D6" w:rsidRDefault="003567D6" w:rsidP="00AB5EE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3567D6" w:rsidRDefault="003567D6" w:rsidP="003567D6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(</w:t>
      </w:r>
      <w:r w:rsidR="00AB5EE5">
        <w:rPr>
          <w:rFonts w:ascii="Times New Roman" w:hAnsi="Times New Roman"/>
          <w:b w:val="0"/>
          <w:sz w:val="24"/>
          <w:szCs w:val="32"/>
        </w:rPr>
        <w:t>d</w:t>
      </w:r>
      <w:r>
        <w:rPr>
          <w:rFonts w:ascii="Times New Roman" w:hAnsi="Times New Roman"/>
          <w:b w:val="0"/>
          <w:sz w:val="24"/>
          <w:szCs w:val="32"/>
        </w:rPr>
        <w:t>)</w:t>
      </w:r>
      <w:r>
        <w:rPr>
          <w:rFonts w:ascii="Times New Roman" w:hAnsi="Times New Roman"/>
          <w:b w:val="0"/>
          <w:sz w:val="24"/>
          <w:szCs w:val="32"/>
        </w:rPr>
        <w:tab/>
        <w:t xml:space="preserve">For this scenario, state the </w:t>
      </w:r>
      <w:r w:rsidR="0094450C">
        <w:rPr>
          <w:rFonts w:ascii="Times New Roman" w:hAnsi="Times New Roman"/>
          <w:b w:val="0"/>
          <w:sz w:val="24"/>
          <w:szCs w:val="32"/>
        </w:rPr>
        <w:t>means</w:t>
      </w:r>
      <w:r>
        <w:rPr>
          <w:rFonts w:ascii="Times New Roman" w:hAnsi="Times New Roman"/>
          <w:b w:val="0"/>
          <w:sz w:val="24"/>
          <w:szCs w:val="32"/>
        </w:rPr>
        <w:t xml:space="preserve"> model, describe all terms in the model, and give values for all subscripts:</w:t>
      </w:r>
    </w:p>
    <w:p w:rsidR="003567D6" w:rsidRDefault="003567D6" w:rsidP="003567D6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3567D6" w:rsidRDefault="003567D6" w:rsidP="003567D6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3567D6" w:rsidRDefault="003567D6" w:rsidP="003567D6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3567D6" w:rsidRDefault="003567D6" w:rsidP="003567D6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(</w:t>
      </w:r>
      <w:r w:rsidR="00AB5EE5">
        <w:rPr>
          <w:rFonts w:ascii="Times New Roman" w:hAnsi="Times New Roman"/>
          <w:b w:val="0"/>
          <w:sz w:val="24"/>
          <w:szCs w:val="32"/>
        </w:rPr>
        <w:t>e</w:t>
      </w:r>
      <w:r>
        <w:rPr>
          <w:rFonts w:ascii="Times New Roman" w:hAnsi="Times New Roman"/>
          <w:b w:val="0"/>
          <w:sz w:val="24"/>
          <w:szCs w:val="32"/>
        </w:rPr>
        <w:t>)</w:t>
      </w:r>
      <w:r>
        <w:rPr>
          <w:rFonts w:ascii="Times New Roman" w:hAnsi="Times New Roman"/>
          <w:b w:val="0"/>
          <w:sz w:val="24"/>
          <w:szCs w:val="32"/>
        </w:rPr>
        <w:tab/>
        <w:t xml:space="preserve">Do the </w:t>
      </w:r>
      <w:r w:rsidR="00FB43C3">
        <w:rPr>
          <w:rFonts w:ascii="Times New Roman" w:hAnsi="Times New Roman"/>
          <w:b w:val="0"/>
          <w:sz w:val="24"/>
          <w:szCs w:val="32"/>
        </w:rPr>
        <w:t>power settings</w:t>
      </w:r>
      <w:r>
        <w:rPr>
          <w:rFonts w:ascii="Times New Roman" w:hAnsi="Times New Roman"/>
          <w:b w:val="0"/>
          <w:sz w:val="24"/>
          <w:szCs w:val="32"/>
        </w:rPr>
        <w:t xml:space="preserve"> appear to yield different </w:t>
      </w:r>
      <w:r w:rsidR="00FB43C3">
        <w:rPr>
          <w:rFonts w:ascii="Times New Roman" w:hAnsi="Times New Roman"/>
          <w:b w:val="0"/>
          <w:sz w:val="24"/>
          <w:szCs w:val="32"/>
        </w:rPr>
        <w:t>etching rates for removing unwanted material</w:t>
      </w:r>
      <w:r w:rsidR="008E34BD">
        <w:rPr>
          <w:rFonts w:ascii="Times New Roman" w:hAnsi="Times New Roman"/>
          <w:b w:val="0"/>
          <w:sz w:val="24"/>
          <w:szCs w:val="32"/>
        </w:rPr>
        <w:t>? Justify your answer using</w:t>
      </w:r>
      <w:r>
        <w:rPr>
          <w:rFonts w:ascii="Times New Roman" w:hAnsi="Times New Roman"/>
          <w:b w:val="0"/>
          <w:sz w:val="24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32"/>
          </w:rPr>
          <m:t>α=0.05</m:t>
        </m:r>
      </m:oMath>
      <w:r>
        <w:rPr>
          <w:rFonts w:ascii="Times New Roman" w:hAnsi="Times New Roman"/>
          <w:b w:val="0"/>
          <w:sz w:val="24"/>
          <w:szCs w:val="32"/>
        </w:rPr>
        <w:t xml:space="preserve"> </w:t>
      </w:r>
      <w:r w:rsidR="00FB43C3">
        <w:rPr>
          <w:rFonts w:ascii="Times New Roman" w:hAnsi="Times New Roman"/>
          <w:b w:val="0"/>
          <w:sz w:val="24"/>
          <w:szCs w:val="32"/>
        </w:rPr>
        <w:t xml:space="preserve">and use one-way ANOVA </w:t>
      </w:r>
      <w:r>
        <w:rPr>
          <w:rFonts w:ascii="Times New Roman" w:hAnsi="Times New Roman"/>
          <w:b w:val="0"/>
          <w:sz w:val="24"/>
          <w:szCs w:val="32"/>
        </w:rPr>
        <w:t>to test treatment effects.</w:t>
      </w:r>
      <w:r w:rsidR="00AB5EE5">
        <w:rPr>
          <w:rFonts w:ascii="Times New Roman" w:hAnsi="Times New Roman"/>
          <w:b w:val="0"/>
          <w:sz w:val="24"/>
          <w:szCs w:val="32"/>
        </w:rPr>
        <w:t xml:space="preserve"> Paste the Analysis of Variance Table and perform the hypothesis test:</w:t>
      </w:r>
    </w:p>
    <w:p w:rsidR="003567D6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4B082D" w:rsidRDefault="004B082D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4B082D" w:rsidRPr="006E4A40" w:rsidRDefault="004B082D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Hypotheses: 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                     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Test Statistic: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P-value: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Decision about the null hypothesis: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Conclusion: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Default="003567D6" w:rsidP="003567D6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3567D6" w:rsidRDefault="003567D6" w:rsidP="003567D6">
      <w:pPr>
        <w:tabs>
          <w:tab w:val="left" w:pos="360"/>
        </w:tabs>
        <w:ind w:left="360" w:hanging="360"/>
        <w:rPr>
          <w:bCs/>
        </w:rPr>
      </w:pPr>
      <w:r>
        <w:rPr>
          <w:bCs/>
        </w:rPr>
        <w:t>(</w:t>
      </w:r>
      <w:r w:rsidR="00AB5EE5">
        <w:rPr>
          <w:bCs/>
        </w:rPr>
        <w:t>f</w:t>
      </w:r>
      <w:r>
        <w:rPr>
          <w:bCs/>
        </w:rPr>
        <w:t>)</w:t>
      </w:r>
      <w:r>
        <w:rPr>
          <w:bCs/>
        </w:rPr>
        <w:tab/>
        <w:t xml:space="preserve">Check </w:t>
      </w:r>
      <w:r w:rsidR="008E34BD">
        <w:rPr>
          <w:bCs/>
        </w:rPr>
        <w:t>conditions</w:t>
      </w:r>
      <w:r>
        <w:rPr>
          <w:bCs/>
        </w:rPr>
        <w:t xml:space="preserve"> for ANOVA</w:t>
      </w:r>
      <w:r w:rsidR="008E34BD">
        <w:rPr>
          <w:bCs/>
        </w:rPr>
        <w:t xml:space="preserve"> based on the following</w:t>
      </w:r>
      <w:r>
        <w:rPr>
          <w:bCs/>
        </w:rPr>
        <w:t xml:space="preserve"> assumptions:</w:t>
      </w:r>
    </w:p>
    <w:p w:rsidR="008E34BD" w:rsidRDefault="008E34BD" w:rsidP="003567D6">
      <w:pPr>
        <w:tabs>
          <w:tab w:val="left" w:pos="360"/>
          <w:tab w:val="left" w:pos="1080"/>
        </w:tabs>
        <w:spacing w:line="259" w:lineRule="auto"/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Errors are normally distributed</w:t>
      </w:r>
    </w:p>
    <w:p w:rsidR="008E34BD" w:rsidRDefault="008E34BD" w:rsidP="003567D6">
      <w:pPr>
        <w:tabs>
          <w:tab w:val="left" w:pos="360"/>
          <w:tab w:val="left" w:pos="1080"/>
        </w:tabs>
        <w:spacing w:line="259" w:lineRule="auto"/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There are no outliers</w:t>
      </w:r>
    </w:p>
    <w:p w:rsidR="003567D6" w:rsidRPr="001B1912" w:rsidRDefault="003567D6" w:rsidP="003567D6">
      <w:pPr>
        <w:tabs>
          <w:tab w:val="left" w:pos="360"/>
          <w:tab w:val="left" w:pos="1080"/>
        </w:tabs>
        <w:spacing w:line="259" w:lineRule="auto"/>
        <w:ind w:left="360"/>
        <w:rPr>
          <w:bCs/>
        </w:rPr>
      </w:pPr>
      <w:r w:rsidRPr="001B1912">
        <w:rPr>
          <w:rFonts w:eastAsiaTheme="minorEastAsia"/>
          <w:bCs/>
        </w:rPr>
        <w:t>The variance of the errors</w:t>
      </w:r>
      <w:proofErr w:type="gramStart"/>
      <w:r>
        <w:rPr>
          <w:rFonts w:eastAsiaTheme="minorEastAsia"/>
          <w:bCs/>
        </w:rPr>
        <w:t>,</w:t>
      </w:r>
      <w:r w:rsidRPr="001B1912">
        <w:rPr>
          <w:rFonts w:eastAsiaTheme="minorEastAsia"/>
          <w:bCs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  <w:bCs/>
          <w:iCs/>
        </w:rPr>
        <w:t>,</w:t>
      </w:r>
      <w:r>
        <w:rPr>
          <w:rFonts w:eastAsiaTheme="minorEastAsia"/>
          <w:bCs/>
        </w:rPr>
        <w:t xml:space="preserve"> is the same for all treatments</w:t>
      </w:r>
      <w:r w:rsidR="008E34BD">
        <w:rPr>
          <w:rFonts w:eastAsiaTheme="minorEastAsia"/>
          <w:bCs/>
        </w:rPr>
        <w:t xml:space="preserve"> (common variance)</w:t>
      </w: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3567D6" w:rsidRDefault="003567D6" w:rsidP="003567D6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</w:t>
      </w:r>
      <w:proofErr w:type="spellStart"/>
      <w:r>
        <w:rPr>
          <w:bCs/>
        </w:rPr>
        <w:t>i</w:t>
      </w:r>
      <w:proofErr w:type="spellEnd"/>
      <w:r>
        <w:rPr>
          <w:bCs/>
        </w:rPr>
        <w:t>)</w:t>
      </w:r>
      <w:r>
        <w:rPr>
          <w:bCs/>
        </w:rPr>
        <w:tab/>
        <w:t xml:space="preserve">Paste and interpret the Residuals vs </w:t>
      </w:r>
      <w:proofErr w:type="gramStart"/>
      <w:r>
        <w:rPr>
          <w:bCs/>
        </w:rPr>
        <w:t>Fitted</w:t>
      </w:r>
      <w:proofErr w:type="gramEnd"/>
      <w:r>
        <w:rPr>
          <w:bCs/>
        </w:rPr>
        <w:t xml:space="preserve"> plot from R output:</w:t>
      </w: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(ii)</w:t>
      </w:r>
      <w:r>
        <w:rPr>
          <w:bCs/>
        </w:rPr>
        <w:tab/>
        <w:t>Paste and interpret the Normal Q-Q plot from R output:</w:t>
      </w: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3567D6" w:rsidRDefault="003567D6" w:rsidP="003567D6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(iii)</w:t>
      </w:r>
      <w:r>
        <w:rPr>
          <w:bCs/>
        </w:rPr>
        <w:tab/>
        <w:t>Paste and interpret the Scale-Location plot from R output:</w:t>
      </w: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(iv)</w:t>
      </w:r>
      <w:r>
        <w:rPr>
          <w:bCs/>
        </w:rPr>
        <w:tab/>
        <w:t>Paste</w:t>
      </w:r>
      <w:proofErr w:type="gramEnd"/>
      <w:r>
        <w:rPr>
          <w:bCs/>
        </w:rPr>
        <w:t xml:space="preserve"> and interpret the </w:t>
      </w:r>
      <w:r w:rsidR="008E34BD" w:rsidRPr="008E34BD">
        <w:rPr>
          <w:bCs/>
        </w:rPr>
        <w:t>Constant</w:t>
      </w:r>
      <w:r w:rsidRPr="008E34BD">
        <w:rPr>
          <w:bCs/>
        </w:rPr>
        <w:t xml:space="preserve"> Leverage</w:t>
      </w:r>
      <w:r w:rsidR="008E34BD">
        <w:rPr>
          <w:bCs/>
        </w:rPr>
        <w:t>: Residuals vs Factor Levels</w:t>
      </w:r>
      <w:r>
        <w:rPr>
          <w:bCs/>
        </w:rPr>
        <w:t xml:space="preserve"> plot from R output:</w:t>
      </w: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3567D6" w:rsidRDefault="003567D6" w:rsidP="003567D6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(v)</w:t>
      </w:r>
      <w:r>
        <w:rPr>
          <w:bCs/>
        </w:rPr>
        <w:tab/>
        <w:t>Paste and interpret the histogram of residuals from R output:</w:t>
      </w: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(vi)</w:t>
      </w:r>
      <w:r>
        <w:rPr>
          <w:bCs/>
        </w:rPr>
        <w:tab/>
        <w:t>Paste</w:t>
      </w:r>
      <w:proofErr w:type="gramEnd"/>
      <w:r>
        <w:rPr>
          <w:bCs/>
        </w:rPr>
        <w:t xml:space="preserve"> and interpret the boxplot of residuals from R output:</w:t>
      </w: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Pr="006E4A40" w:rsidRDefault="003567D6" w:rsidP="003567D6">
      <w:pPr>
        <w:tabs>
          <w:tab w:val="left" w:pos="630"/>
          <w:tab w:val="left" w:pos="1080"/>
        </w:tabs>
        <w:ind w:left="630" w:hanging="630"/>
        <w:rPr>
          <w:bCs/>
        </w:rPr>
      </w:pPr>
      <w:r>
        <w:rPr>
          <w:bCs/>
        </w:rPr>
        <w:t xml:space="preserve">  (vii)</w:t>
      </w:r>
      <w:r>
        <w:rPr>
          <w:bCs/>
        </w:rPr>
        <w:tab/>
        <w:t xml:space="preserve">Paste the Shapiro-Wilk test from R output and perform a hypothesis test at </w:t>
      </w:r>
      <w:r w:rsidRPr="006E4A40">
        <w:rPr>
          <w:bCs/>
        </w:rPr>
        <w:t xml:space="preserve">a significance level </w:t>
      </w:r>
      <w:proofErr w:type="gramStart"/>
      <w:r w:rsidRPr="006E4A40">
        <w:rPr>
          <w:bCs/>
        </w:rPr>
        <w:t xml:space="preserve">of </w:t>
      </w:r>
      <w:proofErr w:type="gramEnd"/>
      <m:oMath>
        <m:r>
          <w:rPr>
            <w:rFonts w:ascii="Cambria Math" w:hAnsi="Cambria Math"/>
          </w:rPr>
          <m:t>α=0.01</m:t>
        </m:r>
      </m:oMath>
      <w:r w:rsidRPr="006E4A40">
        <w:rPr>
          <w:bCs/>
        </w:rPr>
        <w:t>: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Hypotheses: 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                     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Test Statistic: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P-value: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Decision about the null hypothesis: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Conclusion: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630"/>
          <w:tab w:val="left" w:pos="1080"/>
        </w:tabs>
        <w:spacing w:after="160" w:line="259" w:lineRule="auto"/>
        <w:ind w:left="630" w:hanging="630"/>
        <w:rPr>
          <w:bCs/>
        </w:rPr>
      </w:pPr>
      <w:r>
        <w:rPr>
          <w:bCs/>
        </w:rPr>
        <w:t xml:space="preserve">  (viii)</w:t>
      </w:r>
      <w:r>
        <w:rPr>
          <w:bCs/>
        </w:rPr>
        <w:tab/>
        <w:t>Paste the Levene test from R output and perform a hypothesis test</w:t>
      </w:r>
      <w:r w:rsidRPr="00C75782">
        <w:rPr>
          <w:bCs/>
        </w:rPr>
        <w:t xml:space="preserve"> </w:t>
      </w:r>
      <w:r>
        <w:rPr>
          <w:bCs/>
        </w:rPr>
        <w:t xml:space="preserve">at </w:t>
      </w:r>
      <w:r w:rsidRPr="00C75782">
        <w:rPr>
          <w:rFonts w:eastAsiaTheme="minorHAnsi"/>
          <w:bCs/>
          <w:szCs w:val="22"/>
        </w:rPr>
        <w:t xml:space="preserve">a significance level </w:t>
      </w:r>
      <w:proofErr w:type="gramStart"/>
      <w:r w:rsidRPr="00C75782">
        <w:rPr>
          <w:rFonts w:eastAsiaTheme="minorHAnsi"/>
          <w:bCs/>
          <w:szCs w:val="22"/>
        </w:rPr>
        <w:t xml:space="preserve">of </w:t>
      </w:r>
      <w:proofErr w:type="gramEnd"/>
      <m:oMath>
        <m:r>
          <w:rPr>
            <w:rFonts w:ascii="Cambria Math" w:eastAsiaTheme="minorHAnsi" w:hAnsi="Cambria Math"/>
            <w:szCs w:val="22"/>
          </w:rPr>
          <m:t>α</m:t>
        </m:r>
        <m:r>
          <m:rPr>
            <m:sty m:val="p"/>
          </m:rPr>
          <w:rPr>
            <w:rFonts w:ascii="Cambria Math" w:eastAsiaTheme="minorHAnsi" w:hAnsi="Cambria Math"/>
            <w:szCs w:val="22"/>
          </w:rPr>
          <m:t>=0.0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C75782">
        <w:rPr>
          <w:rFonts w:eastAsiaTheme="minorHAnsi"/>
          <w:bCs/>
          <w:szCs w:val="22"/>
        </w:rPr>
        <w:t>: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Hypotheses: 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                     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Test Statistic: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P-value: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Decision about the null hypothesis: 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Conclusion: </w:t>
      </w:r>
    </w:p>
    <w:p w:rsidR="003567D6" w:rsidRPr="006E4A40" w:rsidRDefault="003567D6" w:rsidP="003567D6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3567D6" w:rsidRDefault="003567D6" w:rsidP="003567D6">
      <w:pPr>
        <w:tabs>
          <w:tab w:val="left" w:pos="360"/>
        </w:tabs>
        <w:rPr>
          <w:bCs/>
        </w:rPr>
      </w:pPr>
    </w:p>
    <w:p w:rsidR="003567D6" w:rsidRDefault="003567D6" w:rsidP="003567D6">
      <w:pPr>
        <w:tabs>
          <w:tab w:val="left" w:pos="540"/>
        </w:tabs>
        <w:ind w:left="540" w:hanging="540"/>
        <w:rPr>
          <w:rFonts w:eastAsiaTheme="minorEastAsia"/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(ix)</w:t>
      </w:r>
      <w:r>
        <w:rPr>
          <w:bCs/>
        </w:rPr>
        <w:tab/>
        <w:t>Have the assumptions been met</w:t>
      </w:r>
      <w:proofErr w:type="gramEnd"/>
      <w:r>
        <w:rPr>
          <w:bCs/>
        </w:rPr>
        <w:t xml:space="preserve">? </w:t>
      </w:r>
      <w:r w:rsidR="008E34BD">
        <w:rPr>
          <w:bCs/>
        </w:rPr>
        <w:t>Justify</w:t>
      </w:r>
      <w:r>
        <w:rPr>
          <w:bCs/>
        </w:rPr>
        <w:t xml:space="preserve"> your answer.</w:t>
      </w: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3567D6" w:rsidRDefault="003567D6" w:rsidP="003567D6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7F1AD4" w:rsidRPr="007F1AD4" w:rsidRDefault="007F1AD4" w:rsidP="000D13FE">
      <w:pPr>
        <w:tabs>
          <w:tab w:val="left" w:pos="360"/>
        </w:tabs>
        <w:ind w:left="360" w:hanging="360"/>
        <w:rPr>
          <w:bCs/>
        </w:rPr>
      </w:pPr>
    </w:p>
    <w:p w:rsidR="007F1AD4" w:rsidRPr="007F1AD4" w:rsidRDefault="007F1AD4" w:rsidP="000D13FE">
      <w:pPr>
        <w:tabs>
          <w:tab w:val="left" w:pos="360"/>
        </w:tabs>
        <w:ind w:left="360" w:hanging="360"/>
        <w:rPr>
          <w:bCs/>
        </w:rPr>
      </w:pPr>
    </w:p>
    <w:p w:rsidR="007F1AD4" w:rsidRDefault="008E34BD" w:rsidP="000D13FE">
      <w:pPr>
        <w:tabs>
          <w:tab w:val="left" w:pos="360"/>
        </w:tabs>
        <w:ind w:left="360" w:hanging="360"/>
        <w:rPr>
          <w:bCs/>
        </w:rPr>
      </w:pPr>
      <w:r>
        <w:rPr>
          <w:bCs/>
        </w:rPr>
        <w:t>(</w:t>
      </w:r>
      <w:r w:rsidR="003F328E">
        <w:rPr>
          <w:bCs/>
        </w:rPr>
        <w:t>g</w:t>
      </w:r>
      <w:r>
        <w:rPr>
          <w:bCs/>
        </w:rPr>
        <w:t>)</w:t>
      </w:r>
      <w:r>
        <w:rPr>
          <w:bCs/>
        </w:rPr>
        <w:tab/>
        <w:t>What is your overall conclusion about this ANOVA analysis?</w:t>
      </w:r>
    </w:p>
    <w:p w:rsidR="008E34BD" w:rsidRDefault="008E34BD" w:rsidP="000D13FE">
      <w:pPr>
        <w:tabs>
          <w:tab w:val="left" w:pos="360"/>
        </w:tabs>
        <w:ind w:left="360" w:hanging="360"/>
        <w:rPr>
          <w:bCs/>
        </w:rPr>
      </w:pPr>
    </w:p>
    <w:p w:rsidR="007F1AD4" w:rsidRPr="007F1AD4" w:rsidRDefault="007F1AD4" w:rsidP="000D13FE">
      <w:pPr>
        <w:tabs>
          <w:tab w:val="left" w:pos="360"/>
        </w:tabs>
        <w:ind w:left="360" w:hanging="360"/>
        <w:rPr>
          <w:bCs/>
        </w:rPr>
      </w:pPr>
    </w:p>
    <w:p w:rsidR="00C44B20" w:rsidRDefault="00C44B20">
      <w:pPr>
        <w:rPr>
          <w:b/>
          <w:bCs/>
          <w:szCs w:val="32"/>
        </w:rPr>
      </w:pPr>
    </w:p>
    <w:p w:rsidR="000D13FE" w:rsidRDefault="000D13FE">
      <w:pPr>
        <w:rPr>
          <w:b/>
          <w:bCs/>
          <w:szCs w:val="32"/>
        </w:rPr>
      </w:pPr>
      <w:r>
        <w:rPr>
          <w:szCs w:val="32"/>
        </w:rPr>
        <w:br w:type="page"/>
      </w:r>
    </w:p>
    <w:p w:rsidR="00CB1D98" w:rsidRDefault="00CB1D98" w:rsidP="00CB1D98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lastRenderedPageBreak/>
        <w:t>Dataset 2</w:t>
      </w:r>
    </w:p>
    <w:p w:rsidR="00D6738A" w:rsidRDefault="00D6738A" w:rsidP="00D6738A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Scenario</w:t>
      </w:r>
      <w:r w:rsidR="006B2329">
        <w:rPr>
          <w:rFonts w:ascii="Times New Roman" w:hAnsi="Times New Roman"/>
          <w:sz w:val="24"/>
          <w:szCs w:val="32"/>
        </w:rPr>
        <w:t>: Soil Compaction</w:t>
      </w:r>
    </w:p>
    <w:p w:rsidR="007F1AD4" w:rsidRDefault="007F1AD4" w:rsidP="007F1AD4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 xml:space="preserve">It is conjectured that when </w:t>
      </w:r>
      <w:proofErr w:type="gramStart"/>
      <w:r>
        <w:rPr>
          <w:rFonts w:ascii="Times New Roman" w:hAnsi="Times New Roman"/>
          <w:b w:val="0"/>
          <w:sz w:val="24"/>
          <w:szCs w:val="32"/>
        </w:rPr>
        <w:t>fields are overgrazed by cattle</w:t>
      </w:r>
      <w:proofErr w:type="gramEnd"/>
      <w:r>
        <w:rPr>
          <w:rFonts w:ascii="Times New Roman" w:hAnsi="Times New Roman"/>
          <w:b w:val="0"/>
          <w:sz w:val="24"/>
          <w:szCs w:val="32"/>
        </w:rPr>
        <w:t xml:space="preserve"> there will be a substantial reduction in the available grass during the subsequent grazing season due to the compaction of the soil.  A horticulturist at the state agricultural experiment station designs a study to evaluate the conjecture.  Twenty-one plots of land of nearly the same soil texture and suitable for grazing are selected for the study.  Three grazing regimens selected for evaluation are randomly assigned to </w:t>
      </w:r>
      <w:proofErr w:type="gramStart"/>
      <w:r>
        <w:rPr>
          <w:rFonts w:ascii="Times New Roman" w:hAnsi="Times New Roman"/>
          <w:b w:val="0"/>
          <w:sz w:val="24"/>
          <w:szCs w:val="32"/>
        </w:rPr>
        <w:t>7</w:t>
      </w:r>
      <w:proofErr w:type="gramEnd"/>
      <w:r>
        <w:rPr>
          <w:rFonts w:ascii="Times New Roman" w:hAnsi="Times New Roman"/>
          <w:b w:val="0"/>
          <w:sz w:val="24"/>
          <w:szCs w:val="32"/>
        </w:rPr>
        <w:t xml:space="preserve"> plots each.  The three grazing regimens are Continuous grazing, Three-week grazing and then one-week no grazing, and Two-week grazing and two-week no grazing. After the 21 plots </w:t>
      </w:r>
      <w:proofErr w:type="gramStart"/>
      <w:r>
        <w:rPr>
          <w:rFonts w:ascii="Times New Roman" w:hAnsi="Times New Roman"/>
          <w:b w:val="0"/>
          <w:sz w:val="24"/>
          <w:szCs w:val="32"/>
        </w:rPr>
        <w:t>are subjected</w:t>
      </w:r>
      <w:proofErr w:type="gramEnd"/>
      <w:r>
        <w:rPr>
          <w:rFonts w:ascii="Times New Roman" w:hAnsi="Times New Roman"/>
          <w:b w:val="0"/>
          <w:sz w:val="24"/>
          <w:szCs w:val="32"/>
        </w:rPr>
        <w:t xml:space="preserve"> to the grazing regimens for four months, the researcher randomly selects 10 soil cores from each plot and measures the bulk density (g/cm</w:t>
      </w:r>
      <w:r w:rsidRPr="00E830B3">
        <w:rPr>
          <w:rFonts w:ascii="Times New Roman" w:hAnsi="Times New Roman"/>
          <w:b w:val="0"/>
          <w:sz w:val="24"/>
          <w:szCs w:val="32"/>
          <w:vertAlign w:val="superscript"/>
        </w:rPr>
        <w:t>3</w:t>
      </w:r>
      <w:r>
        <w:rPr>
          <w:rFonts w:ascii="Times New Roman" w:hAnsi="Times New Roman"/>
          <w:b w:val="0"/>
          <w:sz w:val="24"/>
          <w:szCs w:val="32"/>
        </w:rPr>
        <w:t xml:space="preserve">) in each soil core.  The mean soil density of the 10 cores from each plot </w:t>
      </w:r>
      <w:proofErr w:type="gramStart"/>
      <w:r>
        <w:rPr>
          <w:rFonts w:ascii="Times New Roman" w:hAnsi="Times New Roman"/>
          <w:b w:val="0"/>
          <w:sz w:val="24"/>
          <w:szCs w:val="32"/>
        </w:rPr>
        <w:t>is given</w:t>
      </w:r>
      <w:proofErr w:type="gramEnd"/>
      <w:r>
        <w:rPr>
          <w:rFonts w:ascii="Times New Roman" w:hAnsi="Times New Roman"/>
          <w:b w:val="0"/>
          <w:sz w:val="24"/>
          <w:szCs w:val="32"/>
        </w:rPr>
        <w:t xml:space="preserve"> in the </w:t>
      </w:r>
      <w:r w:rsidR="005D72BD">
        <w:rPr>
          <w:rFonts w:ascii="Times New Roman" w:hAnsi="Times New Roman"/>
          <w:b w:val="0"/>
          <w:sz w:val="24"/>
          <w:szCs w:val="32"/>
        </w:rPr>
        <w:t>following table:</w:t>
      </w:r>
    </w:p>
    <w:p w:rsidR="005D72BD" w:rsidRDefault="005D72BD" w:rsidP="007F1AD4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5D72BD" w:rsidRDefault="005D72BD" w:rsidP="007F1AD4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noProof/>
        </w:rPr>
        <w:drawing>
          <wp:inline distT="0" distB="0" distL="0" distR="0" wp14:anchorId="61A2AE50" wp14:editId="2AD293C3">
            <wp:extent cx="6309360" cy="1099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D4" w:rsidRDefault="007F1AD4" w:rsidP="007F1AD4">
      <w:pPr>
        <w:pStyle w:val="Title"/>
        <w:tabs>
          <w:tab w:val="left" w:pos="45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5D72BD" w:rsidRPr="005D72BD" w:rsidRDefault="005D72BD" w:rsidP="005D72BD">
      <w:pPr>
        <w:pStyle w:val="Title"/>
        <w:tabs>
          <w:tab w:val="left" w:pos="0"/>
        </w:tabs>
        <w:ind w:right="-36"/>
        <w:jc w:val="left"/>
        <w:rPr>
          <w:rFonts w:asciiTheme="minorHAnsi" w:hAnsiTheme="minorHAnsi" w:cstheme="minorHAnsi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  The R code file: </w:t>
      </w:r>
      <w:r>
        <w:rPr>
          <w:rFonts w:asciiTheme="minorHAnsi" w:hAnsiTheme="minorHAnsi" w:cstheme="minorHAnsi"/>
          <w:sz w:val="24"/>
          <w:szCs w:val="32"/>
        </w:rPr>
        <w:t>Soil Compaction</w:t>
      </w:r>
      <w:r w:rsidRPr="004476FF">
        <w:rPr>
          <w:rFonts w:asciiTheme="minorHAnsi" w:hAnsiTheme="minorHAnsi" w:cstheme="minorHAnsi"/>
          <w:sz w:val="24"/>
          <w:szCs w:val="32"/>
        </w:rPr>
        <w:t xml:space="preserve"> R </w:t>
      </w:r>
      <w:proofErr w:type="spellStart"/>
      <w:r w:rsidRPr="004476FF">
        <w:rPr>
          <w:rFonts w:asciiTheme="minorHAnsi" w:hAnsiTheme="minorHAnsi" w:cstheme="minorHAnsi"/>
          <w:sz w:val="24"/>
          <w:szCs w:val="32"/>
        </w:rPr>
        <w:t>Code.R</w:t>
      </w:r>
      <w:proofErr w:type="spellEnd"/>
    </w:p>
    <w:p w:rsidR="006B2329" w:rsidRDefault="006B2329" w:rsidP="007F1AD4">
      <w:pPr>
        <w:pStyle w:val="Title"/>
        <w:tabs>
          <w:tab w:val="left" w:pos="45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7F1AD4" w:rsidRPr="004F410B" w:rsidRDefault="007F1AD4" w:rsidP="007F1AD4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 w:rsidRPr="00B775FD">
        <w:rPr>
          <w:rFonts w:asciiTheme="minorHAnsi" w:hAnsiTheme="minorHAnsi" w:cstheme="minorHAnsi"/>
          <w:szCs w:val="32"/>
        </w:rPr>
        <w:t>NOTE</w:t>
      </w:r>
      <w:r>
        <w:rPr>
          <w:rFonts w:asciiTheme="minorHAnsi" w:hAnsiTheme="minorHAnsi" w:cstheme="minorHAnsi"/>
          <w:sz w:val="24"/>
          <w:szCs w:val="32"/>
        </w:rPr>
        <w:t xml:space="preserve">: </w:t>
      </w:r>
      <w:r w:rsidRPr="00093AC9">
        <w:rPr>
          <w:rFonts w:asciiTheme="minorHAnsi" w:hAnsiTheme="minorHAnsi" w:cstheme="minorHAnsi"/>
          <w:sz w:val="24"/>
          <w:szCs w:val="32"/>
        </w:rPr>
        <w:t xml:space="preserve">Convert the tabular data to a statistical dataset and save as </w:t>
      </w:r>
      <w:r w:rsidR="005D72BD">
        <w:rPr>
          <w:rFonts w:asciiTheme="minorHAnsi" w:hAnsiTheme="minorHAnsi" w:cstheme="minorHAnsi"/>
          <w:sz w:val="24"/>
          <w:szCs w:val="32"/>
        </w:rPr>
        <w:t>Soil Compaction</w:t>
      </w:r>
      <w:r>
        <w:rPr>
          <w:rFonts w:asciiTheme="minorHAnsi" w:hAnsiTheme="minorHAnsi" w:cstheme="minorHAnsi"/>
          <w:sz w:val="24"/>
          <w:szCs w:val="32"/>
        </w:rPr>
        <w:t xml:space="preserve">.xlsx. Have two variables with names Grazing and Density. </w:t>
      </w:r>
      <w:r w:rsidR="003B429F">
        <w:rPr>
          <w:rFonts w:asciiTheme="minorHAnsi" w:hAnsiTheme="minorHAnsi" w:cstheme="minorHAnsi"/>
          <w:sz w:val="24"/>
          <w:szCs w:val="32"/>
        </w:rPr>
        <w:t xml:space="preserve">Denote the three treatments for Grazing Regimen </w:t>
      </w:r>
      <w:proofErr w:type="gramStart"/>
      <w:r w:rsidR="003B429F">
        <w:rPr>
          <w:rFonts w:asciiTheme="minorHAnsi" w:hAnsiTheme="minorHAnsi" w:cstheme="minorHAnsi"/>
          <w:sz w:val="24"/>
          <w:szCs w:val="32"/>
        </w:rPr>
        <w:t>as: Continuous</w:t>
      </w:r>
      <w:proofErr w:type="gramEnd"/>
      <w:r w:rsidR="003B429F">
        <w:rPr>
          <w:rFonts w:asciiTheme="minorHAnsi" w:hAnsiTheme="minorHAnsi" w:cstheme="minorHAnsi"/>
          <w:sz w:val="24"/>
          <w:szCs w:val="32"/>
        </w:rPr>
        <w:t>, 3wk_1wk, and 2wk_2wk.</w:t>
      </w:r>
    </w:p>
    <w:p w:rsidR="007F1AD4" w:rsidRDefault="007F1AD4" w:rsidP="007F1AD4">
      <w:pPr>
        <w:pStyle w:val="Title"/>
        <w:tabs>
          <w:tab w:val="left" w:pos="45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(a)</w:t>
      </w:r>
      <w:r>
        <w:rPr>
          <w:rFonts w:ascii="Times New Roman" w:hAnsi="Times New Roman"/>
          <w:b w:val="0"/>
          <w:sz w:val="24"/>
          <w:szCs w:val="32"/>
        </w:rPr>
        <w:tab/>
        <w:t>Paste a screenshot of your dataset and explain how you converted the tabular data to a statistical dataset:</w:t>
      </w: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Pr="00AB5EE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Pr="00AB5EE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  <w:r w:rsidRPr="00AB5EE5">
        <w:rPr>
          <w:rFonts w:ascii="Times New Roman" w:hAnsi="Times New Roman"/>
          <w:b w:val="0"/>
          <w:sz w:val="24"/>
          <w:szCs w:val="32"/>
        </w:rPr>
        <w:t>(b)</w:t>
      </w:r>
      <w:r w:rsidRPr="00AB5EE5">
        <w:rPr>
          <w:rFonts w:ascii="Times New Roman" w:hAnsi="Times New Roman"/>
          <w:b w:val="0"/>
          <w:sz w:val="24"/>
          <w:szCs w:val="32"/>
        </w:rPr>
        <w:tab/>
      </w:r>
      <w:r>
        <w:rPr>
          <w:rFonts w:ascii="Times New Roman" w:hAnsi="Times New Roman"/>
          <w:b w:val="0"/>
          <w:sz w:val="24"/>
          <w:szCs w:val="32"/>
        </w:rPr>
        <w:t>Paste and comment on the boxplot of Observed Soil Density:</w:t>
      </w: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(c)</w:t>
      </w:r>
      <w:r>
        <w:rPr>
          <w:rFonts w:ascii="Times New Roman" w:hAnsi="Times New Roman"/>
          <w:b w:val="0"/>
          <w:sz w:val="24"/>
          <w:szCs w:val="32"/>
        </w:rPr>
        <w:tab/>
        <w:t>Paste and comment on the table of summary statistics for each Cattle Grazing Regimen:</w:t>
      </w: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Pr="00AB5EE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(d)</w:t>
      </w:r>
      <w:r>
        <w:rPr>
          <w:rFonts w:ascii="Times New Roman" w:hAnsi="Times New Roman"/>
          <w:b w:val="0"/>
          <w:sz w:val="24"/>
          <w:szCs w:val="32"/>
        </w:rPr>
        <w:tab/>
        <w:t xml:space="preserve">For this scenario, state the </w:t>
      </w:r>
      <w:r w:rsidR="0094450C">
        <w:rPr>
          <w:rFonts w:ascii="Times New Roman" w:hAnsi="Times New Roman"/>
          <w:b w:val="0"/>
          <w:sz w:val="24"/>
          <w:szCs w:val="32"/>
        </w:rPr>
        <w:t>means</w:t>
      </w:r>
      <w:bookmarkStart w:id="0" w:name="_GoBack"/>
      <w:bookmarkEnd w:id="0"/>
      <w:r>
        <w:rPr>
          <w:rFonts w:ascii="Times New Roman" w:hAnsi="Times New Roman"/>
          <w:b w:val="0"/>
          <w:sz w:val="24"/>
          <w:szCs w:val="32"/>
        </w:rPr>
        <w:t xml:space="preserve"> model, describe all terms in the model, and give values for all subscripts:</w:t>
      </w: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7F1AD4">
      <w:pPr>
        <w:pStyle w:val="Title"/>
        <w:tabs>
          <w:tab w:val="left" w:pos="45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7F1AD4">
      <w:pPr>
        <w:pStyle w:val="Title"/>
        <w:tabs>
          <w:tab w:val="left" w:pos="45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3B429F" w:rsidRDefault="003B429F" w:rsidP="006B2329">
      <w:pPr>
        <w:pStyle w:val="Title"/>
        <w:tabs>
          <w:tab w:val="left" w:pos="45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631F05" w:rsidRDefault="00631F05" w:rsidP="00631F05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</w:p>
    <w:p w:rsidR="006B2329" w:rsidRDefault="006B2329" w:rsidP="006B2329">
      <w:pPr>
        <w:pStyle w:val="Title"/>
        <w:tabs>
          <w:tab w:val="left" w:pos="450"/>
        </w:tabs>
        <w:ind w:left="450" w:right="-36" w:hanging="45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lastRenderedPageBreak/>
        <w:t>(</w:t>
      </w:r>
      <w:r w:rsidR="00631F05">
        <w:rPr>
          <w:rFonts w:ascii="Times New Roman" w:hAnsi="Times New Roman"/>
          <w:b w:val="0"/>
          <w:sz w:val="24"/>
          <w:szCs w:val="32"/>
        </w:rPr>
        <w:t>e</w:t>
      </w:r>
      <w:r>
        <w:rPr>
          <w:rFonts w:ascii="Times New Roman" w:hAnsi="Times New Roman"/>
          <w:b w:val="0"/>
          <w:sz w:val="24"/>
          <w:szCs w:val="32"/>
        </w:rPr>
        <w:t>)</w:t>
      </w:r>
      <w:r>
        <w:rPr>
          <w:rFonts w:ascii="Times New Roman" w:hAnsi="Times New Roman"/>
          <w:b w:val="0"/>
          <w:sz w:val="24"/>
          <w:szCs w:val="32"/>
        </w:rPr>
        <w:tab/>
        <w:t xml:space="preserve">Do the grazing regimens appear to yield different degrees of effect on the amount of compacting in the soil? Justify your answer using </w:t>
      </w:r>
      <m:oMath>
        <m:r>
          <m:rPr>
            <m:sty m:val="bi"/>
          </m:rPr>
          <w:rPr>
            <w:rFonts w:ascii="Cambria Math" w:hAnsi="Cambria Math"/>
            <w:sz w:val="24"/>
            <w:szCs w:val="32"/>
          </w:rPr>
          <m:t>α=0.05</m:t>
        </m:r>
      </m:oMath>
      <w:r>
        <w:rPr>
          <w:rFonts w:ascii="Times New Roman" w:hAnsi="Times New Roman"/>
          <w:b w:val="0"/>
          <w:sz w:val="24"/>
          <w:szCs w:val="32"/>
        </w:rPr>
        <w:t xml:space="preserve"> </w:t>
      </w:r>
      <w:r w:rsidR="003B429F">
        <w:rPr>
          <w:rFonts w:ascii="Times New Roman" w:hAnsi="Times New Roman"/>
          <w:b w:val="0"/>
          <w:sz w:val="24"/>
          <w:szCs w:val="32"/>
        </w:rPr>
        <w:t>and</w:t>
      </w:r>
      <w:r>
        <w:rPr>
          <w:rFonts w:ascii="Times New Roman" w:hAnsi="Times New Roman"/>
          <w:b w:val="0"/>
          <w:sz w:val="24"/>
          <w:szCs w:val="32"/>
        </w:rPr>
        <w:t xml:space="preserve"> </w:t>
      </w:r>
      <w:r w:rsidR="003B429F">
        <w:rPr>
          <w:rFonts w:ascii="Times New Roman" w:hAnsi="Times New Roman"/>
          <w:b w:val="0"/>
          <w:sz w:val="24"/>
          <w:szCs w:val="32"/>
        </w:rPr>
        <w:t xml:space="preserve">use one-way ANOVA to </w:t>
      </w:r>
      <w:r>
        <w:rPr>
          <w:rFonts w:ascii="Times New Roman" w:hAnsi="Times New Roman"/>
          <w:b w:val="0"/>
          <w:sz w:val="24"/>
          <w:szCs w:val="32"/>
        </w:rPr>
        <w:t>test treatment effects.</w:t>
      </w:r>
      <w:r w:rsidR="00631F05">
        <w:rPr>
          <w:rFonts w:ascii="Times New Roman" w:hAnsi="Times New Roman"/>
          <w:b w:val="0"/>
          <w:sz w:val="24"/>
          <w:szCs w:val="32"/>
        </w:rPr>
        <w:t xml:space="preserve"> Paste the Analysis of Variance Table and perform the hypothesis test:</w:t>
      </w:r>
    </w:p>
    <w:p w:rsidR="006B2329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31F05" w:rsidRDefault="00631F05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31F05" w:rsidRPr="006E4A40" w:rsidRDefault="00631F05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Hypotheses: 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                     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Test Statistic: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P-value: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Decision about the null hypothesis: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Conclusion: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Default="006B2329" w:rsidP="006B232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6B2329" w:rsidRDefault="006B2329" w:rsidP="006B2329">
      <w:pPr>
        <w:tabs>
          <w:tab w:val="left" w:pos="360"/>
        </w:tabs>
        <w:ind w:left="360" w:hanging="360"/>
        <w:rPr>
          <w:bCs/>
        </w:rPr>
      </w:pPr>
      <w:r>
        <w:rPr>
          <w:bCs/>
        </w:rPr>
        <w:t>(</w:t>
      </w:r>
      <w:r w:rsidR="00631F05">
        <w:rPr>
          <w:bCs/>
        </w:rPr>
        <w:t>f</w:t>
      </w:r>
      <w:r>
        <w:rPr>
          <w:bCs/>
        </w:rPr>
        <w:t>)</w:t>
      </w:r>
      <w:r>
        <w:rPr>
          <w:bCs/>
        </w:rPr>
        <w:tab/>
        <w:t>Check conditions for ANOVA based on the following assumptions:</w:t>
      </w:r>
    </w:p>
    <w:p w:rsidR="006B2329" w:rsidRDefault="006B2329" w:rsidP="006B2329">
      <w:pPr>
        <w:tabs>
          <w:tab w:val="left" w:pos="360"/>
          <w:tab w:val="left" w:pos="1080"/>
        </w:tabs>
        <w:spacing w:line="259" w:lineRule="auto"/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Errors are normally distributed</w:t>
      </w:r>
    </w:p>
    <w:p w:rsidR="006B2329" w:rsidRDefault="006B2329" w:rsidP="006B2329">
      <w:pPr>
        <w:tabs>
          <w:tab w:val="left" w:pos="360"/>
          <w:tab w:val="left" w:pos="1080"/>
        </w:tabs>
        <w:spacing w:line="259" w:lineRule="auto"/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There are no outliers</w:t>
      </w:r>
    </w:p>
    <w:p w:rsidR="006B2329" w:rsidRPr="001B1912" w:rsidRDefault="006B2329" w:rsidP="006B2329">
      <w:pPr>
        <w:tabs>
          <w:tab w:val="left" w:pos="360"/>
          <w:tab w:val="left" w:pos="1080"/>
        </w:tabs>
        <w:spacing w:line="259" w:lineRule="auto"/>
        <w:ind w:left="360"/>
        <w:rPr>
          <w:bCs/>
        </w:rPr>
      </w:pPr>
      <w:r w:rsidRPr="001B1912">
        <w:rPr>
          <w:rFonts w:eastAsiaTheme="minorEastAsia"/>
          <w:bCs/>
        </w:rPr>
        <w:t>The variance of the errors</w:t>
      </w:r>
      <w:proofErr w:type="gramStart"/>
      <w:r>
        <w:rPr>
          <w:rFonts w:eastAsiaTheme="minorEastAsia"/>
          <w:bCs/>
        </w:rPr>
        <w:t>,</w:t>
      </w:r>
      <w:r w:rsidRPr="001B1912">
        <w:rPr>
          <w:rFonts w:eastAsiaTheme="minorEastAsia"/>
          <w:bCs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  <w:bCs/>
          <w:iCs/>
        </w:rPr>
        <w:t>,</w:t>
      </w:r>
      <w:r>
        <w:rPr>
          <w:rFonts w:eastAsiaTheme="minorEastAsia"/>
          <w:bCs/>
        </w:rPr>
        <w:t xml:space="preserve"> is the same for all treatments (common variance)</w:t>
      </w: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6B2329" w:rsidRDefault="006B2329" w:rsidP="006B2329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</w:t>
      </w:r>
      <w:proofErr w:type="spellStart"/>
      <w:r>
        <w:rPr>
          <w:bCs/>
        </w:rPr>
        <w:t>i</w:t>
      </w:r>
      <w:proofErr w:type="spellEnd"/>
      <w:r>
        <w:rPr>
          <w:bCs/>
        </w:rPr>
        <w:t>)</w:t>
      </w:r>
      <w:r>
        <w:rPr>
          <w:bCs/>
        </w:rPr>
        <w:tab/>
        <w:t xml:space="preserve">Paste and interpret the Residuals vs </w:t>
      </w:r>
      <w:proofErr w:type="gramStart"/>
      <w:r>
        <w:rPr>
          <w:bCs/>
        </w:rPr>
        <w:t>Fitted</w:t>
      </w:r>
      <w:proofErr w:type="gramEnd"/>
      <w:r>
        <w:rPr>
          <w:bCs/>
        </w:rPr>
        <w:t xml:space="preserve"> plot from R output:</w:t>
      </w: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(ii)</w:t>
      </w:r>
      <w:r>
        <w:rPr>
          <w:bCs/>
        </w:rPr>
        <w:tab/>
        <w:t>Paste and interpret the Normal Q-Q plot from R output:</w:t>
      </w: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6B2329" w:rsidRDefault="006B2329" w:rsidP="006B2329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(iii)</w:t>
      </w:r>
      <w:r>
        <w:rPr>
          <w:bCs/>
        </w:rPr>
        <w:tab/>
        <w:t>Paste and interpret the Scale-Location plot from R output:</w:t>
      </w: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(iv)</w:t>
      </w:r>
      <w:r>
        <w:rPr>
          <w:bCs/>
        </w:rPr>
        <w:tab/>
        <w:t>Paste</w:t>
      </w:r>
      <w:proofErr w:type="gramEnd"/>
      <w:r>
        <w:rPr>
          <w:bCs/>
        </w:rPr>
        <w:t xml:space="preserve"> and interpret the </w:t>
      </w:r>
      <w:r w:rsidRPr="008E34BD">
        <w:rPr>
          <w:bCs/>
        </w:rPr>
        <w:t>Constant Leverage</w:t>
      </w:r>
      <w:r>
        <w:rPr>
          <w:bCs/>
        </w:rPr>
        <w:t>: Residuals vs Factor Levels plot from R output:</w:t>
      </w: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6B2329" w:rsidRDefault="006B2329" w:rsidP="006B2329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(v)</w:t>
      </w:r>
      <w:r>
        <w:rPr>
          <w:bCs/>
        </w:rPr>
        <w:tab/>
        <w:t>Paste and interpret the histogram of residuals from R output:</w:t>
      </w: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(vi)</w:t>
      </w:r>
      <w:r>
        <w:rPr>
          <w:bCs/>
        </w:rPr>
        <w:tab/>
        <w:t>Paste</w:t>
      </w:r>
      <w:proofErr w:type="gramEnd"/>
      <w:r>
        <w:rPr>
          <w:bCs/>
        </w:rPr>
        <w:t xml:space="preserve"> and interpret the boxplot of residuals from R output:</w:t>
      </w: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Pr="006E4A40" w:rsidRDefault="006B2329" w:rsidP="006B2329">
      <w:pPr>
        <w:tabs>
          <w:tab w:val="left" w:pos="630"/>
          <w:tab w:val="left" w:pos="1080"/>
        </w:tabs>
        <w:ind w:left="630" w:hanging="630"/>
        <w:rPr>
          <w:bCs/>
        </w:rPr>
      </w:pPr>
      <w:r>
        <w:rPr>
          <w:bCs/>
        </w:rPr>
        <w:t xml:space="preserve">  (vii)</w:t>
      </w:r>
      <w:r>
        <w:rPr>
          <w:bCs/>
        </w:rPr>
        <w:tab/>
        <w:t xml:space="preserve">Paste the Shapiro-Wilk test from R output and perform a hypothesis test at </w:t>
      </w:r>
      <w:r w:rsidRPr="006E4A40">
        <w:rPr>
          <w:bCs/>
        </w:rPr>
        <w:t xml:space="preserve">a significance level </w:t>
      </w:r>
      <w:proofErr w:type="gramStart"/>
      <w:r w:rsidRPr="006E4A40">
        <w:rPr>
          <w:bCs/>
        </w:rPr>
        <w:t xml:space="preserve">of </w:t>
      </w:r>
      <w:proofErr w:type="gramEnd"/>
      <m:oMath>
        <m:r>
          <w:rPr>
            <w:rFonts w:ascii="Cambria Math" w:hAnsi="Cambria Math"/>
          </w:rPr>
          <m:t>α=0.01</m:t>
        </m:r>
      </m:oMath>
      <w:r w:rsidRPr="006E4A40">
        <w:rPr>
          <w:bCs/>
        </w:rPr>
        <w:t>: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Hypotheses: 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                     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Test Statistic: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P-value: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Decision about the null hypothesis: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Conclusion: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630"/>
          <w:tab w:val="left" w:pos="1080"/>
        </w:tabs>
        <w:spacing w:after="160" w:line="259" w:lineRule="auto"/>
        <w:ind w:left="630" w:hanging="630"/>
        <w:rPr>
          <w:bCs/>
        </w:rPr>
      </w:pPr>
      <w:r>
        <w:rPr>
          <w:bCs/>
        </w:rPr>
        <w:t xml:space="preserve">  (viii)</w:t>
      </w:r>
      <w:r>
        <w:rPr>
          <w:bCs/>
        </w:rPr>
        <w:tab/>
        <w:t>Paste the Levene test from R output and perform a hypothesis test</w:t>
      </w:r>
      <w:r w:rsidRPr="00C75782">
        <w:rPr>
          <w:bCs/>
        </w:rPr>
        <w:t xml:space="preserve"> </w:t>
      </w:r>
      <w:r>
        <w:rPr>
          <w:bCs/>
        </w:rPr>
        <w:t xml:space="preserve">at </w:t>
      </w:r>
      <w:r w:rsidRPr="00C75782">
        <w:rPr>
          <w:rFonts w:eastAsiaTheme="minorHAnsi"/>
          <w:bCs/>
          <w:szCs w:val="22"/>
        </w:rPr>
        <w:t xml:space="preserve">a significance level </w:t>
      </w:r>
      <w:proofErr w:type="gramStart"/>
      <w:r w:rsidRPr="00C75782">
        <w:rPr>
          <w:rFonts w:eastAsiaTheme="minorHAnsi"/>
          <w:bCs/>
          <w:szCs w:val="22"/>
        </w:rPr>
        <w:t xml:space="preserve">of </w:t>
      </w:r>
      <w:proofErr w:type="gramEnd"/>
      <m:oMath>
        <m:r>
          <w:rPr>
            <w:rFonts w:ascii="Cambria Math" w:eastAsiaTheme="minorHAnsi" w:hAnsi="Cambria Math"/>
            <w:szCs w:val="22"/>
          </w:rPr>
          <m:t>α</m:t>
        </m:r>
        <m:r>
          <m:rPr>
            <m:sty m:val="p"/>
          </m:rPr>
          <w:rPr>
            <w:rFonts w:ascii="Cambria Math" w:eastAsiaTheme="minorHAnsi" w:hAnsi="Cambria Math"/>
            <w:szCs w:val="22"/>
          </w:rPr>
          <m:t>=0.0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C75782">
        <w:rPr>
          <w:rFonts w:eastAsiaTheme="minorHAnsi"/>
          <w:bCs/>
          <w:szCs w:val="22"/>
        </w:rPr>
        <w:t>: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Hypotheses: 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                     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Test Statistic: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P-value: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Decision about the null hypothesis: 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Conclusion: </w:t>
      </w:r>
    </w:p>
    <w:p w:rsidR="006B2329" w:rsidRPr="006E4A40" w:rsidRDefault="006B2329" w:rsidP="006B2329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6B2329" w:rsidRDefault="006B2329" w:rsidP="006B2329">
      <w:pPr>
        <w:tabs>
          <w:tab w:val="left" w:pos="360"/>
        </w:tabs>
        <w:rPr>
          <w:bCs/>
        </w:rPr>
      </w:pPr>
    </w:p>
    <w:p w:rsidR="006B2329" w:rsidRDefault="006B2329" w:rsidP="006B2329">
      <w:pPr>
        <w:tabs>
          <w:tab w:val="left" w:pos="540"/>
        </w:tabs>
        <w:ind w:left="540" w:hanging="540"/>
        <w:rPr>
          <w:rFonts w:eastAsiaTheme="minorEastAsia"/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(ix)</w:t>
      </w:r>
      <w:r>
        <w:rPr>
          <w:bCs/>
        </w:rPr>
        <w:tab/>
        <w:t>Have the assumptions been met</w:t>
      </w:r>
      <w:proofErr w:type="gramEnd"/>
      <w:r>
        <w:rPr>
          <w:bCs/>
        </w:rPr>
        <w:t>? Justify your answer.</w:t>
      </w: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6B2329" w:rsidRDefault="006B2329" w:rsidP="006B2329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6B2329" w:rsidRPr="007F1AD4" w:rsidRDefault="006B2329" w:rsidP="006B2329">
      <w:pPr>
        <w:tabs>
          <w:tab w:val="left" w:pos="360"/>
        </w:tabs>
        <w:ind w:left="360" w:hanging="360"/>
        <w:rPr>
          <w:bCs/>
        </w:rPr>
      </w:pPr>
    </w:p>
    <w:p w:rsidR="006B2329" w:rsidRPr="007F1AD4" w:rsidRDefault="006B2329" w:rsidP="006B2329">
      <w:pPr>
        <w:tabs>
          <w:tab w:val="left" w:pos="360"/>
        </w:tabs>
        <w:ind w:left="360" w:hanging="360"/>
        <w:rPr>
          <w:bCs/>
        </w:rPr>
      </w:pPr>
    </w:p>
    <w:p w:rsidR="006B2329" w:rsidRDefault="006B2329" w:rsidP="006B2329">
      <w:pPr>
        <w:tabs>
          <w:tab w:val="left" w:pos="360"/>
        </w:tabs>
        <w:ind w:left="360" w:hanging="360"/>
        <w:rPr>
          <w:bCs/>
        </w:rPr>
      </w:pPr>
      <w:r>
        <w:rPr>
          <w:bCs/>
        </w:rPr>
        <w:t>(</w:t>
      </w:r>
      <w:r w:rsidR="00631F05">
        <w:rPr>
          <w:bCs/>
        </w:rPr>
        <w:t>g</w:t>
      </w:r>
      <w:r>
        <w:rPr>
          <w:bCs/>
        </w:rPr>
        <w:t>)</w:t>
      </w:r>
      <w:r>
        <w:rPr>
          <w:bCs/>
        </w:rPr>
        <w:tab/>
        <w:t>What is your overall conclusion about this ANOVA analysis?</w:t>
      </w:r>
    </w:p>
    <w:p w:rsidR="006B2329" w:rsidRDefault="006B2329" w:rsidP="006B2329">
      <w:pPr>
        <w:tabs>
          <w:tab w:val="left" w:pos="360"/>
        </w:tabs>
        <w:ind w:left="360" w:hanging="360"/>
        <w:rPr>
          <w:bCs/>
        </w:rPr>
      </w:pPr>
    </w:p>
    <w:p w:rsidR="006B2329" w:rsidRPr="007F1AD4" w:rsidRDefault="006B2329" w:rsidP="006B2329">
      <w:pPr>
        <w:tabs>
          <w:tab w:val="left" w:pos="360"/>
        </w:tabs>
        <w:ind w:left="360" w:hanging="360"/>
        <w:rPr>
          <w:bCs/>
        </w:rPr>
      </w:pPr>
    </w:p>
    <w:p w:rsidR="006B2329" w:rsidRPr="007F1AD4" w:rsidRDefault="006B2329" w:rsidP="006B2329">
      <w:pPr>
        <w:tabs>
          <w:tab w:val="left" w:pos="360"/>
        </w:tabs>
        <w:ind w:left="360" w:hanging="360"/>
        <w:rPr>
          <w:bCs/>
        </w:rPr>
      </w:pPr>
    </w:p>
    <w:p w:rsidR="006B2329" w:rsidRPr="007F1AD4" w:rsidRDefault="006B2329" w:rsidP="006B2329">
      <w:pPr>
        <w:tabs>
          <w:tab w:val="left" w:pos="360"/>
        </w:tabs>
        <w:ind w:left="360" w:hanging="360"/>
        <w:rPr>
          <w:bCs/>
        </w:rPr>
      </w:pPr>
    </w:p>
    <w:p w:rsidR="00596B5E" w:rsidRDefault="00596B5E" w:rsidP="00596B5E">
      <w:pPr>
        <w:pStyle w:val="Title"/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sectPr w:rsidR="00596B5E" w:rsidSect="00066F7F">
      <w:footerReference w:type="default" r:id="rId8"/>
      <w:footerReference w:type="first" r:id="rId9"/>
      <w:pgSz w:w="12240" w:h="15840"/>
      <w:pgMar w:top="1008" w:right="1008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5A1" w:rsidRDefault="003005A1">
      <w:r>
        <w:separator/>
      </w:r>
    </w:p>
  </w:endnote>
  <w:endnote w:type="continuationSeparator" w:id="0">
    <w:p w:rsidR="003005A1" w:rsidRDefault="0030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140490"/>
      <w:docPartObj>
        <w:docPartGallery w:val="Page Numbers (Bottom of Page)"/>
        <w:docPartUnique/>
      </w:docPartObj>
    </w:sdtPr>
    <w:sdtEndPr/>
    <w:sdtContent>
      <w:sdt>
        <w:sdtPr>
          <w:id w:val="-2140029533"/>
          <w:docPartObj>
            <w:docPartGallery w:val="Page Numbers (Top of Page)"/>
            <w:docPartUnique/>
          </w:docPartObj>
        </w:sdtPr>
        <w:sdtEndPr/>
        <w:sdtContent>
          <w:p w:rsidR="002D0EDD" w:rsidRDefault="002D0E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4450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4450C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D0EDD" w:rsidRDefault="002D0E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20684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0EDD" w:rsidRDefault="002D0E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D0EDD" w:rsidRDefault="002D0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5A1" w:rsidRDefault="003005A1">
      <w:r>
        <w:separator/>
      </w:r>
    </w:p>
  </w:footnote>
  <w:footnote w:type="continuationSeparator" w:id="0">
    <w:p w:rsidR="003005A1" w:rsidRDefault="0030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."/>
      <w:lvlJc w:val="left"/>
      <w:pPr>
        <w:ind w:left="2399" w:hanging="240"/>
      </w:pPr>
      <w:rPr>
        <w:rFonts w:ascii="Verdana" w:hAnsi="Verdana" w:cs="Verdana"/>
        <w:b w:val="0"/>
        <w:bCs w:val="0"/>
        <w:color w:val="231F20"/>
        <w:w w:val="88"/>
        <w:sz w:val="18"/>
        <w:szCs w:val="18"/>
      </w:rPr>
    </w:lvl>
    <w:lvl w:ilvl="1">
      <w:numFmt w:val="bullet"/>
      <w:lvlText w:val="•"/>
      <w:lvlJc w:val="left"/>
      <w:pPr>
        <w:ind w:left="2989" w:hanging="240"/>
      </w:pPr>
    </w:lvl>
    <w:lvl w:ilvl="2">
      <w:numFmt w:val="bullet"/>
      <w:lvlText w:val="•"/>
      <w:lvlJc w:val="left"/>
      <w:pPr>
        <w:ind w:left="3579" w:hanging="240"/>
      </w:pPr>
    </w:lvl>
    <w:lvl w:ilvl="3">
      <w:numFmt w:val="bullet"/>
      <w:lvlText w:val="•"/>
      <w:lvlJc w:val="left"/>
      <w:pPr>
        <w:ind w:left="4170" w:hanging="240"/>
      </w:pPr>
    </w:lvl>
    <w:lvl w:ilvl="4">
      <w:numFmt w:val="bullet"/>
      <w:lvlText w:val="•"/>
      <w:lvlJc w:val="left"/>
      <w:pPr>
        <w:ind w:left="4760" w:hanging="240"/>
      </w:pPr>
    </w:lvl>
    <w:lvl w:ilvl="5">
      <w:numFmt w:val="bullet"/>
      <w:lvlText w:val="•"/>
      <w:lvlJc w:val="left"/>
      <w:pPr>
        <w:ind w:left="5350" w:hanging="240"/>
      </w:pPr>
    </w:lvl>
    <w:lvl w:ilvl="6">
      <w:numFmt w:val="bullet"/>
      <w:lvlText w:val="•"/>
      <w:lvlJc w:val="left"/>
      <w:pPr>
        <w:ind w:left="5940" w:hanging="240"/>
      </w:pPr>
    </w:lvl>
    <w:lvl w:ilvl="7">
      <w:numFmt w:val="bullet"/>
      <w:lvlText w:val="•"/>
      <w:lvlJc w:val="left"/>
      <w:pPr>
        <w:ind w:left="6530" w:hanging="240"/>
      </w:pPr>
    </w:lvl>
    <w:lvl w:ilvl="8">
      <w:numFmt w:val="bullet"/>
      <w:lvlText w:val="•"/>
      <w:lvlJc w:val="left"/>
      <w:pPr>
        <w:ind w:left="7120" w:hanging="24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lowerLetter"/>
      <w:lvlText w:val="%1."/>
      <w:lvlJc w:val="left"/>
      <w:pPr>
        <w:ind w:left="2400" w:hanging="240"/>
      </w:pPr>
      <w:rPr>
        <w:rFonts w:ascii="Verdana" w:hAnsi="Verdana" w:cs="Verdana"/>
        <w:b w:val="0"/>
        <w:bCs w:val="0"/>
        <w:color w:val="231F20"/>
        <w:w w:val="88"/>
        <w:sz w:val="18"/>
        <w:szCs w:val="18"/>
      </w:rPr>
    </w:lvl>
    <w:lvl w:ilvl="1">
      <w:numFmt w:val="bullet"/>
      <w:lvlText w:val="•"/>
      <w:lvlJc w:val="left"/>
      <w:pPr>
        <w:ind w:left="2990" w:hanging="240"/>
      </w:pPr>
    </w:lvl>
    <w:lvl w:ilvl="2">
      <w:numFmt w:val="bullet"/>
      <w:lvlText w:val="•"/>
      <w:lvlJc w:val="left"/>
      <w:pPr>
        <w:ind w:left="3580" w:hanging="240"/>
      </w:pPr>
    </w:lvl>
    <w:lvl w:ilvl="3">
      <w:numFmt w:val="bullet"/>
      <w:lvlText w:val="•"/>
      <w:lvlJc w:val="left"/>
      <w:pPr>
        <w:ind w:left="4170" w:hanging="240"/>
      </w:pPr>
    </w:lvl>
    <w:lvl w:ilvl="4">
      <w:numFmt w:val="bullet"/>
      <w:lvlText w:val="•"/>
      <w:lvlJc w:val="left"/>
      <w:pPr>
        <w:ind w:left="4760" w:hanging="240"/>
      </w:pPr>
    </w:lvl>
    <w:lvl w:ilvl="5">
      <w:numFmt w:val="bullet"/>
      <w:lvlText w:val="•"/>
      <w:lvlJc w:val="left"/>
      <w:pPr>
        <w:ind w:left="5350" w:hanging="240"/>
      </w:pPr>
    </w:lvl>
    <w:lvl w:ilvl="6">
      <w:numFmt w:val="bullet"/>
      <w:lvlText w:val="•"/>
      <w:lvlJc w:val="left"/>
      <w:pPr>
        <w:ind w:left="5940" w:hanging="240"/>
      </w:pPr>
    </w:lvl>
    <w:lvl w:ilvl="7">
      <w:numFmt w:val="bullet"/>
      <w:lvlText w:val="•"/>
      <w:lvlJc w:val="left"/>
      <w:pPr>
        <w:ind w:left="6530" w:hanging="240"/>
      </w:pPr>
    </w:lvl>
    <w:lvl w:ilvl="8">
      <w:numFmt w:val="bullet"/>
      <w:lvlText w:val="•"/>
      <w:lvlJc w:val="left"/>
      <w:pPr>
        <w:ind w:left="7120" w:hanging="240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lowerLetter"/>
      <w:lvlText w:val="%1."/>
      <w:lvlJc w:val="left"/>
      <w:pPr>
        <w:ind w:left="2400" w:hanging="240"/>
      </w:pPr>
      <w:rPr>
        <w:rFonts w:ascii="Verdana" w:hAnsi="Verdana" w:cs="Verdana"/>
        <w:b w:val="0"/>
        <w:bCs w:val="0"/>
        <w:color w:val="231F20"/>
        <w:w w:val="88"/>
        <w:sz w:val="18"/>
        <w:szCs w:val="18"/>
      </w:rPr>
    </w:lvl>
    <w:lvl w:ilvl="1">
      <w:numFmt w:val="bullet"/>
      <w:lvlText w:val="•"/>
      <w:lvlJc w:val="left"/>
      <w:pPr>
        <w:ind w:left="2990" w:hanging="240"/>
      </w:pPr>
    </w:lvl>
    <w:lvl w:ilvl="2">
      <w:numFmt w:val="bullet"/>
      <w:lvlText w:val="•"/>
      <w:lvlJc w:val="left"/>
      <w:pPr>
        <w:ind w:left="3580" w:hanging="240"/>
      </w:pPr>
    </w:lvl>
    <w:lvl w:ilvl="3">
      <w:numFmt w:val="bullet"/>
      <w:lvlText w:val="•"/>
      <w:lvlJc w:val="left"/>
      <w:pPr>
        <w:ind w:left="4170" w:hanging="240"/>
      </w:pPr>
    </w:lvl>
    <w:lvl w:ilvl="4">
      <w:numFmt w:val="bullet"/>
      <w:lvlText w:val="•"/>
      <w:lvlJc w:val="left"/>
      <w:pPr>
        <w:ind w:left="4760" w:hanging="240"/>
      </w:pPr>
    </w:lvl>
    <w:lvl w:ilvl="5">
      <w:numFmt w:val="bullet"/>
      <w:lvlText w:val="•"/>
      <w:lvlJc w:val="left"/>
      <w:pPr>
        <w:ind w:left="5350" w:hanging="240"/>
      </w:pPr>
    </w:lvl>
    <w:lvl w:ilvl="6">
      <w:numFmt w:val="bullet"/>
      <w:lvlText w:val="•"/>
      <w:lvlJc w:val="left"/>
      <w:pPr>
        <w:ind w:left="5940" w:hanging="240"/>
      </w:pPr>
    </w:lvl>
    <w:lvl w:ilvl="7">
      <w:numFmt w:val="bullet"/>
      <w:lvlText w:val="•"/>
      <w:lvlJc w:val="left"/>
      <w:pPr>
        <w:ind w:left="6530" w:hanging="240"/>
      </w:pPr>
    </w:lvl>
    <w:lvl w:ilvl="8">
      <w:numFmt w:val="bullet"/>
      <w:lvlText w:val="•"/>
      <w:lvlJc w:val="left"/>
      <w:pPr>
        <w:ind w:left="7120" w:hanging="240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lowerLetter"/>
      <w:lvlText w:val="%1."/>
      <w:lvlJc w:val="left"/>
      <w:pPr>
        <w:ind w:left="2400" w:hanging="240"/>
      </w:pPr>
      <w:rPr>
        <w:rFonts w:ascii="Verdana" w:hAnsi="Verdana" w:cs="Verdana"/>
        <w:b w:val="0"/>
        <w:bCs w:val="0"/>
        <w:color w:val="231F20"/>
        <w:w w:val="88"/>
        <w:sz w:val="18"/>
        <w:szCs w:val="18"/>
      </w:rPr>
    </w:lvl>
    <w:lvl w:ilvl="1">
      <w:numFmt w:val="bullet"/>
      <w:lvlText w:val="•"/>
      <w:lvlJc w:val="left"/>
      <w:pPr>
        <w:ind w:left="2990" w:hanging="240"/>
      </w:pPr>
    </w:lvl>
    <w:lvl w:ilvl="2">
      <w:numFmt w:val="bullet"/>
      <w:lvlText w:val="•"/>
      <w:lvlJc w:val="left"/>
      <w:pPr>
        <w:ind w:left="3580" w:hanging="240"/>
      </w:pPr>
    </w:lvl>
    <w:lvl w:ilvl="3">
      <w:numFmt w:val="bullet"/>
      <w:lvlText w:val="•"/>
      <w:lvlJc w:val="left"/>
      <w:pPr>
        <w:ind w:left="4170" w:hanging="240"/>
      </w:pPr>
    </w:lvl>
    <w:lvl w:ilvl="4">
      <w:numFmt w:val="bullet"/>
      <w:lvlText w:val="•"/>
      <w:lvlJc w:val="left"/>
      <w:pPr>
        <w:ind w:left="4760" w:hanging="240"/>
      </w:pPr>
    </w:lvl>
    <w:lvl w:ilvl="5">
      <w:numFmt w:val="bullet"/>
      <w:lvlText w:val="•"/>
      <w:lvlJc w:val="left"/>
      <w:pPr>
        <w:ind w:left="5350" w:hanging="240"/>
      </w:pPr>
    </w:lvl>
    <w:lvl w:ilvl="6">
      <w:numFmt w:val="bullet"/>
      <w:lvlText w:val="•"/>
      <w:lvlJc w:val="left"/>
      <w:pPr>
        <w:ind w:left="5940" w:hanging="240"/>
      </w:pPr>
    </w:lvl>
    <w:lvl w:ilvl="7">
      <w:numFmt w:val="bullet"/>
      <w:lvlText w:val="•"/>
      <w:lvlJc w:val="left"/>
      <w:pPr>
        <w:ind w:left="6530" w:hanging="240"/>
      </w:pPr>
    </w:lvl>
    <w:lvl w:ilvl="8">
      <w:numFmt w:val="bullet"/>
      <w:lvlText w:val="•"/>
      <w:lvlJc w:val="left"/>
      <w:pPr>
        <w:ind w:left="7120" w:hanging="240"/>
      </w:pPr>
    </w:lvl>
  </w:abstractNum>
  <w:abstractNum w:abstractNumId="4" w15:restartNumberingAfterBreak="0">
    <w:nsid w:val="01682E38"/>
    <w:multiLevelType w:val="hybridMultilevel"/>
    <w:tmpl w:val="B860B546"/>
    <w:lvl w:ilvl="0" w:tplc="CBBED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BC9E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A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9E0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2A7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8C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C8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F25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F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B50A0"/>
    <w:multiLevelType w:val="hybridMultilevel"/>
    <w:tmpl w:val="7CAC53F6"/>
    <w:lvl w:ilvl="0" w:tplc="1966A4CC">
      <w:start w:val="1"/>
      <w:numFmt w:val="lowerLetter"/>
      <w:lvlText w:val="(%1)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060C291E"/>
    <w:multiLevelType w:val="hybridMultilevel"/>
    <w:tmpl w:val="31BA3064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4C3DCB"/>
    <w:multiLevelType w:val="hybridMultilevel"/>
    <w:tmpl w:val="335EE80E"/>
    <w:lvl w:ilvl="0" w:tplc="E6529EB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8" w15:restartNumberingAfterBreak="0">
    <w:nsid w:val="1CA9280A"/>
    <w:multiLevelType w:val="hybridMultilevel"/>
    <w:tmpl w:val="6F521298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11E449A"/>
    <w:multiLevelType w:val="hybridMultilevel"/>
    <w:tmpl w:val="901E60C4"/>
    <w:lvl w:ilvl="0" w:tplc="4148CA4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9E4C6C"/>
    <w:multiLevelType w:val="hybridMultilevel"/>
    <w:tmpl w:val="0828418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B0B7E39"/>
    <w:multiLevelType w:val="hybridMultilevel"/>
    <w:tmpl w:val="A3FEF9A4"/>
    <w:lvl w:ilvl="0" w:tplc="4148CA4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20732F"/>
    <w:multiLevelType w:val="hybridMultilevel"/>
    <w:tmpl w:val="3D9E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44078"/>
    <w:multiLevelType w:val="hybridMultilevel"/>
    <w:tmpl w:val="4954A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D10F0"/>
    <w:multiLevelType w:val="hybridMultilevel"/>
    <w:tmpl w:val="ECCE6216"/>
    <w:lvl w:ilvl="0" w:tplc="58787344">
      <w:start w:val="1"/>
      <w:numFmt w:val="low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709C98DE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 w15:restartNumberingAfterBreak="0">
    <w:nsid w:val="34B24016"/>
    <w:multiLevelType w:val="hybridMultilevel"/>
    <w:tmpl w:val="2F0E9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4514"/>
    <w:multiLevelType w:val="hybridMultilevel"/>
    <w:tmpl w:val="A128E898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42061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717F4"/>
    <w:multiLevelType w:val="hybridMultilevel"/>
    <w:tmpl w:val="1E60B4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FF1F02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84211"/>
    <w:multiLevelType w:val="hybridMultilevel"/>
    <w:tmpl w:val="8746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D02DC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849F5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80227"/>
    <w:multiLevelType w:val="hybridMultilevel"/>
    <w:tmpl w:val="8EFCFE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3057ED"/>
    <w:multiLevelType w:val="hybridMultilevel"/>
    <w:tmpl w:val="C924F0E6"/>
    <w:lvl w:ilvl="0" w:tplc="4148CA4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1"/>
  </w:num>
  <w:num w:numId="2">
    <w:abstractNumId w:val="8"/>
  </w:num>
  <w:num w:numId="3">
    <w:abstractNumId w:val="24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15"/>
  </w:num>
  <w:num w:numId="9">
    <w:abstractNumId w:val="14"/>
  </w:num>
  <w:num w:numId="10">
    <w:abstractNumId w:val="18"/>
  </w:num>
  <w:num w:numId="11">
    <w:abstractNumId w:val="23"/>
  </w:num>
  <w:num w:numId="12">
    <w:abstractNumId w:val="12"/>
  </w:num>
  <w:num w:numId="13">
    <w:abstractNumId w:val="20"/>
  </w:num>
  <w:num w:numId="14">
    <w:abstractNumId w:val="7"/>
  </w:num>
  <w:num w:numId="15">
    <w:abstractNumId w:val="4"/>
  </w:num>
  <w:num w:numId="16">
    <w:abstractNumId w:val="21"/>
  </w:num>
  <w:num w:numId="17">
    <w:abstractNumId w:val="17"/>
  </w:num>
  <w:num w:numId="18">
    <w:abstractNumId w:val="22"/>
  </w:num>
  <w:num w:numId="19">
    <w:abstractNumId w:val="19"/>
  </w:num>
  <w:num w:numId="20">
    <w:abstractNumId w:val="5"/>
  </w:num>
  <w:num w:numId="21">
    <w:abstractNumId w:val="1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DD"/>
    <w:rsid w:val="0000651C"/>
    <w:rsid w:val="00010025"/>
    <w:rsid w:val="000131A4"/>
    <w:rsid w:val="00013A88"/>
    <w:rsid w:val="000153BC"/>
    <w:rsid w:val="000164AE"/>
    <w:rsid w:val="00021BEB"/>
    <w:rsid w:val="00034CCC"/>
    <w:rsid w:val="0005239C"/>
    <w:rsid w:val="00054BB1"/>
    <w:rsid w:val="00056076"/>
    <w:rsid w:val="00060DAB"/>
    <w:rsid w:val="00064D5E"/>
    <w:rsid w:val="00066F7F"/>
    <w:rsid w:val="00075DD6"/>
    <w:rsid w:val="00091DC6"/>
    <w:rsid w:val="000A0F0A"/>
    <w:rsid w:val="000A179B"/>
    <w:rsid w:val="000C2B8E"/>
    <w:rsid w:val="000D0BD4"/>
    <w:rsid w:val="000D13FE"/>
    <w:rsid w:val="000F3EC4"/>
    <w:rsid w:val="000F46EF"/>
    <w:rsid w:val="00105E0C"/>
    <w:rsid w:val="00112527"/>
    <w:rsid w:val="001224B1"/>
    <w:rsid w:val="00123347"/>
    <w:rsid w:val="001239DB"/>
    <w:rsid w:val="00125F8B"/>
    <w:rsid w:val="00127936"/>
    <w:rsid w:val="0012794E"/>
    <w:rsid w:val="00136869"/>
    <w:rsid w:val="001379C5"/>
    <w:rsid w:val="00162030"/>
    <w:rsid w:val="00163729"/>
    <w:rsid w:val="001708B9"/>
    <w:rsid w:val="001841DF"/>
    <w:rsid w:val="00187DC1"/>
    <w:rsid w:val="00195238"/>
    <w:rsid w:val="00195CE0"/>
    <w:rsid w:val="001A5CA3"/>
    <w:rsid w:val="001C4022"/>
    <w:rsid w:val="001C52CF"/>
    <w:rsid w:val="001E0AA6"/>
    <w:rsid w:val="001F36D3"/>
    <w:rsid w:val="00202C17"/>
    <w:rsid w:val="00213134"/>
    <w:rsid w:val="0022637D"/>
    <w:rsid w:val="00227174"/>
    <w:rsid w:val="00290A73"/>
    <w:rsid w:val="00292ED4"/>
    <w:rsid w:val="002B3707"/>
    <w:rsid w:val="002C4523"/>
    <w:rsid w:val="002C5F89"/>
    <w:rsid w:val="002D0EDD"/>
    <w:rsid w:val="002D1AED"/>
    <w:rsid w:val="002D2563"/>
    <w:rsid w:val="002D763D"/>
    <w:rsid w:val="002D7D77"/>
    <w:rsid w:val="002E6B51"/>
    <w:rsid w:val="002F1FBE"/>
    <w:rsid w:val="002F4E74"/>
    <w:rsid w:val="003003D5"/>
    <w:rsid w:val="003005A1"/>
    <w:rsid w:val="00304DDC"/>
    <w:rsid w:val="00313647"/>
    <w:rsid w:val="003213B5"/>
    <w:rsid w:val="003248A6"/>
    <w:rsid w:val="00336B94"/>
    <w:rsid w:val="003567D6"/>
    <w:rsid w:val="0036573C"/>
    <w:rsid w:val="00365812"/>
    <w:rsid w:val="003818A3"/>
    <w:rsid w:val="00383C76"/>
    <w:rsid w:val="003B429F"/>
    <w:rsid w:val="003B5A07"/>
    <w:rsid w:val="003C2670"/>
    <w:rsid w:val="003C5054"/>
    <w:rsid w:val="003E1CD7"/>
    <w:rsid w:val="003E253F"/>
    <w:rsid w:val="003E481E"/>
    <w:rsid w:val="003F2108"/>
    <w:rsid w:val="003F328E"/>
    <w:rsid w:val="003F337B"/>
    <w:rsid w:val="00406EE8"/>
    <w:rsid w:val="00413D99"/>
    <w:rsid w:val="0041593A"/>
    <w:rsid w:val="0041658B"/>
    <w:rsid w:val="00421CDF"/>
    <w:rsid w:val="004349AC"/>
    <w:rsid w:val="004362DE"/>
    <w:rsid w:val="004419DF"/>
    <w:rsid w:val="00443A67"/>
    <w:rsid w:val="004476FF"/>
    <w:rsid w:val="0045067D"/>
    <w:rsid w:val="0046065F"/>
    <w:rsid w:val="00461778"/>
    <w:rsid w:val="004649FF"/>
    <w:rsid w:val="00466B42"/>
    <w:rsid w:val="004757E1"/>
    <w:rsid w:val="0047648B"/>
    <w:rsid w:val="0048189A"/>
    <w:rsid w:val="004B082D"/>
    <w:rsid w:val="004B39FF"/>
    <w:rsid w:val="004B40D7"/>
    <w:rsid w:val="004E5F38"/>
    <w:rsid w:val="004E7E24"/>
    <w:rsid w:val="004F14DD"/>
    <w:rsid w:val="00503F17"/>
    <w:rsid w:val="00513C1C"/>
    <w:rsid w:val="00523236"/>
    <w:rsid w:val="0052662B"/>
    <w:rsid w:val="00527556"/>
    <w:rsid w:val="00531E21"/>
    <w:rsid w:val="005328FC"/>
    <w:rsid w:val="005422F4"/>
    <w:rsid w:val="00552393"/>
    <w:rsid w:val="00560886"/>
    <w:rsid w:val="0056308F"/>
    <w:rsid w:val="00570F67"/>
    <w:rsid w:val="005734FE"/>
    <w:rsid w:val="0057365A"/>
    <w:rsid w:val="00574B61"/>
    <w:rsid w:val="00576613"/>
    <w:rsid w:val="00583317"/>
    <w:rsid w:val="0059572D"/>
    <w:rsid w:val="005957D0"/>
    <w:rsid w:val="00596B5E"/>
    <w:rsid w:val="005A13D4"/>
    <w:rsid w:val="005A4FD7"/>
    <w:rsid w:val="005B213F"/>
    <w:rsid w:val="005C6549"/>
    <w:rsid w:val="005D72BD"/>
    <w:rsid w:val="005E2691"/>
    <w:rsid w:val="005E2D45"/>
    <w:rsid w:val="005E4BEA"/>
    <w:rsid w:val="005F0A2C"/>
    <w:rsid w:val="006018DD"/>
    <w:rsid w:val="00601D1F"/>
    <w:rsid w:val="00604299"/>
    <w:rsid w:val="006221E5"/>
    <w:rsid w:val="00623718"/>
    <w:rsid w:val="00627183"/>
    <w:rsid w:val="0063076B"/>
    <w:rsid w:val="00631AF3"/>
    <w:rsid w:val="00631F05"/>
    <w:rsid w:val="0063320A"/>
    <w:rsid w:val="006554D1"/>
    <w:rsid w:val="00660ADF"/>
    <w:rsid w:val="00670D03"/>
    <w:rsid w:val="00672212"/>
    <w:rsid w:val="00674C91"/>
    <w:rsid w:val="0068277E"/>
    <w:rsid w:val="00692DE1"/>
    <w:rsid w:val="006A5282"/>
    <w:rsid w:val="006A6610"/>
    <w:rsid w:val="006B2329"/>
    <w:rsid w:val="006B7EE4"/>
    <w:rsid w:val="006C3C06"/>
    <w:rsid w:val="006E1A71"/>
    <w:rsid w:val="006F14E3"/>
    <w:rsid w:val="006F4EB4"/>
    <w:rsid w:val="00711D91"/>
    <w:rsid w:val="00723628"/>
    <w:rsid w:val="007264F2"/>
    <w:rsid w:val="0072708F"/>
    <w:rsid w:val="00730003"/>
    <w:rsid w:val="00731BAC"/>
    <w:rsid w:val="0073624E"/>
    <w:rsid w:val="007406F8"/>
    <w:rsid w:val="007425C8"/>
    <w:rsid w:val="0075343B"/>
    <w:rsid w:val="007620C9"/>
    <w:rsid w:val="007A015F"/>
    <w:rsid w:val="007A1C03"/>
    <w:rsid w:val="007A7204"/>
    <w:rsid w:val="007B0B0A"/>
    <w:rsid w:val="007C3B82"/>
    <w:rsid w:val="007C642C"/>
    <w:rsid w:val="007D0232"/>
    <w:rsid w:val="007F1AD4"/>
    <w:rsid w:val="008074DF"/>
    <w:rsid w:val="00812244"/>
    <w:rsid w:val="00813D5A"/>
    <w:rsid w:val="00824DBE"/>
    <w:rsid w:val="0083621D"/>
    <w:rsid w:val="00837429"/>
    <w:rsid w:val="00845893"/>
    <w:rsid w:val="008516D7"/>
    <w:rsid w:val="008540DE"/>
    <w:rsid w:val="00861786"/>
    <w:rsid w:val="00866630"/>
    <w:rsid w:val="00896E65"/>
    <w:rsid w:val="008A41ED"/>
    <w:rsid w:val="008B34AB"/>
    <w:rsid w:val="008D0046"/>
    <w:rsid w:val="008E34BD"/>
    <w:rsid w:val="008E551E"/>
    <w:rsid w:val="008E6017"/>
    <w:rsid w:val="008F2572"/>
    <w:rsid w:val="00900EA9"/>
    <w:rsid w:val="009129E7"/>
    <w:rsid w:val="0091383D"/>
    <w:rsid w:val="00913E7A"/>
    <w:rsid w:val="0091454E"/>
    <w:rsid w:val="009224BF"/>
    <w:rsid w:val="0092253C"/>
    <w:rsid w:val="009269B1"/>
    <w:rsid w:val="00930057"/>
    <w:rsid w:val="009416C0"/>
    <w:rsid w:val="0094450C"/>
    <w:rsid w:val="00954F08"/>
    <w:rsid w:val="00960A91"/>
    <w:rsid w:val="00970F7E"/>
    <w:rsid w:val="0097351E"/>
    <w:rsid w:val="00976910"/>
    <w:rsid w:val="009816D1"/>
    <w:rsid w:val="00982440"/>
    <w:rsid w:val="00983090"/>
    <w:rsid w:val="00995D3C"/>
    <w:rsid w:val="00997861"/>
    <w:rsid w:val="009A7D72"/>
    <w:rsid w:val="009C2E01"/>
    <w:rsid w:val="009C56FF"/>
    <w:rsid w:val="009C61B5"/>
    <w:rsid w:val="009C6A9F"/>
    <w:rsid w:val="009C7CA2"/>
    <w:rsid w:val="009D2593"/>
    <w:rsid w:val="009D447C"/>
    <w:rsid w:val="009E434F"/>
    <w:rsid w:val="009E7DC5"/>
    <w:rsid w:val="009F3083"/>
    <w:rsid w:val="009F3278"/>
    <w:rsid w:val="009F4B03"/>
    <w:rsid w:val="00A0094D"/>
    <w:rsid w:val="00A019C8"/>
    <w:rsid w:val="00A01BE0"/>
    <w:rsid w:val="00A059AD"/>
    <w:rsid w:val="00A10CB8"/>
    <w:rsid w:val="00A20FB5"/>
    <w:rsid w:val="00A246F9"/>
    <w:rsid w:val="00A358FB"/>
    <w:rsid w:val="00A4639B"/>
    <w:rsid w:val="00A51F62"/>
    <w:rsid w:val="00A52091"/>
    <w:rsid w:val="00A56AD3"/>
    <w:rsid w:val="00A57F2C"/>
    <w:rsid w:val="00A6575C"/>
    <w:rsid w:val="00A67ADA"/>
    <w:rsid w:val="00A7286C"/>
    <w:rsid w:val="00A761C7"/>
    <w:rsid w:val="00A84B7A"/>
    <w:rsid w:val="00AB2ED1"/>
    <w:rsid w:val="00AB598A"/>
    <w:rsid w:val="00AB5D8F"/>
    <w:rsid w:val="00AB5EE5"/>
    <w:rsid w:val="00AC5F74"/>
    <w:rsid w:val="00AD3B9A"/>
    <w:rsid w:val="00AE2905"/>
    <w:rsid w:val="00AE5785"/>
    <w:rsid w:val="00AF104C"/>
    <w:rsid w:val="00AF4B0C"/>
    <w:rsid w:val="00B02EE0"/>
    <w:rsid w:val="00B31BFB"/>
    <w:rsid w:val="00B34975"/>
    <w:rsid w:val="00B40904"/>
    <w:rsid w:val="00B417CD"/>
    <w:rsid w:val="00B473F8"/>
    <w:rsid w:val="00B53028"/>
    <w:rsid w:val="00B60219"/>
    <w:rsid w:val="00B64D32"/>
    <w:rsid w:val="00B6573A"/>
    <w:rsid w:val="00B659B8"/>
    <w:rsid w:val="00B66B39"/>
    <w:rsid w:val="00B7052B"/>
    <w:rsid w:val="00B719D4"/>
    <w:rsid w:val="00B75840"/>
    <w:rsid w:val="00B81CF7"/>
    <w:rsid w:val="00B85694"/>
    <w:rsid w:val="00B93C47"/>
    <w:rsid w:val="00BA5036"/>
    <w:rsid w:val="00BB11C5"/>
    <w:rsid w:val="00BB3515"/>
    <w:rsid w:val="00BF0581"/>
    <w:rsid w:val="00BF1090"/>
    <w:rsid w:val="00BF3C10"/>
    <w:rsid w:val="00C05412"/>
    <w:rsid w:val="00C05BD3"/>
    <w:rsid w:val="00C07E48"/>
    <w:rsid w:val="00C15487"/>
    <w:rsid w:val="00C22EDA"/>
    <w:rsid w:val="00C2507E"/>
    <w:rsid w:val="00C263DC"/>
    <w:rsid w:val="00C32173"/>
    <w:rsid w:val="00C34C5C"/>
    <w:rsid w:val="00C378DD"/>
    <w:rsid w:val="00C44B20"/>
    <w:rsid w:val="00C830D3"/>
    <w:rsid w:val="00C859A1"/>
    <w:rsid w:val="00C941FF"/>
    <w:rsid w:val="00C950E5"/>
    <w:rsid w:val="00CA3BC3"/>
    <w:rsid w:val="00CB1D98"/>
    <w:rsid w:val="00CB45C4"/>
    <w:rsid w:val="00CC4185"/>
    <w:rsid w:val="00CC72DD"/>
    <w:rsid w:val="00CD2B5F"/>
    <w:rsid w:val="00CD366C"/>
    <w:rsid w:val="00CF1CD0"/>
    <w:rsid w:val="00CF2072"/>
    <w:rsid w:val="00CF2A08"/>
    <w:rsid w:val="00CF2AB9"/>
    <w:rsid w:val="00CF7A04"/>
    <w:rsid w:val="00D04479"/>
    <w:rsid w:val="00D04607"/>
    <w:rsid w:val="00D04C3A"/>
    <w:rsid w:val="00D07868"/>
    <w:rsid w:val="00D10BAD"/>
    <w:rsid w:val="00D10C91"/>
    <w:rsid w:val="00D21D50"/>
    <w:rsid w:val="00D23DD7"/>
    <w:rsid w:val="00D34237"/>
    <w:rsid w:val="00D3467F"/>
    <w:rsid w:val="00D348D1"/>
    <w:rsid w:val="00D34BF9"/>
    <w:rsid w:val="00D6738A"/>
    <w:rsid w:val="00D751B2"/>
    <w:rsid w:val="00D757BF"/>
    <w:rsid w:val="00D81DFB"/>
    <w:rsid w:val="00D84C61"/>
    <w:rsid w:val="00D93F60"/>
    <w:rsid w:val="00D95B41"/>
    <w:rsid w:val="00DA169A"/>
    <w:rsid w:val="00DA56F8"/>
    <w:rsid w:val="00DC1AE6"/>
    <w:rsid w:val="00DC7371"/>
    <w:rsid w:val="00DD12E3"/>
    <w:rsid w:val="00DD4F2C"/>
    <w:rsid w:val="00DD5504"/>
    <w:rsid w:val="00DE796C"/>
    <w:rsid w:val="00DF2427"/>
    <w:rsid w:val="00DF439F"/>
    <w:rsid w:val="00E04298"/>
    <w:rsid w:val="00E06162"/>
    <w:rsid w:val="00E12A2C"/>
    <w:rsid w:val="00E154CA"/>
    <w:rsid w:val="00E160CB"/>
    <w:rsid w:val="00E30323"/>
    <w:rsid w:val="00E3046E"/>
    <w:rsid w:val="00E3417C"/>
    <w:rsid w:val="00E35E74"/>
    <w:rsid w:val="00E37DF6"/>
    <w:rsid w:val="00E42537"/>
    <w:rsid w:val="00E47ACA"/>
    <w:rsid w:val="00E51041"/>
    <w:rsid w:val="00E6795B"/>
    <w:rsid w:val="00E700A9"/>
    <w:rsid w:val="00E73A13"/>
    <w:rsid w:val="00E8128E"/>
    <w:rsid w:val="00E93AC2"/>
    <w:rsid w:val="00E95A0A"/>
    <w:rsid w:val="00EA1F8C"/>
    <w:rsid w:val="00EB0944"/>
    <w:rsid w:val="00EB549A"/>
    <w:rsid w:val="00EC4795"/>
    <w:rsid w:val="00ED3053"/>
    <w:rsid w:val="00ED4919"/>
    <w:rsid w:val="00EE1012"/>
    <w:rsid w:val="00EE3D8E"/>
    <w:rsid w:val="00F02F7A"/>
    <w:rsid w:val="00F05F17"/>
    <w:rsid w:val="00F070D7"/>
    <w:rsid w:val="00F241D4"/>
    <w:rsid w:val="00F24D03"/>
    <w:rsid w:val="00F26618"/>
    <w:rsid w:val="00F401A7"/>
    <w:rsid w:val="00F441EC"/>
    <w:rsid w:val="00F62B4A"/>
    <w:rsid w:val="00F67738"/>
    <w:rsid w:val="00F858BA"/>
    <w:rsid w:val="00F95510"/>
    <w:rsid w:val="00F97A9B"/>
    <w:rsid w:val="00FA0987"/>
    <w:rsid w:val="00FA39D8"/>
    <w:rsid w:val="00FA4B15"/>
    <w:rsid w:val="00FB43C3"/>
    <w:rsid w:val="00FB55A1"/>
    <w:rsid w:val="00FC3632"/>
    <w:rsid w:val="00FD4914"/>
    <w:rsid w:val="00FD6658"/>
    <w:rsid w:val="00FF33B3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D1A90"/>
  <w15:docId w15:val="{C2E6BA35-81D9-4BC3-8A6C-C48F4A3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3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72DD"/>
    <w:pPr>
      <w:jc w:val="center"/>
    </w:pPr>
    <w:rPr>
      <w:rFonts w:ascii="Arial Black" w:hAnsi="Arial Black"/>
      <w:b/>
      <w:bCs/>
      <w:sz w:val="28"/>
    </w:rPr>
  </w:style>
  <w:style w:type="paragraph" w:styleId="Header">
    <w:name w:val="header"/>
    <w:basedOn w:val="Normal"/>
    <w:link w:val="HeaderChar"/>
    <w:rsid w:val="00A358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358FB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513C1C"/>
    <w:pPr>
      <w:tabs>
        <w:tab w:val="left" w:pos="630"/>
        <w:tab w:val="left" w:pos="1260"/>
      </w:tabs>
      <w:ind w:left="630" w:hanging="630"/>
    </w:pPr>
    <w:rPr>
      <w:szCs w:val="20"/>
    </w:rPr>
  </w:style>
  <w:style w:type="paragraph" w:styleId="BalloonText">
    <w:name w:val="Balloon Text"/>
    <w:basedOn w:val="Normal"/>
    <w:semiHidden/>
    <w:rsid w:val="006554D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413D99"/>
    <w:pPr>
      <w:spacing w:after="120"/>
      <w:ind w:left="360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812244"/>
    <w:rPr>
      <w:sz w:val="24"/>
      <w:szCs w:val="24"/>
    </w:rPr>
  </w:style>
  <w:style w:type="table" w:styleId="TableGrid">
    <w:name w:val="Table Grid"/>
    <w:basedOn w:val="TableNormal"/>
    <w:uiPriority w:val="59"/>
    <w:rsid w:val="006B7E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3742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AB5D8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224BF"/>
    <w:rPr>
      <w:rFonts w:ascii="Arial Black" w:hAnsi="Arial Black"/>
      <w:b/>
      <w:bCs/>
      <w:sz w:val="2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620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20C9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620C9"/>
    <w:pPr>
      <w:autoSpaceDE w:val="0"/>
      <w:autoSpaceDN w:val="0"/>
      <w:adjustRightInd w:val="0"/>
    </w:pPr>
  </w:style>
  <w:style w:type="character" w:styleId="Hyperlink">
    <w:name w:val="Hyperlink"/>
    <w:basedOn w:val="DefaultParagraphFont"/>
    <w:uiPriority w:val="99"/>
    <w:unhideWhenUsed/>
    <w:rsid w:val="00896E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E01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F1AD4"/>
    <w:rPr>
      <w:rFonts w:eastAsia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9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6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7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4033</vt:lpstr>
    </vt:vector>
  </TitlesOfParts>
  <Company>Rogers State University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4033</dc:title>
  <dc:creator>Gary D Hatfield</dc:creator>
  <cp:lastModifiedBy>Hatfield, Gary</cp:lastModifiedBy>
  <cp:revision>9</cp:revision>
  <cp:lastPrinted>2019-01-11T17:50:00Z</cp:lastPrinted>
  <dcterms:created xsi:type="dcterms:W3CDTF">2020-07-04T20:32:00Z</dcterms:created>
  <dcterms:modified xsi:type="dcterms:W3CDTF">2021-10-18T01:28:00Z</dcterms:modified>
</cp:coreProperties>
</file>