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7jdi20jgp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OpenAI Allows (As of Now)</w:t>
      </w:r>
    </w:p>
    <w:tbl>
      <w:tblPr>
        <w:tblStyle w:val="Table1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5"/>
        <w:gridCol w:w="2120"/>
        <w:tblGridChange w:id="0">
          <w:tblGrid>
            <w:gridCol w:w="4115"/>
            <w:gridCol w:w="2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Credit Card (Visa / MasterCard / AmEx)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Allowed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Debit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Mostly rejected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supported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Net Banking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supported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Paytm / PhonePe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supported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PayPal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supported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nnrh8oa6s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Best Workarounds (India-Friendly)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3kpibw09c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1: Virtual Credit Card (Recommended)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work like real credit cards.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options: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Wise (International Card)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⭐⭐⭐⭐☆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Niyo Global Card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Jupiter Federal Card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 Money Federal Credit Card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cards work for </w:t>
      </w:r>
      <w:r w:rsidDel="00000000" w:rsidR="00000000" w:rsidRPr="00000000">
        <w:rPr>
          <w:b w:val="1"/>
          <w:bCs w:val="1"/>
          <w:rtl w:val="0"/>
        </w:rPr>
        <w:t xml:space="preserve">OpenAI API billing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(Wise example):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Wise account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KYC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virtual Visa card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card to OpenAI billing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usage limit 💡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i4d6kzmjk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2: Friend / Company Credit Card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trusted friend’s credit card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company card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Tip: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monthly spending limit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usage alerts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API key if needed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tgsm8g4cd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3: Employer / Client Billing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client apps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a startup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for: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credit card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reimbursement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5h1zaxy0i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Free / Limited Alternatives (No Credit Card)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zjftezxo5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Learning &amp; Demos</w:t>
      </w:r>
    </w:p>
    <w:tbl>
      <w:tblPr>
        <w:tblStyle w:val="Table2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1970"/>
        <w:tblGridChange w:id="0">
          <w:tblGrid>
            <w:gridCol w:w="3245"/>
            <w:gridCol w:w="1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Generous free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Groq API (LLaMA / Mixtral)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Free &amp; fast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Hugging Face Inference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Limited free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Ollama (Local LLMs)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100% free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For </w:t>
      </w:r>
      <w:r w:rsidDel="00000000" w:rsidR="00000000" w:rsidRPr="00000000">
        <w:rPr>
          <w:b w:val="1"/>
          <w:bCs w:val="1"/>
          <w:rtl w:val="0"/>
        </w:rPr>
        <w:t xml:space="preserve">students &amp; teaching</w:t>
      </w:r>
      <w:r w:rsidDel="00000000" w:rsidR="00000000" w:rsidRPr="00000000">
        <w:rPr>
          <w:rtl w:val="0"/>
        </w:rPr>
        <w:t xml:space="preserve">, these are excellent.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7nboalna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Hybrid Strategy (Smart)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professionals do this: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LLM (Ollama)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development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/ Groq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demos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production only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cuts cost + card dependency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v2vygtcki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Since you build production apps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(Flask, RAG, GenAI teaching, student portals)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strongly recommend:</w:t>
        <w:br w:type="textWrapping"/>
        <w:t xml:space="preserve">✔ Wise / Niyo virtual card</w:t>
        <w:br w:type="textWrapping"/>
        <w:t xml:space="preserve">✔ Monthly limit ₹500–₹1000</w:t>
        <w:br w:type="textWrapping"/>
        <w:t xml:space="preserve">✔ Usage caps in OpenAI dashboard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8ucegmeq0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Want Help With: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Switching your app to </w:t>
      </w:r>
      <w:r w:rsidDel="00000000" w:rsidR="00000000" w:rsidRPr="00000000">
        <w:rPr>
          <w:b w:val="1"/>
          <w:bCs w:val="1"/>
          <w:rtl w:val="0"/>
        </w:rPr>
        <w:t xml:space="preserve">Gemini / Groq temporarily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</w:t>
      </w:r>
      <w:r w:rsidDel="00000000" w:rsidR="00000000" w:rsidRPr="00000000">
        <w:rPr>
          <w:b w:val="1"/>
          <w:bCs w:val="1"/>
          <w:rtl w:val="0"/>
        </w:rPr>
        <w:t xml:space="preserve">ChatGPT-like app locally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comparison: OpenAI vs Gemini vs Groq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</w:t>
      </w:r>
      <w:r w:rsidDel="00000000" w:rsidR="00000000" w:rsidRPr="00000000">
        <w:rPr>
          <w:b w:val="1"/>
          <w:bCs w:val="1"/>
          <w:rtl w:val="0"/>
        </w:rPr>
        <w:t xml:space="preserve">multi-LLM fallback architecture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