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240" w:line="264" w:lineRule="auto"/>
      </w:pPr>
      <w:r>
        <w:rPr>
          <w:rFonts w:ascii="Calibri" w:hAnsi="Calibri"/>
          <w:b w:val="0"/>
          <w:i w:val="0"/>
          <w:color w:val="000000"/>
          <w:sz w:val="22"/>
        </w:rPr>
        <w:t>July 27, 2026</w:t>
      </w:r>
    </w:p>
    <w:p>
      <w:pPr>
        <w:keepNext/>
        <w:keepLines w:val="0"/>
        <w:spacing w:before="0" w:after="0" w:line="264" w:lineRule="auto"/>
      </w:pPr>
      <w:r>
        <w:rPr>
          <w:rFonts w:ascii="Calibri" w:hAnsi="Calibri"/>
          <w:b w:val="0"/>
          <w:i w:val="0"/>
          <w:color w:val="000000"/>
          <w:sz w:val="22"/>
        </w:rPr>
      </w:r>
      <w:r>
        <w:rPr>
          <w:rFonts w:ascii="Calibri" w:hAnsi="Calibri"/>
          <w:b w:val="0"/>
          <w:i w:val="0"/>
          <w:color w:val="000000"/>
          <w:sz w:val="22"/>
        </w:rPr>
        <w:t>ACCESS Allocations Review Committee</w:t>
      </w:r>
    </w:p>
    <w:p>
      <w:pPr>
        <w:keepNext/>
        <w:keepLines w:val="0"/>
        <w:spacing w:before="0" w:after="0" w:line="264" w:lineRule="auto"/>
      </w:pPr>
      <w:r>
        <w:rPr>
          <w:rFonts w:ascii="Calibri" w:hAnsi="Calibri"/>
          <w:b w:val="0"/>
          <w:i w:val="0"/>
          <w:color w:val="000000"/>
          <w:sz w:val="22"/>
        </w:rPr>
      </w:r>
      <w:r>
        <w:rPr>
          <w:rFonts w:ascii="Calibri" w:hAnsi="Calibri"/>
          <w:b w:val="0"/>
          <w:i w:val="0"/>
          <w:color w:val="000000"/>
          <w:sz w:val="22"/>
        </w:rPr>
        <w:t>Advanced Cyberinfrastructure Coordination Ecosystem: Services &amp; Support (ACCESS)</w:t>
      </w:r>
    </w:p>
    <w:p>
      <w:pPr>
        <w:keepNext/>
        <w:keepLines w:val="0"/>
        <w:spacing w:before="0" w:after="240" w:line="264" w:lineRule="auto"/>
      </w:pPr>
      <w:r>
        <w:rPr>
          <w:rFonts w:ascii="Calibri" w:hAnsi="Calibri"/>
          <w:b w:val="0"/>
          <w:i w:val="0"/>
          <w:color w:val="000000"/>
          <w:sz w:val="22"/>
        </w:rPr>
      </w:r>
      <w:r>
        <w:rPr>
          <w:rFonts w:ascii="Calibri" w:hAnsi="Calibri"/>
          <w:b/>
          <w:i w:val="0"/>
          <w:color w:val="000000"/>
          <w:sz w:val="22"/>
        </w:rPr>
        <w:t>Re: Advisor Support for Shahil Shaik’s Explore ACCESS Request</w:t>
      </w:r>
    </w:p>
    <w:p>
      <w:pPr>
        <w:keepLines w:val="0"/>
        <w:spacing w:before="0" w:after="200" w:line="264" w:lineRule="auto"/>
      </w:pPr>
      <w:r>
        <w:rPr>
          <w:rFonts w:ascii="Calibri" w:hAnsi="Calibri"/>
          <w:b w:val="0"/>
          <w:i w:val="0"/>
          <w:color w:val="000000"/>
          <w:sz w:val="22"/>
        </w:rPr>
        <w:t>Dear ACCESS Allocations Review Committee:</w:t>
      </w:r>
    </w:p>
    <w:p>
      <w:pPr>
        <w:keepLines w:val="0"/>
        <w:spacing w:before="0" w:after="160" w:line="264" w:lineRule="auto"/>
      </w:pPr>
      <w:r>
        <w:rPr>
          <w:rFonts w:ascii="Calibri" w:hAnsi="Calibri"/>
          <w:b w:val="0"/>
          <w:i w:val="0"/>
          <w:color w:val="000000"/>
          <w:sz w:val="22"/>
        </w:rPr>
      </w:r>
      <w:r>
        <w:rPr>
          <w:rFonts w:ascii="Calibri" w:hAnsi="Calibri"/>
          <w:b w:val="0"/>
          <w:i w:val="0"/>
          <w:color w:val="000000"/>
          <w:sz w:val="22"/>
        </w:rPr>
        <w:t xml:space="preserve">I am writing in support of </w:t>
      </w:r>
      <w:r>
        <w:rPr>
          <w:rFonts w:ascii="Calibri" w:hAnsi="Calibri"/>
          <w:b/>
          <w:i w:val="0"/>
          <w:color w:val="000000"/>
          <w:sz w:val="22"/>
        </w:rPr>
        <w:t>Shahil Shaik’s Explore ACCESS allocation request</w:t>
      </w:r>
      <w:r>
        <w:rPr>
          <w:rFonts w:ascii="Calibri" w:hAnsi="Calibri"/>
          <w:b w:val="0"/>
          <w:i w:val="0"/>
          <w:color w:val="000000"/>
          <w:sz w:val="22"/>
        </w:rPr>
        <w:t xml:space="preserve"> for NCSA DeltaAI. Shahil is a Ph.D. Candidate and Graduate Research Assistant in the Department of Mechanical Engineering at Clemson University, and I serve as his faculty advisor.</w:t>
      </w:r>
    </w:p>
    <w:p>
      <w:pPr>
        <w:keepLines w:val="0"/>
        <w:spacing w:before="0" w:after="160" w:line="264" w:lineRule="auto"/>
      </w:pPr>
      <w:r>
        <w:rPr>
          <w:rFonts w:ascii="Calibri" w:hAnsi="Calibri"/>
          <w:b w:val="0"/>
          <w:i w:val="0"/>
          <w:color w:val="000000"/>
          <w:sz w:val="22"/>
        </w:rPr>
      </w:r>
      <w:r>
        <w:rPr>
          <w:rFonts w:ascii="Calibri" w:hAnsi="Calibri"/>
          <w:b w:val="0"/>
          <w:i w:val="0"/>
          <w:color w:val="000000"/>
          <w:sz w:val="22"/>
        </w:rPr>
        <w:t xml:space="preserve">I am aware of and support the proposed project, </w:t>
      </w:r>
      <w:r>
        <w:rPr>
          <w:rFonts w:ascii="Calibri" w:hAnsi="Calibri"/>
          <w:b w:val="0"/>
          <w:i/>
          <w:color w:val="000000"/>
          <w:sz w:val="22"/>
        </w:rPr>
        <w:t>“Evaluating Lie-Generated Metric Attention for Efficient Language and Vision-Language-Action Models.”</w:t>
      </w:r>
      <w:r>
        <w:rPr>
          <w:rFonts w:ascii="Calibri" w:hAnsi="Calibri"/>
          <w:b w:val="0"/>
          <w:i w:val="0"/>
          <w:color w:val="000000"/>
          <w:sz w:val="22"/>
        </w:rPr>
        <w:t xml:space="preserve"> The research will evaluate Lie-Generated Metric Attention as a parameter- and memory-efficient alternative to conventional multi-head attention. The planned work includes controlled language-model experiments using TinyStories and, where appropriate, a WikiHow corpus, together with vision-language-action experiments on the LIBERO robot-learning benchmark.</w:t>
      </w:r>
    </w:p>
    <w:p>
      <w:pPr>
        <w:keepLines w:val="0"/>
        <w:spacing w:before="0" w:after="160" w:line="264" w:lineRule="auto"/>
      </w:pPr>
      <w:r>
        <w:rPr>
          <w:rFonts w:ascii="Calibri" w:hAnsi="Calibri"/>
          <w:b w:val="0"/>
          <w:i w:val="0"/>
          <w:color w:val="000000"/>
          <w:sz w:val="22"/>
        </w:rPr>
        <w:t>NCSA DeltaAI is appropriate for this work because the experiments require H100/GH200-class GPU memory and mixed-precision throughput for repeated transformer training, multimodal vision processing, and selected multi-GPU scaling studies. The project will compare model quality, convergence, parameter efficiency, key-value cache requirements, throughput, peak GPU memory, and task performance using reproducible experimental configurations.</w:t>
      </w:r>
    </w:p>
    <w:p>
      <w:pPr>
        <w:keepLines w:val="0"/>
        <w:spacing w:before="0" w:after="160" w:line="264" w:lineRule="auto"/>
      </w:pPr>
      <w:r>
        <w:rPr>
          <w:rFonts w:ascii="Calibri" w:hAnsi="Calibri"/>
          <w:b w:val="0"/>
          <w:i w:val="0"/>
          <w:color w:val="000000"/>
          <w:sz w:val="22"/>
        </w:rPr>
        <w:t>I intend to engage with and guide the computational and research activities conducted under this allocation. My guidance will include oversight of experimental design, responsible use of the requested resources, interpretation of results, reproducibility, and dissemination of the resulting research. I will remain involved throughout the allocation period and will support Shahil in meeting applicable ACCESS reporting and resource-use requirements.</w:t>
      </w:r>
    </w:p>
    <w:p>
      <w:pPr>
        <w:keepLines w:val="0"/>
        <w:spacing w:before="0" w:after="280" w:line="264" w:lineRule="auto"/>
      </w:pPr>
      <w:r>
        <w:rPr>
          <w:rFonts w:ascii="Calibri" w:hAnsi="Calibri"/>
          <w:b w:val="0"/>
          <w:i w:val="0"/>
          <w:color w:val="000000"/>
          <w:sz w:val="22"/>
        </w:rPr>
        <w:t>I believe the requested resources will materially advance this research and provide an appropriate computational environment for rigorous evaluation of the proposed attention and robot-learning methods. I support Shahil’s request for ACCESS resources.</w:t>
      </w:r>
    </w:p>
    <w:p>
      <w:pPr>
        <w:keepLines w:val="0"/>
        <w:spacing w:before="0" w:after="680" w:line="264" w:lineRule="auto"/>
      </w:pPr>
      <w:r>
        <w:rPr>
          <w:rFonts w:ascii="Calibri" w:hAnsi="Calibri"/>
          <w:b w:val="0"/>
          <w:i w:val="0"/>
          <w:color w:val="000000"/>
          <w:sz w:val="22"/>
        </w:rPr>
        <w:t>Sincerely,</w:t>
      </w:r>
    </w:p>
    <w:p>
      <w:pPr>
        <w:keepLines/>
        <w:spacing w:before="0" w:after="0" w:line="264" w:lineRule="auto"/>
      </w:pPr>
      <w:r>
        <w:rPr>
          <w:rFonts w:ascii="Calibri" w:hAnsi="Calibri"/>
          <w:b w:val="0"/>
          <w:i w:val="0"/>
          <w:color w:val="000000"/>
          <w:sz w:val="22"/>
        </w:rPr>
      </w:r>
      <w:r>
        <w:rPr>
          <w:rFonts w:ascii="Calibri" w:hAnsi="Calibri"/>
          <w:b/>
          <w:i w:val="0"/>
          <w:color w:val="000000"/>
          <w:sz w:val="22"/>
        </w:rPr>
        <w:t>Yue Wang, Ph.D.</w:t>
      </w:r>
    </w:p>
    <w:p>
      <w:pPr>
        <w:keepLines/>
        <w:spacing w:before="0" w:after="0" w:line="264" w:lineRule="auto"/>
      </w:pPr>
      <w:r>
        <w:rPr>
          <w:rFonts w:ascii="Calibri" w:hAnsi="Calibri"/>
          <w:b w:val="0"/>
          <w:i w:val="0"/>
          <w:color w:val="000000"/>
          <w:sz w:val="22"/>
        </w:rPr>
        <w:t>Faculty Advisor</w:t>
      </w:r>
    </w:p>
    <w:p>
      <w:pPr>
        <w:keepLines/>
        <w:spacing w:before="0" w:after="0" w:line="264" w:lineRule="auto"/>
      </w:pPr>
      <w:r>
        <w:rPr>
          <w:rFonts w:ascii="Calibri" w:hAnsi="Calibri"/>
          <w:b w:val="0"/>
          <w:i w:val="0"/>
          <w:color w:val="000000"/>
          <w:sz w:val="22"/>
        </w:rPr>
        <w:t>Department of Mechanical Engineering</w:t>
      </w:r>
    </w:p>
    <w:p>
      <w:pPr>
        <w:keepLines/>
        <w:spacing w:before="0" w:after="0" w:line="264" w:lineRule="auto"/>
      </w:pPr>
      <w:r>
        <w:rPr>
          <w:rFonts w:ascii="Calibri" w:hAnsi="Calibri"/>
          <w:b w:val="0"/>
          <w:i w:val="0"/>
          <w:color w:val="000000"/>
          <w:sz w:val="22"/>
        </w:rPr>
        <w:t>Clemson University</w:t>
      </w:r>
    </w:p>
    <w:sectPr w:rsidR="00FC693F" w:rsidRPr="0006063C" w:rsidSect="00034616">
      <w:footerReference w:type="default" r:id="rId9"/>
      <w:pgSz w:w="12240" w:h="15840"/>
      <w:pgMar w:top="1728"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color w:val="5A626A"/>
        <w:sz w:val="16"/>
      </w:rPr>
      <w:t>Draft for review — transfer to official Clemson University letterhead before signature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 Support Letter for Shahil Shaik’s Explore ACCESS Request</dc:title>
  <dc:subject>NCSA DeltaAI allocation request</dc:subject>
  <dc:creator>Yue Wang</dc:creator>
  <cp:keywords/>
  <dc:description/>
  <cp:lastModifiedBy/>
  <cp:revision>1</cp:revision>
  <dcterms:created xsi:type="dcterms:W3CDTF">2013-12-23T23:15:00Z</dcterms:created>
  <dcterms:modified xsi:type="dcterms:W3CDTF">2013-12-23T23:15:00Z</dcterms:modified>
  <cp:category/>
</cp:coreProperties>
</file>