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  <w:jc w:val="center"/>
      </w:pPr>
      <w:r>
        <w:rPr>
          <w:rFonts w:ascii="Calibri" w:hAnsi="Calibri"/>
          <w:b/>
          <w:i w:val="0"/>
          <w:color w:val="183756"/>
          <w:sz w:val="44"/>
        </w:rPr>
        <w:t>SHAHIL SHAIK</w:t>
      </w:r>
    </w:p>
    <w:p>
      <w:pPr>
        <w:spacing w:after="60"/>
        <w:jc w:val="center"/>
      </w:pPr>
      <w:r>
        <w:rPr>
          <w:rFonts w:ascii="Calibri" w:hAnsi="Calibri"/>
          <w:b/>
          <w:i w:val="0"/>
          <w:color w:val="5B656F"/>
          <w:sz w:val="23"/>
        </w:rPr>
        <w:t>Ph.D. Researcher in Robotics and Intelligent Systems</w:t>
      </w:r>
    </w:p>
    <w:p>
      <w:pPr>
        <w:spacing w:after="100"/>
        <w:jc w:val="center"/>
      </w:pPr>
      <w:r>
        <w:rPr>
          <w:rFonts w:ascii="Calibri" w:hAnsi="Calibri"/>
          <w:b w:val="0"/>
          <w:i w:val="0"/>
          <w:color w:val="5B656F"/>
          <w:sz w:val="19"/>
        </w:rPr>
        <w:t xml:space="preserve">Clemson University  •  </w:t>
      </w:r>
      <w:hyperlink r:id="rId11">
        <w:r>
          <w:rPr>
            <w:rFonts w:ascii="Calibri" w:hAnsi="Calibri"/>
            <w:color w:val="2E74B5"/>
            <w:sz w:val="19"/>
            <w:u w:val="single"/>
          </w:rPr>
          <w:t>shahils@clemson.edu</w:t>
        </w:r>
      </w:hyperlink>
      <w:r>
        <w:rPr>
          <w:rFonts w:ascii="Calibri" w:hAnsi="Calibri"/>
          <w:b w:val="0"/>
          <w:i w:val="0"/>
          <w:color w:val="5B656F"/>
          <w:sz w:val="19"/>
        </w:rPr>
        <w:t xml:space="preserve">  •  </w:t>
      </w:r>
      <w:hyperlink r:id="rId12">
        <w:r>
          <w:rPr>
            <w:rFonts w:ascii="Calibri" w:hAnsi="Calibri"/>
            <w:color w:val="2E74B5"/>
            <w:sz w:val="19"/>
            <w:u w:val="single"/>
          </w:rPr>
          <w:t>Google Scholar</w:t>
        </w:r>
      </w:hyperlink>
      <w:r>
        <w:rPr>
          <w:rFonts w:ascii="Calibri" w:hAnsi="Calibri"/>
          <w:b w:val="0"/>
          <w:i w:val="0"/>
          <w:color w:val="5B656F"/>
          <w:sz w:val="19"/>
        </w:rPr>
        <w:t xml:space="preserve">  •  </w:t>
      </w:r>
      <w:hyperlink r:id="rId13">
        <w:r>
          <w:rPr>
            <w:rFonts w:ascii="Calibri" w:hAnsi="Calibri"/>
            <w:color w:val="2E74B5"/>
            <w:sz w:val="19"/>
            <w:u w:val="single"/>
          </w:rPr>
          <w:t>GitHub</w:t>
        </w:r>
      </w:hyperlink>
    </w:p>
    <w:p>
      <w:pPr>
        <w:keepNext/>
        <w:spacing w:before="140" w:after="60"/>
        <w:pBdr>
          <w:bottom w:val="single" w:sz="6" w:space="2" w:color="DADFE5"/>
        </w:pBdr>
      </w:pPr>
      <w:r>
        <w:rPr>
          <w:rFonts w:ascii="Calibri" w:hAnsi="Calibri"/>
          <w:b/>
          <w:i w:val="0"/>
          <w:color w:val="183756"/>
          <w:sz w:val="21"/>
        </w:rPr>
        <w:t>RESEARCH PROFILE</w:t>
      </w:r>
    </w:p>
    <w:p>
      <w:pPr>
        <w:keepLines/>
        <w:spacing w:before="0" w:after="60" w:line="259" w:lineRule="auto"/>
      </w:pPr>
      <w:r>
        <w:rPr>
          <w:rFonts w:ascii="Calibri" w:hAnsi="Calibri"/>
          <w:b w:val="0"/>
          <w:i w:val="0"/>
          <w:color w:val="1C2126"/>
          <w:sz w:val="20"/>
        </w:rPr>
      </w:r>
      <w:r>
        <w:rPr>
          <w:rFonts w:ascii="Calibri" w:hAnsi="Calibri"/>
          <w:b w:val="0"/>
          <w:i w:val="0"/>
          <w:color w:val="1C2126"/>
          <w:sz w:val="20"/>
        </w:rPr>
        <w:t>Robotics Ph.D. researcher developing efficient learning architectures for embodied and multi-agent intelligence. Research spans transformer attention, vision-language and vision-language-action models, multi-agent deep reinforcement learning, distributional policy optimization, and shared human–robot control. Published in the American Control Conference and IET Cyber-Systems and Robotics; experienced in reproducible, GPU-accelerated research with PyTorch.</w:t>
      </w:r>
    </w:p>
    <w:p>
      <w:pPr>
        <w:keepNext/>
        <w:spacing w:before="140" w:after="60"/>
        <w:pBdr>
          <w:bottom w:val="single" w:sz="6" w:space="2" w:color="DADFE5"/>
        </w:pBdr>
      </w:pPr>
      <w:r>
        <w:rPr>
          <w:rFonts w:ascii="Calibri" w:hAnsi="Calibri"/>
          <w:b/>
          <w:i w:val="0"/>
          <w:color w:val="183756"/>
          <w:sz w:val="21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48" w:type="dxa"/>
      </w:tblPr>
      <w:tblGrid>
        <w:gridCol w:w="1800"/>
        <w:gridCol w:w="7848"/>
      </w:tblGrid>
      <w:tr>
        <w:tc>
          <w:tcPr>
            <w:tcW w:type="dxa" w:w="7848"/>
            <w:tcMar>
              <w:top w:w="15" w:type="dxa"/>
              <w:start w:w="0" w:type="dxa"/>
              <w:bottom w:w="3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B656F"/>
                <w:sz w:val="19"/>
              </w:rPr>
              <w:t>2021–Present</w:t>
            </w:r>
          </w:p>
        </w:tc>
        <w:tc>
          <w:tcPr>
            <w:tcW w:type="dxa" w:w="7848"/>
            <w:tcMar>
              <w:top w:w="15" w:type="dxa"/>
              <w:start w:w="0" w:type="dxa"/>
              <w:bottom w:w="30" w:type="dxa"/>
              <w:end w:w="8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i w:val="0"/>
                <w:color w:val="183756"/>
                <w:sz w:val="20"/>
              </w:rPr>
              <w:t>Ph.D. in Mechanical Engineering (Robotics)</w:t>
            </w:r>
            <w:r>
              <w:rPr>
                <w:rFonts w:ascii="Calibri" w:hAnsi="Calibri"/>
                <w:b w:val="0"/>
                <w:i w:val="0"/>
                <w:color w:val="1C2126"/>
                <w:sz w:val="19"/>
              </w:rPr>
              <w:br/>
              <w:t>Clemson University, Clemson, South Carolina</w:t>
            </w:r>
            <w:r>
              <w:rPr>
                <w:rFonts w:ascii="Calibri" w:hAnsi="Calibri"/>
                <w:b w:val="0"/>
                <w:i w:val="0"/>
                <w:color w:val="5B656F"/>
                <w:sz w:val="18"/>
              </w:rPr>
              <w:br/>
              <w:t>Research focus: intelligent multi-agent robotic systems and learning-based autonomy.</w:t>
            </w:r>
          </w:p>
        </w:tc>
      </w:tr>
      <w:tr>
        <w:tc>
          <w:tcPr>
            <w:tcW w:type="dxa" w:w="7848"/>
            <w:tcMar>
              <w:top w:w="15" w:type="dxa"/>
              <w:start w:w="0" w:type="dxa"/>
              <w:bottom w:w="3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B656F"/>
                <w:sz w:val="19"/>
              </w:rPr>
              <w:t>2019–2021</w:t>
            </w:r>
          </w:p>
        </w:tc>
        <w:tc>
          <w:tcPr>
            <w:tcW w:type="dxa" w:w="7848"/>
            <w:tcMar>
              <w:top w:w="15" w:type="dxa"/>
              <w:start w:w="0" w:type="dxa"/>
              <w:bottom w:w="30" w:type="dxa"/>
              <w:end w:w="8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i w:val="0"/>
                <w:color w:val="183756"/>
                <w:sz w:val="20"/>
              </w:rPr>
              <w:t>Graduate Study in Mechanical Engineering</w:t>
            </w:r>
            <w:r>
              <w:rPr>
                <w:rFonts w:ascii="Calibri" w:hAnsi="Calibri"/>
                <w:b w:val="0"/>
                <w:i w:val="0"/>
                <w:color w:val="1C2126"/>
                <w:sz w:val="19"/>
              </w:rPr>
              <w:br/>
              <w:t>Clemson University, Clemson, South Carolina</w:t>
            </w:r>
            <w:r>
              <w:rPr>
                <w:rFonts w:ascii="Calibri" w:hAnsi="Calibri"/>
                <w:b w:val="0"/>
                <w:i w:val="0"/>
                <w:color w:val="5B656F"/>
                <w:sz w:val="18"/>
              </w:rPr>
              <w:br/>
              <w:t>Entered the M.S. program in 2019 and transitioned to the Ph.D. program in 2021.</w:t>
            </w:r>
          </w:p>
        </w:tc>
      </w:tr>
      <w:tr>
        <w:tc>
          <w:tcPr>
            <w:tcW w:type="dxa" w:w="7848"/>
            <w:tcMar>
              <w:top w:w="15" w:type="dxa"/>
              <w:start w:w="0" w:type="dxa"/>
              <w:bottom w:w="3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B656F"/>
                <w:sz w:val="19"/>
              </w:rPr>
              <w:t>2015–2019</w:t>
            </w:r>
          </w:p>
        </w:tc>
        <w:tc>
          <w:tcPr>
            <w:tcW w:type="dxa" w:w="7848"/>
            <w:tcMar>
              <w:top w:w="15" w:type="dxa"/>
              <w:start w:w="0" w:type="dxa"/>
              <w:bottom w:w="30" w:type="dxa"/>
              <w:end w:w="8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i w:val="0"/>
                <w:color w:val="183756"/>
                <w:sz w:val="20"/>
              </w:rPr>
              <w:t>Bachelor’s Degree in Mechanical Engineering</w:t>
            </w:r>
            <w:r>
              <w:rPr>
                <w:rFonts w:ascii="Calibri" w:hAnsi="Calibri"/>
                <w:b w:val="0"/>
                <w:i w:val="0"/>
                <w:color w:val="1C2126"/>
                <w:sz w:val="19"/>
              </w:rPr>
              <w:br/>
              <w:t>Anil Neerukonda Institute of Technology and Sciences, Visakhapatnam, India</w:t>
            </w:r>
            <w:r>
              <w:rPr>
                <w:rFonts w:ascii="Calibri" w:hAnsi="Calibri"/>
                <w:b w:val="0"/>
                <w:i w:val="0"/>
                <w:color w:val="5B656F"/>
                <w:sz w:val="18"/>
              </w:rPr>
              <w:br/>
              <w:t>GPA: 8.55/10.</w:t>
            </w:r>
          </w:p>
        </w:tc>
      </w:tr>
    </w:tbl>
    <w:p>
      <w:pPr>
        <w:keepNext/>
        <w:spacing w:before="140" w:after="60"/>
        <w:pBdr>
          <w:bottom w:val="single" w:sz="6" w:space="2" w:color="DADFE5"/>
        </w:pBdr>
      </w:pPr>
      <w:r>
        <w:rPr>
          <w:rFonts w:ascii="Calibri" w:hAnsi="Calibri"/>
          <w:b/>
          <w:i w:val="0"/>
          <w:color w:val="183756"/>
          <w:sz w:val="21"/>
        </w:rPr>
        <w:t>RESEARCH INTERESTS</w:t>
      </w:r>
    </w:p>
    <w:p>
      <w:pPr>
        <w:keepLines/>
        <w:spacing w:before="0" w:after="60" w:line="259" w:lineRule="auto"/>
      </w:pPr>
      <w:r>
        <w:rPr>
          <w:rFonts w:ascii="Calibri" w:hAnsi="Calibri"/>
          <w:b w:val="0"/>
          <w:i w:val="0"/>
          <w:color w:val="1C2126"/>
          <w:sz w:val="20"/>
        </w:rPr>
        <w:t>Efficient transformer architectures  •  Vision-language-action learning  •  Multi-agent reinforcement learning  •  Robot learning  •  Human–robot shared control  •  Distributed and memory-efficient deep learning</w:t>
      </w:r>
    </w:p>
    <w:p>
      <w:pPr>
        <w:keepNext/>
        <w:spacing w:before="140" w:after="60"/>
        <w:pBdr>
          <w:bottom w:val="single" w:sz="6" w:space="2" w:color="DADFE5"/>
        </w:pBdr>
      </w:pPr>
      <w:r>
        <w:rPr>
          <w:rFonts w:ascii="Calibri" w:hAnsi="Calibri"/>
          <w:b/>
          <w:i w:val="0"/>
          <w:color w:val="183756"/>
          <w:sz w:val="21"/>
        </w:rPr>
        <w:t>SELECTED RESEARCH</w:t>
      </w:r>
    </w:p>
    <w:p>
      <w:pPr>
        <w:keepLines/>
        <w:spacing w:before="20" w:after="60" w:line="254" w:lineRule="auto"/>
      </w:pPr>
      <w:r>
        <w:rPr>
          <w:rFonts w:ascii="Calibri" w:hAnsi="Calibri"/>
          <w:b/>
          <w:i w:val="0"/>
          <w:color w:val="183756"/>
          <w:sz w:val="20"/>
        </w:rPr>
        <w:t>Lie-Generated Metric Attention (LGMA)</w:t>
      </w:r>
      <w:r>
        <w:rPr>
          <w:rFonts w:ascii="Calibri" w:hAnsi="Calibri"/>
          <w:b w:val="0"/>
          <w:i/>
          <w:color w:val="5B656F"/>
          <w:sz w:val="19"/>
        </w:rPr>
        <w:t xml:space="preserve">  |  Lead developer and investigator</w:t>
      </w:r>
      <w:r>
        <w:rPr>
          <w:rFonts w:ascii="Calibri" w:hAnsi="Calibri"/>
          <w:b w:val="0"/>
          <w:i w:val="0"/>
          <w:color w:val="1C2126"/>
          <w:sz w:val="20"/>
        </w:rPr>
        <w:br/>
        <w:t>Developing a PyTorch attention architecture that generates head-specific metrics from shared Lie-algebra generators to reduce parameter and key–value cache costs. Built controlled MHA-versus-LGMA experiments, stability diagnostics, checkpointing, efficiency accounting, and single-/multi-GPU training workflows for TinyStories and robot-learning studies.</w:t>
      </w:r>
    </w:p>
    <w:p>
      <w:pPr>
        <w:keepLines/>
        <w:spacing w:before="20" w:after="60" w:line="254" w:lineRule="auto"/>
      </w:pPr>
      <w:r>
        <w:rPr>
          <w:rFonts w:ascii="Calibri" w:hAnsi="Calibri"/>
          <w:b/>
          <w:i w:val="0"/>
          <w:color w:val="183756"/>
          <w:sz w:val="20"/>
        </w:rPr>
        <w:t>Vision-Language(-Action) Models for Multi-Agent Robotics</w:t>
      </w:r>
      <w:r>
        <w:rPr>
          <w:rFonts w:ascii="Calibri" w:hAnsi="Calibri"/>
          <w:b w:val="0"/>
          <w:i/>
          <w:color w:val="5B656F"/>
          <w:sz w:val="19"/>
        </w:rPr>
        <w:t xml:space="preserve">  |  Research and software development</w:t>
      </w:r>
      <w:r>
        <w:rPr>
          <w:rFonts w:ascii="Calibri" w:hAnsi="Calibri"/>
          <w:b w:val="0"/>
          <w:i w:val="0"/>
          <w:color w:val="1C2126"/>
          <w:sz w:val="20"/>
        </w:rPr>
        <w:br/>
        <w:t>Investigating multimodal critics and action models for policy evaluation and robot learning, including MA-VLCM and planned LIBERO benchmarking. Work integrates visual observations, language-conditioned reasoning, temporal context, and multi-agent state representations.</w:t>
      </w:r>
    </w:p>
    <w:p>
      <w:pPr>
        <w:keepLines/>
        <w:spacing w:before="20" w:after="60" w:line="254" w:lineRule="auto"/>
      </w:pPr>
      <w:r>
        <w:rPr>
          <w:rFonts w:ascii="Calibri" w:hAnsi="Calibri"/>
          <w:b/>
          <w:i w:val="0"/>
          <w:color w:val="183756"/>
          <w:sz w:val="20"/>
        </w:rPr>
        <w:t>Multi-Agent Deep Reinforcement Learning</w:t>
      </w:r>
      <w:r>
        <w:rPr>
          <w:rFonts w:ascii="Calibri" w:hAnsi="Calibri"/>
          <w:b w:val="0"/>
          <w:i/>
          <w:color w:val="5B656F"/>
          <w:sz w:val="19"/>
        </w:rPr>
        <w:t xml:space="preserve">  |  Doctoral research</w:t>
      </w:r>
      <w:r>
        <w:rPr>
          <w:rFonts w:ascii="Calibri" w:hAnsi="Calibri"/>
          <w:b w:val="0"/>
          <w:i w:val="0"/>
          <w:color w:val="1C2126"/>
          <w:sz w:val="20"/>
        </w:rPr>
        <w:br/>
        <w:t>Developed methods for learning under constrained inter-agent communication and studied distributional policy-gradient estimation. Research emphasizes coordination, robustness, sample efficiency, and principled evaluation across multi-agent settings.</w:t>
      </w:r>
    </w:p>
    <w:p>
      <w:pPr>
        <w:keepLines/>
        <w:spacing w:before="20" w:after="60" w:line="254" w:lineRule="auto"/>
      </w:pPr>
      <w:r>
        <w:rPr>
          <w:rFonts w:ascii="Calibri" w:hAnsi="Calibri"/>
          <w:b/>
          <w:i w:val="0"/>
          <w:color w:val="183756"/>
          <w:sz w:val="20"/>
        </w:rPr>
        <w:t>Shared Control of Mobile Robots</w:t>
      </w:r>
      <w:r>
        <w:rPr>
          <w:rFonts w:ascii="Calibri" w:hAnsi="Calibri"/>
          <w:b w:val="0"/>
          <w:i/>
          <w:color w:val="5B656F"/>
          <w:sz w:val="19"/>
        </w:rPr>
        <w:t xml:space="preserve">  |  Collaborative research</w:t>
      </w:r>
      <w:r>
        <w:rPr>
          <w:rFonts w:ascii="Calibri" w:hAnsi="Calibri"/>
          <w:b w:val="0"/>
          <w:i w:val="0"/>
          <w:color w:val="1C2126"/>
          <w:sz w:val="20"/>
        </w:rPr>
        <w:br/>
        <w:t>Studied deep reinforcement-learning approaches that combine human guidance with autonomous control for mobile robot navigation, resulting in a peer-reviewed journal publication.</w:t>
      </w:r>
    </w:p>
    <w:p>
      <w:r>
        <w:br w:type="page"/>
      </w:r>
    </w:p>
    <w:p>
      <w:pPr>
        <w:keepNext/>
        <w:spacing w:before="140" w:after="60"/>
        <w:pBdr>
          <w:bottom w:val="single" w:sz="6" w:space="2" w:color="DADFE5"/>
        </w:pBdr>
      </w:pPr>
      <w:r>
        <w:rPr>
          <w:rFonts w:ascii="Calibri" w:hAnsi="Calibri"/>
          <w:b/>
          <w:i w:val="0"/>
          <w:color w:val="183756"/>
          <w:sz w:val="21"/>
        </w:rPr>
        <w:t>PUBLICATIONS AND PREPRINTS</w:t>
      </w:r>
    </w:p>
    <w:p>
      <w:pPr>
        <w:keepLines/>
        <w:spacing w:before="0" w:after="60" w:line="252" w:lineRule="auto"/>
        <w:ind w:left="259" w:hanging="259"/>
      </w:pPr>
      <w:r>
        <w:rPr>
          <w:rFonts w:ascii="Calibri" w:hAnsi="Calibri"/>
          <w:b/>
          <w:i w:val="0"/>
          <w:color w:val="183756"/>
          <w:sz w:val="20"/>
        </w:rPr>
        <w:t>Shaik, S.</w:t>
      </w:r>
      <w:r>
        <w:rPr>
          <w:rFonts w:ascii="Calibri" w:hAnsi="Calibri"/>
          <w:b w:val="0"/>
          <w:i w:val="0"/>
          <w:color w:val="1C2126"/>
          <w:sz w:val="20"/>
        </w:rPr>
        <w:t>, Smereka, J. M., &amp; Wang, Y.</w:t>
      </w:r>
      <w:r>
        <w:rPr>
          <w:rFonts w:ascii="Calibri" w:hAnsi="Calibri"/>
          <w:b w:val="0"/>
          <w:i w:val="0"/>
          <w:color w:val="1C2126"/>
          <w:sz w:val="20"/>
        </w:rPr>
        <w:t xml:space="preserve"> (2026). </w:t>
      </w:r>
      <w:r>
        <w:rPr>
          <w:rFonts w:ascii="Calibri" w:hAnsi="Calibri"/>
          <w:b w:val="0"/>
          <w:i/>
          <w:color w:val="1C2126"/>
          <w:sz w:val="20"/>
        </w:rPr>
        <w:t>Multi-Agent Deep Reinforcement Learning Under Constrained Communications</w:t>
      </w:r>
      <w:r>
        <w:rPr>
          <w:rFonts w:ascii="Calibri" w:hAnsi="Calibri"/>
          <w:b w:val="0"/>
          <w:i w:val="0"/>
          <w:color w:val="1C2126"/>
          <w:sz w:val="20"/>
        </w:rPr>
        <w:t>. arXiv preprint arXiv:2601.17069.</w:t>
      </w:r>
    </w:p>
    <w:p>
      <w:pPr>
        <w:keepLines/>
        <w:spacing w:before="0" w:after="60" w:line="252" w:lineRule="auto"/>
        <w:ind w:left="259" w:hanging="259"/>
      </w:pPr>
      <w:r>
        <w:rPr>
          <w:rFonts w:ascii="Calibri" w:hAnsi="Calibri"/>
          <w:b/>
          <w:i w:val="0"/>
          <w:color w:val="183756"/>
          <w:sz w:val="20"/>
        </w:rPr>
        <w:t>Shaik, S.</w:t>
      </w:r>
      <w:r>
        <w:rPr>
          <w:rFonts w:ascii="Calibri" w:hAnsi="Calibri"/>
          <w:b w:val="0"/>
          <w:i w:val="0"/>
          <w:color w:val="1C2126"/>
          <w:sz w:val="20"/>
        </w:rPr>
        <w:t>, Parameshwaran, A., Nayak, A., Smereka, J. M., &amp; Wang, Y.</w:t>
      </w:r>
      <w:r>
        <w:rPr>
          <w:rFonts w:ascii="Calibri" w:hAnsi="Calibri"/>
          <w:b w:val="0"/>
          <w:i w:val="0"/>
          <w:color w:val="1C2126"/>
          <w:sz w:val="20"/>
        </w:rPr>
        <w:t xml:space="preserve"> (2026). </w:t>
      </w:r>
      <w:r>
        <w:rPr>
          <w:rFonts w:ascii="Calibri" w:hAnsi="Calibri"/>
          <w:b w:val="0"/>
          <w:i/>
          <w:color w:val="1C2126"/>
          <w:sz w:val="20"/>
        </w:rPr>
        <w:t>MA-VLCM: A Vision Language Critic Model for Value Estimation of Policies in Multi-Agent Team Settings</w:t>
      </w:r>
      <w:r>
        <w:rPr>
          <w:rFonts w:ascii="Calibri" w:hAnsi="Calibri"/>
          <w:b w:val="0"/>
          <w:i w:val="0"/>
          <w:color w:val="1C2126"/>
          <w:sz w:val="20"/>
        </w:rPr>
        <w:t>. arXiv preprint arXiv:2603.15418.</w:t>
      </w:r>
    </w:p>
    <w:p>
      <w:pPr>
        <w:keepLines/>
        <w:spacing w:before="0" w:after="60" w:line="252" w:lineRule="auto"/>
        <w:ind w:left="259" w:hanging="259"/>
      </w:pPr>
      <w:r>
        <w:rPr>
          <w:rFonts w:ascii="Calibri" w:hAnsi="Calibri"/>
          <w:b w:val="0"/>
          <w:i w:val="0"/>
          <w:color w:val="1C2126"/>
          <w:sz w:val="20"/>
        </w:rPr>
        <w:t xml:space="preserve">Nayak, A., </w:t>
      </w:r>
      <w:r>
        <w:rPr>
          <w:rFonts w:ascii="Calibri" w:hAnsi="Calibri"/>
          <w:b/>
          <w:i w:val="0"/>
          <w:color w:val="183756"/>
          <w:sz w:val="20"/>
        </w:rPr>
        <w:t>Shaik, S.</w:t>
      </w:r>
      <w:r>
        <w:rPr>
          <w:rFonts w:ascii="Calibri" w:hAnsi="Calibri"/>
          <w:b w:val="0"/>
          <w:i w:val="0"/>
          <w:color w:val="1C2126"/>
          <w:sz w:val="20"/>
        </w:rPr>
        <w:t>, &amp; Wang, Y.</w:t>
      </w:r>
      <w:r>
        <w:rPr>
          <w:rFonts w:ascii="Calibri" w:hAnsi="Calibri"/>
          <w:b w:val="0"/>
          <w:i w:val="0"/>
          <w:color w:val="1C2126"/>
          <w:sz w:val="20"/>
        </w:rPr>
        <w:t xml:space="preserve"> (2026). </w:t>
      </w:r>
      <w:r>
        <w:rPr>
          <w:rFonts w:ascii="Calibri" w:hAnsi="Calibri"/>
          <w:b w:val="0"/>
          <w:i/>
          <w:color w:val="1C2126"/>
          <w:sz w:val="20"/>
        </w:rPr>
        <w:t>Belief-Aware VLM Model for Human-like Reasoning</w:t>
      </w:r>
      <w:r>
        <w:rPr>
          <w:rFonts w:ascii="Calibri" w:hAnsi="Calibri"/>
          <w:b w:val="0"/>
          <w:i w:val="0"/>
          <w:color w:val="1C2126"/>
          <w:sz w:val="20"/>
        </w:rPr>
        <w:t>. arXiv preprint arXiv:2604.09686.</w:t>
      </w:r>
    </w:p>
    <w:p>
      <w:pPr>
        <w:keepLines/>
        <w:spacing w:before="0" w:after="60" w:line="252" w:lineRule="auto"/>
        <w:ind w:left="259" w:hanging="259"/>
      </w:pPr>
      <w:r>
        <w:rPr>
          <w:rFonts w:ascii="Calibri" w:hAnsi="Calibri"/>
          <w:b/>
          <w:i w:val="0"/>
          <w:color w:val="183756"/>
          <w:sz w:val="20"/>
        </w:rPr>
        <w:t>Shaik, S.</w:t>
      </w:r>
      <w:r>
        <w:rPr>
          <w:rFonts w:ascii="Calibri" w:hAnsi="Calibri"/>
          <w:b w:val="0"/>
          <w:i w:val="0"/>
          <w:color w:val="1C2126"/>
          <w:sz w:val="20"/>
        </w:rPr>
        <w:t>, Smereka, J. M., &amp; Wang, Y.</w:t>
      </w:r>
      <w:r>
        <w:rPr>
          <w:rFonts w:ascii="Calibri" w:hAnsi="Calibri"/>
          <w:b w:val="0"/>
          <w:i w:val="0"/>
          <w:color w:val="1C2126"/>
          <w:sz w:val="20"/>
        </w:rPr>
        <w:t xml:space="preserve"> (2025). </w:t>
      </w:r>
      <w:r>
        <w:rPr>
          <w:rFonts w:ascii="Calibri" w:hAnsi="Calibri"/>
          <w:b w:val="0"/>
          <w:i/>
          <w:color w:val="1C2126"/>
          <w:sz w:val="20"/>
        </w:rPr>
        <w:t>Generalized Advantage Estimation for Distributional Policy Gradients</w:t>
      </w:r>
      <w:r>
        <w:rPr>
          <w:rFonts w:ascii="Calibri" w:hAnsi="Calibri"/>
          <w:b w:val="0"/>
          <w:i w:val="0"/>
          <w:color w:val="1C2126"/>
          <w:sz w:val="20"/>
        </w:rPr>
        <w:t>. Proceedings of the American Control Conference, 3073–3078.</w:t>
      </w:r>
    </w:p>
    <w:p>
      <w:pPr>
        <w:keepLines/>
        <w:spacing w:before="0" w:after="60" w:line="252" w:lineRule="auto"/>
        <w:ind w:left="259" w:hanging="259"/>
      </w:pPr>
      <w:r>
        <w:rPr>
          <w:rFonts w:ascii="Calibri" w:hAnsi="Calibri"/>
          <w:b w:val="0"/>
          <w:i w:val="0"/>
          <w:color w:val="1C2126"/>
          <w:sz w:val="20"/>
        </w:rPr>
        <w:t xml:space="preserve">Tian, C., </w:t>
      </w:r>
      <w:r>
        <w:rPr>
          <w:rFonts w:ascii="Calibri" w:hAnsi="Calibri"/>
          <w:b/>
          <w:i w:val="0"/>
          <w:color w:val="183756"/>
          <w:sz w:val="20"/>
        </w:rPr>
        <w:t>Shaik, S.</w:t>
      </w:r>
      <w:r>
        <w:rPr>
          <w:rFonts w:ascii="Calibri" w:hAnsi="Calibri"/>
          <w:b w:val="0"/>
          <w:i w:val="0"/>
          <w:color w:val="1C2126"/>
          <w:sz w:val="20"/>
        </w:rPr>
        <w:t>, &amp; Wang, Y.</w:t>
      </w:r>
      <w:r>
        <w:rPr>
          <w:rFonts w:ascii="Calibri" w:hAnsi="Calibri"/>
          <w:b w:val="0"/>
          <w:i w:val="0"/>
          <w:color w:val="1C2126"/>
          <w:sz w:val="20"/>
        </w:rPr>
        <w:t xml:space="preserve"> (2021). </w:t>
      </w:r>
      <w:r>
        <w:rPr>
          <w:rFonts w:ascii="Calibri" w:hAnsi="Calibri"/>
          <w:b w:val="0"/>
          <w:i/>
          <w:color w:val="1C2126"/>
          <w:sz w:val="20"/>
        </w:rPr>
        <w:t>Deep Reinforcement Learning for Shared Control of Mobile Robots</w:t>
      </w:r>
      <w:r>
        <w:rPr>
          <w:rFonts w:ascii="Calibri" w:hAnsi="Calibri"/>
          <w:b w:val="0"/>
          <w:i w:val="0"/>
          <w:color w:val="1C2126"/>
          <w:sz w:val="20"/>
        </w:rPr>
        <w:t>. IET Cyber-Systems and Robotics, 3(4), 315–330.</w:t>
      </w:r>
    </w:p>
    <w:p>
      <w:pPr>
        <w:keepNext/>
        <w:spacing w:before="140" w:after="60"/>
        <w:pBdr>
          <w:bottom w:val="single" w:sz="6" w:space="2" w:color="DADFE5"/>
        </w:pBdr>
      </w:pPr>
      <w:r>
        <w:rPr>
          <w:rFonts w:ascii="Calibri" w:hAnsi="Calibri"/>
          <w:b/>
          <w:i w:val="0"/>
          <w:color w:val="183756"/>
          <w:sz w:val="21"/>
        </w:rPr>
        <w:t>RESEARCH SOFTWARE AND REPRODUCIBILITY</w:t>
      </w:r>
    </w:p>
    <w:p>
      <w:pPr>
        <w:keepLines/>
        <w:spacing w:before="0" w:after="60" w:line="259" w:lineRule="auto"/>
      </w:pPr>
      <w:r>
        <w:rPr>
          <w:rFonts w:ascii="Calibri" w:hAnsi="Calibri"/>
          <w:b w:val="0"/>
          <w:i w:val="0"/>
          <w:color w:val="1C2126"/>
          <w:sz w:val="20"/>
        </w:rPr>
      </w:r>
      <w:r>
        <w:rPr>
          <w:rFonts w:ascii="Calibri" w:hAnsi="Calibri"/>
          <w:b/>
          <w:i w:val="0"/>
          <w:color w:val="183756"/>
          <w:sz w:val="20"/>
        </w:rPr>
        <w:t xml:space="preserve">Open-source LGMA implementation. </w:t>
      </w:r>
      <w:r>
        <w:rPr>
          <w:rFonts w:ascii="Calibri" w:hAnsi="Calibri"/>
          <w:b w:val="0"/>
          <w:i w:val="0"/>
          <w:color w:val="1C2126"/>
          <w:sz w:val="20"/>
        </w:rPr>
        <w:t xml:space="preserve">Maintains a public PyTorch research prototype with interchangeable LGMA and conventional multi-head attention, synthetic and TinyStories experiments, and VLA data/model/evaluation modules. </w:t>
      </w:r>
      <w:hyperlink r:id="rId14">
        <w:r>
          <w:rPr>
            <w:rFonts w:ascii="Calibri" w:hAnsi="Calibri"/>
            <w:color w:val="2E74B5"/>
            <w:sz w:val="20"/>
            <w:u w:val="single"/>
          </w:rPr>
          <w:t>Repository</w:t>
        </w:r>
      </w:hyperlink>
    </w:p>
    <w:p>
      <w:pPr>
        <w:keepLines/>
        <w:spacing w:before="0" w:after="60" w:line="259" w:lineRule="auto"/>
      </w:pPr>
      <w:r>
        <w:rPr>
          <w:rFonts w:ascii="Calibri" w:hAnsi="Calibri"/>
          <w:b w:val="0"/>
          <w:i w:val="0"/>
          <w:color w:val="1C2126"/>
          <w:sz w:val="20"/>
        </w:rPr>
      </w:r>
      <w:r>
        <w:rPr>
          <w:rFonts w:ascii="Calibri" w:hAnsi="Calibri"/>
          <w:b/>
          <w:i w:val="0"/>
          <w:color w:val="183756"/>
          <w:sz w:val="20"/>
        </w:rPr>
        <w:t xml:space="preserve">Experiment integrity. </w:t>
      </w:r>
      <w:r>
        <w:rPr>
          <w:rFonts w:ascii="Calibri" w:hAnsi="Calibri"/>
          <w:b w:val="0"/>
          <w:i w:val="0"/>
          <w:color w:val="1C2126"/>
          <w:sz w:val="20"/>
        </w:rPr>
        <w:t>Built unit and smoke tests, configuration-driven experiments, resumable checkpoints, validation workflows, per-GPU throughput and memory accounting, and automated summaries for validation-loss-versus-token and validation-loss-versus-GPU-hour comparisons.</w:t>
      </w:r>
    </w:p>
    <w:p>
      <w:pPr>
        <w:keepLines/>
        <w:spacing w:before="0" w:after="60" w:line="259" w:lineRule="auto"/>
      </w:pPr>
      <w:r>
        <w:rPr>
          <w:rFonts w:ascii="Calibri" w:hAnsi="Calibri"/>
          <w:b w:val="0"/>
          <w:i w:val="0"/>
          <w:color w:val="1C2126"/>
          <w:sz w:val="20"/>
        </w:rPr>
      </w:r>
      <w:r>
        <w:rPr>
          <w:rFonts w:ascii="Calibri" w:hAnsi="Calibri"/>
          <w:b/>
          <w:i w:val="0"/>
          <w:color w:val="183756"/>
          <w:sz w:val="20"/>
        </w:rPr>
        <w:t xml:space="preserve">Research-computing readiness. </w:t>
      </w:r>
      <w:r>
        <w:rPr>
          <w:rFonts w:ascii="Calibri" w:hAnsi="Calibri"/>
          <w:b w:val="0"/>
          <w:i w:val="0"/>
          <w:color w:val="1C2126"/>
          <w:sz w:val="20"/>
        </w:rPr>
        <w:t>Prepared bf16 CUDA training, gradient accumulation, single- and multi-GPU DistributedDataParallel execution, Slurm launch patterns, dataset staging, and portable Conda/Apptainer environment plans for accelerator-based studies.</w:t>
      </w:r>
    </w:p>
    <w:p>
      <w:pPr>
        <w:keepNext/>
        <w:spacing w:before="140" w:after="60"/>
        <w:pBdr>
          <w:bottom w:val="single" w:sz="6" w:space="2" w:color="DADFE5"/>
        </w:pBdr>
      </w:pPr>
      <w:r>
        <w:rPr>
          <w:rFonts w:ascii="Calibri" w:hAnsi="Calibri"/>
          <w:b/>
          <w:i w:val="0"/>
          <w:color w:val="183756"/>
          <w:sz w:val="21"/>
        </w:rP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48" w:type="dxa"/>
      </w:tblPr>
      <w:tblGrid>
        <w:gridCol w:w="2131"/>
        <w:gridCol w:w="7517"/>
      </w:tblGrid>
      <w:tr>
        <w:tc>
          <w:tcPr>
            <w:tcW w:type="dxa" w:w="4939"/>
            <w:tcMar>
              <w:top w:w="18" w:type="dxa"/>
              <w:start w:w="0" w:type="dxa"/>
              <w:bottom w:w="18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3756"/>
                <w:sz w:val="19"/>
              </w:rPr>
              <w:t>Programming</w:t>
            </w:r>
          </w:p>
        </w:tc>
        <w:tc>
          <w:tcPr>
            <w:tcW w:type="dxa" w:w="4939"/>
            <w:tcMar>
              <w:top w:w="18" w:type="dxa"/>
              <w:start w:w="0" w:type="dxa"/>
              <w:bottom w:w="18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C2126"/>
                <w:sz w:val="19"/>
              </w:rPr>
              <w:t>Python; scientific computing and research software development</w:t>
            </w:r>
          </w:p>
        </w:tc>
      </w:tr>
      <w:tr>
        <w:tc>
          <w:tcPr>
            <w:tcW w:type="dxa" w:w="4939"/>
            <w:tcMar>
              <w:top w:w="18" w:type="dxa"/>
              <w:start w:w="0" w:type="dxa"/>
              <w:bottom w:w="18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3756"/>
                <w:sz w:val="19"/>
              </w:rPr>
              <w:t>Deep Learning</w:t>
            </w:r>
          </w:p>
        </w:tc>
        <w:tc>
          <w:tcPr>
            <w:tcW w:type="dxa" w:w="4939"/>
            <w:tcMar>
              <w:top w:w="18" w:type="dxa"/>
              <w:start w:w="0" w:type="dxa"/>
              <w:bottom w:w="18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C2126"/>
                <w:sz w:val="19"/>
              </w:rPr>
              <w:t>PyTorch; transformer models; attention mechanisms; reinforcement learning; VLM/VLA</w:t>
            </w:r>
          </w:p>
        </w:tc>
      </w:tr>
      <w:tr>
        <w:tc>
          <w:tcPr>
            <w:tcW w:type="dxa" w:w="4939"/>
            <w:tcMar>
              <w:top w:w="18" w:type="dxa"/>
              <w:start w:w="0" w:type="dxa"/>
              <w:bottom w:w="18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3756"/>
                <w:sz w:val="19"/>
              </w:rPr>
              <w:t>GPU &amp; Scale</w:t>
            </w:r>
          </w:p>
        </w:tc>
        <w:tc>
          <w:tcPr>
            <w:tcW w:type="dxa" w:w="4939"/>
            <w:tcMar>
              <w:top w:w="18" w:type="dxa"/>
              <w:start w:w="0" w:type="dxa"/>
              <w:bottom w:w="18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C2126"/>
                <w:sz w:val="19"/>
              </w:rPr>
              <w:t>CUDA; bf16 mixed precision; PyTorch DistributedDataParallel; torchrun; Slurm</w:t>
            </w:r>
          </w:p>
        </w:tc>
      </w:tr>
      <w:tr>
        <w:tc>
          <w:tcPr>
            <w:tcW w:type="dxa" w:w="4939"/>
            <w:tcMar>
              <w:top w:w="18" w:type="dxa"/>
              <w:start w:w="0" w:type="dxa"/>
              <w:bottom w:w="18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3756"/>
                <w:sz w:val="19"/>
              </w:rPr>
              <w:t>Research Stack</w:t>
            </w:r>
          </w:p>
        </w:tc>
        <w:tc>
          <w:tcPr>
            <w:tcW w:type="dxa" w:w="4939"/>
            <w:tcMar>
              <w:top w:w="18" w:type="dxa"/>
              <w:start w:w="0" w:type="dxa"/>
              <w:bottom w:w="18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C2126"/>
                <w:sz w:val="19"/>
              </w:rPr>
              <w:t>Hugging Face Datasets/Transformers; NumPy; h5py; OpenCV; Weights &amp; Biases</w:t>
            </w:r>
          </w:p>
        </w:tc>
      </w:tr>
      <w:tr>
        <w:tc>
          <w:tcPr>
            <w:tcW w:type="dxa" w:w="4939"/>
            <w:tcMar>
              <w:top w:w="18" w:type="dxa"/>
              <w:start w:w="0" w:type="dxa"/>
              <w:bottom w:w="18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3756"/>
                <w:sz w:val="19"/>
              </w:rPr>
              <w:t>Robotics &amp; Tools</w:t>
            </w:r>
          </w:p>
        </w:tc>
        <w:tc>
          <w:tcPr>
            <w:tcW w:type="dxa" w:w="4939"/>
            <w:tcMar>
              <w:top w:w="18" w:type="dxa"/>
              <w:start w:w="0" w:type="dxa"/>
              <w:bottom w:w="18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C2126"/>
                <w:sz w:val="19"/>
              </w:rPr>
              <w:t>MuJoCo/LIBERO workflows; Git/GitHub; Conda; Apptainer; pytest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36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b w:val="0"/>
        <w:i w:val="0"/>
        <w:color w:val="5B656F"/>
        <w:sz w:val="17"/>
      </w:rPr>
      <w:t xml:space="preserve">Shahil Shaik  •  Page </w:t>
    </w:r>
    <w:r>
      <w:rPr>
        <w:rFonts w:ascii="Calibri" w:hAnsi="Calibri"/>
        <w:b w:val="0"/>
        <w:i w:val="0"/>
        <w:color w:val="5B656F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5B656F"/>
        <w:sz w:val="16"/>
      </w:rPr>
      <w:t>SHAHIL SHAIK  |  ACADEMIC CV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/>
      <w:color w:val="1C21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7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shahils@clemson.edu" TargetMode="External"/><Relationship Id="rId12" Type="http://schemas.openxmlformats.org/officeDocument/2006/relationships/hyperlink" Target="https://scholar.google.com/citations?user=THKUDwwAAAAJ&amp;hl=en" TargetMode="External"/><Relationship Id="rId13" Type="http://schemas.openxmlformats.org/officeDocument/2006/relationships/hyperlink" Target="https://github.com/shahils01" TargetMode="External"/><Relationship Id="rId14" Type="http://schemas.openxmlformats.org/officeDocument/2006/relationships/hyperlink" Target="https://github.com/shahils01/Attention-is-Transform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Shahil Shaik — Academic CV</dc:title>
  <dc:subject>Academic CV for research computing allocation applications</dc:subject>
  <dc:creator>Shahil Shaik</dc:creator>
  <cp:keywords>robotics, reinforcement learning, transformers, VLA, multi-agent systems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