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565BE4" w:rsidRDefault="0065790B" w:rsidP="0065790B">
      <w:pPr>
        <w:ind w:right="-239"/>
        <w:jc w:val="center"/>
        <w:rPr>
          <w:color w:val="4472C4" w:themeColor="accent1"/>
          <w:sz w:val="20"/>
          <w:szCs w:val="20"/>
        </w:rPr>
      </w:pPr>
      <w:r w:rsidRPr="00565BE4">
        <w:rPr>
          <w:rFonts w:eastAsia="Times New Roman"/>
          <w:color w:val="4472C4" w:themeColor="accent1"/>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4731EC1A" w14:textId="581A1C7C" w:rsidR="005936A3" w:rsidRPr="000D47AA" w:rsidRDefault="005936A3" w:rsidP="005936A3">
      <w:pPr>
        <w:ind w:right="-239"/>
        <w:jc w:val="center"/>
        <w:rPr>
          <w:color w:val="ACB9CA" w:themeColor="text2" w:themeTint="66"/>
          <w:sz w:val="48"/>
          <w:szCs w:val="48"/>
        </w:rPr>
      </w:pPr>
      <w:r w:rsidRPr="000D47AA">
        <w:rPr>
          <w:color w:val="4472C4" w:themeColor="accent1"/>
          <w:sz w:val="48"/>
          <w:szCs w:val="48"/>
        </w:rPr>
        <w:t>ENERGY EFFICIENCY</w:t>
      </w:r>
      <w:r>
        <w:rPr>
          <w:color w:val="4472C4" w:themeColor="accent1"/>
          <w:sz w:val="48"/>
          <w:szCs w:val="48"/>
        </w:rPr>
        <w:t xml:space="preserv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453F5992" w:rsidR="0065790B" w:rsidRPr="00D4542F" w:rsidRDefault="0065790B" w:rsidP="0065790B">
      <w:pPr>
        <w:ind w:right="-239"/>
        <w:jc w:val="center"/>
        <w:rPr>
          <w:sz w:val="20"/>
          <w:szCs w:val="20"/>
        </w:rPr>
      </w:pPr>
      <w:r w:rsidRPr="00D4542F">
        <w:rPr>
          <w:rFonts w:eastAsia="Times New Roman"/>
          <w:sz w:val="48"/>
          <w:szCs w:val="48"/>
        </w:rPr>
        <w:t xml:space="preserve">Last Date of Revision – </w:t>
      </w:r>
      <w:r w:rsidR="00565BE4">
        <w:rPr>
          <w:rFonts w:eastAsia="Times New Roman"/>
          <w:sz w:val="48"/>
          <w:szCs w:val="48"/>
        </w:rPr>
        <w:t>0</w:t>
      </w:r>
      <w:r w:rsidRPr="00D4542F">
        <w:rPr>
          <w:rFonts w:eastAsia="Times New Roman"/>
          <w:sz w:val="48"/>
          <w:szCs w:val="48"/>
        </w:rPr>
        <w:t>6-0</w:t>
      </w:r>
      <w:r w:rsidR="00565BE4">
        <w:rPr>
          <w:rFonts w:eastAsia="Times New Roman"/>
          <w:sz w:val="48"/>
          <w:szCs w:val="48"/>
        </w:rPr>
        <w:t>6</w:t>
      </w:r>
      <w:r w:rsidRPr="00D4542F">
        <w:rPr>
          <w:rFonts w:eastAsia="Times New Roman"/>
          <w:sz w:val="48"/>
          <w:szCs w:val="48"/>
        </w:rPr>
        <w:t>-2023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3B8991F6" w:rsidR="00B6415B" w:rsidRPr="00D4542F" w:rsidRDefault="00B6415B" w:rsidP="0065790B">
      <w:pPr>
        <w:ind w:right="-239"/>
        <w:jc w:val="center"/>
        <w:rPr>
          <w:rFonts w:eastAsia="Times New Roman"/>
          <w:b/>
          <w:sz w:val="48"/>
          <w:szCs w:val="48"/>
        </w:rPr>
      </w:pPr>
      <w:r>
        <w:rPr>
          <w:rFonts w:eastAsia="Times New Roman"/>
          <w:b/>
          <w:sz w:val="48"/>
          <w:szCs w:val="48"/>
        </w:rPr>
        <w:t>K M SUMANTH</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From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9306617" w:rsidR="00DF202A" w:rsidRPr="00D4542F" w:rsidRDefault="00556199">
      <w:r>
        <w:rPr>
          <w:noProof/>
        </w:rPr>
        <w:drawing>
          <wp:inline distT="0" distB="0" distL="0" distR="0" wp14:anchorId="7CA70934" wp14:editId="6464C6ED">
            <wp:extent cx="5722620" cy="4762500"/>
            <wp:effectExtent l="0" t="0" r="0" b="0"/>
            <wp:docPr id="101284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2620" cy="476250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2.1 Data gathering from main source</w:t>
      </w:r>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The data for the current project is being gathered from UCI Machine Learning Repository ,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Python 3.8 is employed because the programming language and frame works like numpy, pandas, sklearn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r w:rsidRPr="00D4542F">
        <w:rPr>
          <w:rFonts w:eastAsia="Times New Roman"/>
          <w:sz w:val="24"/>
          <w:szCs w:val="24"/>
        </w:rPr>
        <w:t>Vscode is employed as IDE(</w:t>
      </w:r>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w:t>
      </w:r>
      <w:r w:rsidRPr="005247AE">
        <w:rPr>
          <w:sz w:val="24"/>
          <w:szCs w:val="24"/>
        </w:rPr>
        <w:t>different buildings shape simulated in ecolect. The dataset comprises 768 samples and 8 features, aiming to predict two real valued responses. It can also be used as a multi-class classification problem if the response is rounded to the nearest integer.</w:t>
      </w:r>
      <w:r w:rsidRPr="005247AE">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Created an api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Cqlsh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And finally, a cqlsh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In the above created api, the download url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7C74B71C"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Checking outliers as looking box plot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 .</w:t>
      </w:r>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results</w:t>
      </w:r>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4A60B59F" w14:textId="77777777" w:rsidR="0066570A" w:rsidRDefault="0066570A" w:rsidP="0066570A">
      <w:pPr>
        <w:ind w:firstLine="720"/>
        <w:rPr>
          <w:rFonts w:ascii="Calibri" w:eastAsia="Calibri" w:hAnsi="Calibri" w:cs="Calibri"/>
          <w:sz w:val="24"/>
          <w:szCs w:val="24"/>
        </w:rPr>
      </w:pPr>
      <w:r>
        <w:rPr>
          <w:rFonts w:ascii="Calibri" w:eastAsia="Calibri" w:hAnsi="Calibri" w:cs="Calibri"/>
          <w:sz w:val="24"/>
          <w:szCs w:val="24"/>
        </w:rPr>
        <w:t>deployed on AWS beanstalk. This is link:-</w:t>
      </w:r>
    </w:p>
    <w:p w14:paraId="7B2482FA" w14:textId="77777777" w:rsidR="0066570A" w:rsidRDefault="0066570A" w:rsidP="0066570A">
      <w:pPr>
        <w:ind w:firstLine="720"/>
        <w:rPr>
          <w:rFonts w:ascii="Calibri" w:eastAsia="Calibri" w:hAnsi="Calibri" w:cs="Calibri"/>
          <w:sz w:val="24"/>
          <w:szCs w:val="24"/>
        </w:rPr>
      </w:pPr>
    </w:p>
    <w:p w14:paraId="42C1B871" w14:textId="77777777" w:rsidR="0066570A" w:rsidRPr="00851BCC" w:rsidRDefault="0066570A" w:rsidP="0066570A">
      <w:pPr>
        <w:ind w:firstLine="720"/>
        <w:rPr>
          <w:rFonts w:ascii="Arial" w:eastAsia="Arial" w:hAnsi="Arial" w:cs="Arial"/>
          <w:sz w:val="24"/>
          <w:szCs w:val="24"/>
        </w:rPr>
      </w:pPr>
      <w:r w:rsidRPr="00BF2F08">
        <w:rPr>
          <w:rFonts w:ascii="Arial" w:eastAsia="Arial" w:hAnsi="Arial" w:cs="Arial"/>
          <w:sz w:val="24"/>
          <w:szCs w:val="24"/>
        </w:rPr>
        <w:t>http://energyefficiency-env.eba-tnvcvgwe.eu-north-1.elasticbeanstalk.com/</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5247AE"/>
    <w:rsid w:val="00556199"/>
    <w:rsid w:val="00565BE4"/>
    <w:rsid w:val="005936A3"/>
    <w:rsid w:val="006363BB"/>
    <w:rsid w:val="0065790B"/>
    <w:rsid w:val="0066570A"/>
    <w:rsid w:val="009269CD"/>
    <w:rsid w:val="00B6415B"/>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7</cp:revision>
  <dcterms:created xsi:type="dcterms:W3CDTF">2023-05-16T02:52:00Z</dcterms:created>
  <dcterms:modified xsi:type="dcterms:W3CDTF">2023-06-05T19:23:00Z</dcterms:modified>
</cp:coreProperties>
</file>