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Payment_Methods(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CreditCardNo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Bank_Name VARCHAR(50)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 INT PRIMARY KEY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EmailID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IFACTIVE BOOL 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SCREENS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LOCATION  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CreditCardNo  INT REFERENCES Payment_Methods(CreditCardNo)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Director(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 INT PRIMARY KEY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VARCHAR(50) 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DESCRIPTION TEXT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EMAIL_ID VARCHAR(50)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Actor(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 INT PRIMARY KEY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VARCHAR(50)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CONTACT VARCHAR(50)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Producer(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 INT PRIMARY KEY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VARCHAR(50)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DESCRIPTION TEXT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EMAIL_ID VARCHAR(50) NOT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Genre(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VARCHAR(50) PRIMARY KEY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Language(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 VARCHAR(50) PRIMARY KEY  NOT 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MEDIA(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 INT PRIMARY KEY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VARCHAR(50)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DESCRIPTION text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IMDb_rating FLOAT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Director_ID  INT REFERENCES Director(ID),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Producer_ID INT REFERENCES Producer(ID),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Genre_name VARCHAR(50) REFERENCES Genre(name),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Language_name VARCHAR(50) REFERENCES Language(Name),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Duration TIME(0)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Season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Episode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Release_Date 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ACTOR_MEDIA(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Media_ID INT REFERENCES Media (ID),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Actor_ID INT REFERENCES Actor(ID),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IMDb FLOAT 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PRIMARY KEY (Media_ID, Actor_ID)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HISTORY(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Media_ID INT REFERENCES Media (ID),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User_ID INT REFERENCES Users(ID),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Watched_at TIMESTAMP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User_rating FLOAT,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Left_at  TIME(0) 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Screen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Watched_for TIME(0)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PRIMARY KEY (User_ID, Screen, Watched_at)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Wishlist(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Media_ID INT REFERENCES Media (ID),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User_ID INT REFERENCES Users(ID),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PRIMARY KEY (Media_ID, User_ID)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Session(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Screen INT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User_ID INT REFERENCES Users(ID),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Media_ID INT REFERENCES Media (ID),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Watched_At TIMESTAMP 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IP_Address VARCHAR(50),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Device_Type VARCHAR(50),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PRIMARY KEY (Screen, User_ID)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