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20" w:before="240" w:line="360"/>
        <w:jc w:val="center"/>
      </w:pPr>
      <w:r>
        <w:rPr>
          <w:rFonts w:ascii="Amiri" w:cs="Amiri" w:eastAsia="Amiri" w:hAnsi="Amiri"/>
          <w:b/>
          <w:bCs/>
          <w:color w:val="1F4E79"/>
          <w:sz w:val="40"/>
          <w:szCs w:val="40"/>
          <w:rtl/>
        </w:rPr>
        <w:t xml:space="preserve">الاستمرارية بين دلالة النصوص وتجاوب النفوس</w:t>
      </w:r>
    </w:p>
    <w:p>
      <w:pPr>
        <w:bidi/>
        <w:spacing w:after="80" w:before="0" w:line="320"/>
        <w:jc w:val="center"/>
      </w:pPr>
      <w:r>
        <w:rPr>
          <w:rFonts w:ascii="Amiri" w:cs="Amiri" w:eastAsia="Amiri" w:hAnsi="Amiri"/>
          <w:i/>
          <w:iCs/>
          <w:color w:val="555555"/>
          <w:sz w:val="22"/>
          <w:szCs w:val="22"/>
          <w:rtl/>
        </w:rPr>
        <w:t xml:space="preserve">مقالٌ مستوحى من كلمةٍ أُلقيت في اللقاء الشهري بمسجد الأكاديمية الأمريكية للأئمة (AIA Masjid) — سخسي، تكساس</w:t>
      </w:r>
    </w:p>
    <w:p>
      <w:pPr>
        <w:bidi/>
        <w:spacing w:after="360" w:before="0" w:line="320"/>
        <w:jc w:val="center"/>
      </w:pPr>
      <w:r>
        <w:rPr>
          <w:rFonts w:ascii="Amiri" w:cs="Amiri" w:eastAsia="Amiri" w:hAnsi="Amiri"/>
          <w:i/>
          <w:iCs/>
          <w:color w:val="555555"/>
          <w:sz w:val="22"/>
          <w:szCs w:val="22"/>
          <w:rtl/>
        </w:rPr>
        <w:t xml:space="preserve">الجمعة 3 إبريل 2026م — بين المغرب والعشاء — تلاها قيامٌ بعد العشاء</w:t>
      </w:r>
    </w:p>
    <w:p>
      <w:pPr>
        <w:pStyle w:val="Heading2"/>
        <w:bidi/>
        <w:spacing w:after="120" w:before="240" w:line="360"/>
        <w:jc w:val="right"/>
      </w:pPr>
      <w:r>
        <w:rPr>
          <w:rFonts w:ascii="Amiri" w:cs="Amiri" w:eastAsia="Amiri" w:hAnsi="Amiri"/>
          <w:b/>
          <w:bCs/>
          <w:i w:val="false"/>
          <w:iCs w:val="false"/>
          <w:color w:val="1F4E79"/>
          <w:sz w:val="32"/>
          <w:szCs w:val="32"/>
          <w:rtl/>
        </w:rPr>
        <w:t xml:space="preserve">مدخلٌ من قلب اللقاء</w:t>
      </w:r>
    </w:p>
    <w:p>
      <w:pPr>
        <w:bidi/>
        <w:spacing w:after="120" w:before="120" w:line="360"/>
        <w:jc w:val="both"/>
      </w:pPr>
      <w:r>
        <w:rPr>
          <w:rFonts w:ascii="Amiri" w:cs="Amiri" w:eastAsia="Amiri" w:hAnsi="Amiri"/>
          <w:b w:val="false"/>
          <w:bCs w:val="false"/>
          <w:i w:val="false"/>
          <w:iCs w:val="false"/>
          <w:color w:val="000000"/>
          <w:sz w:val="26"/>
          <w:szCs w:val="26"/>
          <w:rtl/>
        </w:rPr>
        <w:t xml:space="preserve">في تلك الليلة، اجتمعنا في مسجد الأكاديمية الأمريكية للأئمة بمدينة سخسي، وكان السؤال الذي طُرح حاضرًا في القلوب قبل أن يُنطق به على المنبر: ماذا بقي من رمضان بعد أن رُفع؟ هل هي أيامٌ معدودة تتبخّر كما تبخّرت أيامُه، أم أن الصائم الحقيقي هو من جعل رمضان محطةَ انطلاقٍ لا خطَّ نهاية؟ كان عنوان اللقاء «الاستمرارية بين دلالة النصوص وتجاوب النفوس»، وهو عنوانٌ يحمل ثنائيةً عميقة: ثبات الوحي (دلالة النصوص)، وتقلّب الواقع البشري (تجاوب النفوس). وفي هذه المسافة بين النص الثابت والنفس المتقلّبة، يقع لُبُّ التحدّي التربوي والدعوي.</w:t>
      </w:r>
    </w:p>
    <w:p>
      <w:pPr>
        <w:pStyle w:val="Heading2"/>
        <w:bidi/>
        <w:spacing w:after="120" w:before="280" w:line="360"/>
        <w:jc w:val="right"/>
      </w:pPr>
      <w:r>
        <w:rPr>
          <w:rFonts w:ascii="Amiri" w:cs="Amiri" w:eastAsia="Amiri" w:hAnsi="Amiri"/>
          <w:b/>
          <w:bCs/>
          <w:i w:val="false"/>
          <w:iCs w:val="false"/>
          <w:color w:val="1F4E79"/>
          <w:sz w:val="30"/>
          <w:szCs w:val="30"/>
          <w:rtl/>
        </w:rPr>
        <w:t xml:space="preserve">أولًا: تضافرُ النصوص على معنى الاستمرارية</w:t>
      </w:r>
    </w:p>
    <w:p>
      <w:pPr>
        <w:bidi/>
        <w:spacing w:after="120" w:before="120" w:line="360"/>
        <w:jc w:val="both"/>
      </w:pPr>
      <w:r>
        <w:rPr>
          <w:rFonts w:ascii="Amiri" w:cs="Amiri" w:eastAsia="Amiri" w:hAnsi="Amiri"/>
          <w:b w:val="false"/>
          <w:bCs w:val="false"/>
          <w:i w:val="false"/>
          <w:iCs w:val="false"/>
          <w:color w:val="000000"/>
          <w:sz w:val="26"/>
          <w:szCs w:val="26"/>
          <w:rtl/>
        </w:rPr>
        <w:t xml:space="preserve">النصوص الشرعية لم تكتفِ بالإشارة إلى الاستمرارية، بل أقامت عليها بنيانًا متماسكًا، يلتقي عند معنى واحد بألسنةٍ متعددة. فحين خاطب الله نبيَّه ﷺ قال: ﴿فاستقم كما أُمِرتَ ومن تاب معك﴾، فالاستقامةُ هنا فعلُ أمرٍ مستمر، لا حالةٌ طارئة. وحين سُئل ﷺ أن يُجمل الدّينَ في كلمتين قال لسفيان بن عبد الله الثقفي: «قل آمنتُ بالله ثم استقم»، فجمع له بين أصل الإيمان وثمرته العملية، وهي المداومة.</w:t>
      </w:r>
    </w:p>
    <w:p>
      <w:pPr>
        <w:bidi/>
        <w:spacing w:after="120" w:before="120" w:line="360"/>
        <w:jc w:val="both"/>
      </w:pPr>
      <w:r>
        <w:rPr>
          <w:rFonts w:ascii="Amiri" w:cs="Amiri" w:eastAsia="Amiri" w:hAnsi="Amiri"/>
          <w:b w:val="false"/>
          <w:bCs w:val="false"/>
          <w:i w:val="false"/>
          <w:iCs w:val="false"/>
          <w:color w:val="000000"/>
          <w:sz w:val="26"/>
          <w:szCs w:val="26"/>
          <w:rtl/>
        </w:rPr>
        <w:t xml:space="preserve">ثم وضع ﷺ المعيارَ الحاكم لتقييم العمل، فقال: «أحبُّ الأعمال إلى الله أدومُها وإن قلَّ». لاحظ دقّة التعبير: لم يقل «أكثرها» ولا «أعظمها»، بل قال «أدومها»؛ فجعل الديمومةَ هي الميزان، لا الكمّ. وصدّقت ذلك أمُّ المؤمنين عائشة رضي الله عنها حين وصفت هديَه ﷺ: «كان عمله ديمة»، أي كالمطر الهادئ المتواصل لا كالسيل الذي يفيض ثم ينحسر. وزاد المعنى تأكيدًا قوله ﷺ لعبد الله بن عمرو: «يا عبد الله، لا تكن مثل فلان، كان يقوم الليل فترك قيام الليل»، فجعل ترك ما اعتاده العبدُ موضعَ ذمٍّ ولوم.</w:t>
      </w:r>
    </w:p>
    <w:p>
      <w:pPr>
        <w:bidi/>
        <w:spacing w:after="120" w:before="120" w:line="360"/>
        <w:jc w:val="both"/>
      </w:pPr>
      <w:r>
        <w:rPr>
          <w:rFonts w:ascii="Amiri" w:cs="Amiri" w:eastAsia="Amiri" w:hAnsi="Amiri"/>
          <w:b w:val="false"/>
          <w:bCs w:val="false"/>
          <w:i w:val="false"/>
          <w:iCs w:val="false"/>
          <w:color w:val="000000"/>
          <w:sz w:val="26"/>
          <w:szCs w:val="26"/>
          <w:rtl/>
        </w:rPr>
        <w:t xml:space="preserve">ومن جانب القرآن، فإن قوله تعالى: ﴿واعبُد ربَّك حتى يأتيَك اليقين﴾ يجعل سقف العبادة هو الموت لا الموسم. وقوله: ﴿إنّ صلاتي ونُسُكي ومحياي ومماتي لله﴾ يجعل العبادةَ هويةً تستوعب الحياة كلَّها، لا أحداثًا متناثرة.</w:t>
      </w:r>
    </w:p>
    <w:p>
      <w:pPr>
        <w:pStyle w:val="Heading2"/>
        <w:bidi/>
        <w:spacing w:after="120" w:before="280" w:line="360"/>
        <w:jc w:val="right"/>
      </w:pPr>
      <w:r>
        <w:rPr>
          <w:rFonts w:ascii="Amiri" w:cs="Amiri" w:eastAsia="Amiri" w:hAnsi="Amiri"/>
          <w:b/>
          <w:bCs/>
          <w:i w:val="false"/>
          <w:iCs w:val="false"/>
          <w:color w:val="1F4E79"/>
          <w:sz w:val="30"/>
          <w:szCs w:val="30"/>
          <w:rtl/>
        </w:rPr>
        <w:t xml:space="preserve">ثانيًا: التزكية مسارٌ لا حدث</w:t>
      </w:r>
    </w:p>
    <w:p>
      <w:pPr>
        <w:bidi/>
        <w:spacing w:after="120" w:before="120" w:line="360"/>
        <w:jc w:val="both"/>
      </w:pPr>
      <w:r>
        <w:rPr>
          <w:rFonts w:ascii="Amiri" w:cs="Amiri" w:eastAsia="Amiri" w:hAnsi="Amiri"/>
          <w:b w:val="false"/>
          <w:bCs w:val="false"/>
          <w:i w:val="false"/>
          <w:iCs w:val="false"/>
          <w:color w:val="000000"/>
          <w:sz w:val="26"/>
          <w:szCs w:val="26"/>
          <w:rtl/>
        </w:rPr>
        <w:t xml:space="preserve">من ألطف ما يَلفت النظرَ في القرآن أن صيغة الفعل في آيات التزكية جاءت بصيغة المضارع: ﴿ويُزَكّيهم﴾، لا ﴿وزكّاهم﴾. والمضارع — كما هو معلوم — يدل على الاستمرار والتجدد. فالتزكيةُ ليست لحظةً تنقضي بانقضاء رمضان، بل ممارسةٌ مستدامة، تطوّريّة، تواكب تطوّرات النفس البشرية. وهذه هي القاعدة الكبرى التي يقوم عليها كلُّ بناءٍ تربوي في الإسلام: العبادة مشروعُ عُمرٍ، لا فعلُ موسم.</w:t>
      </w:r>
    </w:p>
    <w:p>
      <w:pPr>
        <w:bidi/>
        <w:spacing w:after="120" w:before="120" w:line="360"/>
        <w:jc w:val="both"/>
      </w:pPr>
      <w:r>
        <w:rPr>
          <w:rFonts w:ascii="Amiri" w:cs="Amiri" w:eastAsia="Amiri" w:hAnsi="Amiri"/>
          <w:b w:val="false"/>
          <w:bCs w:val="false"/>
          <w:i w:val="false"/>
          <w:iCs w:val="false"/>
          <w:color w:val="000000"/>
          <w:sz w:val="26"/>
          <w:szCs w:val="26"/>
          <w:rtl/>
        </w:rPr>
        <w:t xml:space="preserve">والتزكية في عمقها تجمع بين تخليةٍ وتحلية؛ تخليةٌ بمعنى تطهير النفس من رذائلها، وتحليةٌ بمعنى تزيينها بفضائلها. وكلاهما لا يتحقق دفعةً واحدة، بل في «هجرةٍ» متواصلة عن المعاصي، و«مواظبةٍ» على الطاعات، و«زيادةٍ» تدريجية في الخير. ولهذا قال أهل العلم: «من علامات قبول الحسنة الحسنةُ بعدها». فالاستمرارية ذاتُها دليلُ القبول، وانقطاع العبد بعد موسم الطاعة قد يكون أمارةَ خذلانٍ لا أمارةَ راحة.</w:t>
      </w:r>
    </w:p>
    <w:p>
      <w:pPr>
        <w:bidi/>
        <w:spacing w:after="120" w:before="120" w:line="360"/>
        <w:jc w:val="both"/>
      </w:pPr>
      <w:r>
        <w:rPr>
          <w:rFonts w:ascii="Amiri" w:cs="Amiri" w:eastAsia="Amiri" w:hAnsi="Amiri"/>
          <w:b w:val="false"/>
          <w:bCs w:val="false"/>
          <w:i w:val="false"/>
          <w:iCs w:val="false"/>
          <w:color w:val="000000"/>
          <w:sz w:val="26"/>
          <w:szCs w:val="26"/>
          <w:rtl/>
        </w:rPr>
        <w:t xml:space="preserve">والمداومةُ بهذا الفهم ليست عملًا إضافيًا، بل هي امتحانُ صدق العمل الأول. فمن ذاق حلاوة الإيمان في رمضان ثم انسلخ منها في شوال، فقد دلّ على أن الذي حرّكه كان الموسم، لا الإيمان.</w:t>
      </w:r>
    </w:p>
    <w:p>
      <w:pPr>
        <w:pStyle w:val="Heading2"/>
        <w:bidi/>
        <w:spacing w:after="120" w:before="280" w:line="360"/>
        <w:jc w:val="right"/>
      </w:pPr>
      <w:r>
        <w:rPr>
          <w:rFonts w:ascii="Amiri" w:cs="Amiri" w:eastAsia="Amiri" w:hAnsi="Amiri"/>
          <w:b/>
          <w:bCs/>
          <w:i w:val="false"/>
          <w:iCs w:val="false"/>
          <w:color w:val="1F4E79"/>
          <w:sz w:val="30"/>
          <w:szCs w:val="30"/>
          <w:rtl/>
        </w:rPr>
        <w:t xml:space="preserve">ثالثًا: تجاوبُ النفوس — أنماط الناس بعد المواسم</w:t>
      </w:r>
    </w:p>
    <w:p>
      <w:pPr>
        <w:bidi/>
        <w:spacing w:after="120" w:before="120" w:line="360"/>
        <w:jc w:val="both"/>
      </w:pPr>
      <w:r>
        <w:rPr>
          <w:rFonts w:ascii="Amiri" w:cs="Amiri" w:eastAsia="Amiri" w:hAnsi="Amiri"/>
          <w:b w:val="false"/>
          <w:bCs w:val="false"/>
          <w:i w:val="false"/>
          <w:iCs w:val="false"/>
          <w:color w:val="000000"/>
          <w:sz w:val="26"/>
          <w:szCs w:val="26"/>
          <w:rtl/>
        </w:rPr>
        <w:t xml:space="preserve">تتلقّى النفوس البشرية هذه النصوصَ الثابتة بطرائق متباينة؛ فمنها ما يستجيب، ومنها ما يَلين ثم يقسو، ومنها ما يُقاوم. وقد أشار النبي ﷺ إلى هذا التفاوت في قوله: «الناس معادن كمعادن الذهب والفضة»، فلكلِّ نفسٍ معدنُها، ولكلِّ معدنٍ خاصيّةٌ في القبول والاستجابة. وفيما يلي أبرزُ الأنماط التي يتكرّر ظهورُها في واقع الناس بعد المواسم:</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00"/>
        <w:gridCol w:w="2360"/>
      </w:tblGrid>
      <w:tr>
        <w:trPr>
          <w:tblHeader/>
        </w:trPr>
        <w:tc>
          <w:tcPr>
            <w:tcW w:type="dxa" w:w="17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bidi/>
              <w:spacing w:after="60" w:before="60" w:line="320"/>
              <w:jc w:val="right"/>
            </w:pPr>
            <w:r>
              <w:rPr>
                <w:rFonts w:ascii="Amiri" w:cs="Amiri" w:eastAsia="Amiri" w:hAnsi="Amiri"/>
                <w:b/>
                <w:bCs/>
                <w:color w:val="000000"/>
                <w:sz w:val="22"/>
                <w:szCs w:val="22"/>
                <w:rtl/>
              </w:rPr>
              <w:t xml:space="preserve">النمط</w:t>
            </w:r>
          </w:p>
        </w:tc>
        <w:tc>
          <w:tcPr>
            <w:tcW w:type="dxa" w:w="30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bidi/>
              <w:spacing w:after="60" w:before="60" w:line="320"/>
              <w:jc w:val="right"/>
            </w:pPr>
            <w:r>
              <w:rPr>
                <w:rFonts w:ascii="Amiri" w:cs="Amiri" w:eastAsia="Amiri" w:hAnsi="Amiri"/>
                <w:b/>
                <w:bCs/>
                <w:color w:val="000000"/>
                <w:sz w:val="22"/>
                <w:szCs w:val="22"/>
                <w:rtl/>
              </w:rPr>
              <w:t xml:space="preserve">وصفه</w:t>
            </w:r>
          </w:p>
        </w:tc>
        <w:tc>
          <w:tcPr>
            <w:tcW w:type="dxa" w:w="230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bidi/>
              <w:spacing w:after="60" w:before="60" w:line="320"/>
              <w:jc w:val="right"/>
            </w:pPr>
            <w:r>
              <w:rPr>
                <w:rFonts w:ascii="Amiri" w:cs="Amiri" w:eastAsia="Amiri" w:hAnsi="Amiri"/>
                <w:b/>
                <w:bCs/>
                <w:color w:val="000000"/>
                <w:sz w:val="22"/>
                <w:szCs w:val="22"/>
                <w:rtl/>
              </w:rPr>
              <w:t xml:space="preserve">علاقته بالنصوص</w:t>
            </w:r>
          </w:p>
        </w:tc>
        <w:tc>
          <w:tcPr>
            <w:tcW w:type="dxa" w:w="236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bidi/>
              <w:spacing w:after="60" w:before="60" w:line="320"/>
              <w:jc w:val="right"/>
            </w:pPr>
            <w:r>
              <w:rPr>
                <w:rFonts w:ascii="Amiri" w:cs="Amiri" w:eastAsia="Amiri" w:hAnsi="Amiri"/>
                <w:b/>
                <w:bCs/>
                <w:color w:val="000000"/>
                <w:sz w:val="22"/>
                <w:szCs w:val="22"/>
                <w:rtl/>
              </w:rPr>
              <w:t xml:space="preserve">التحدي التربوي معه</w:t>
            </w:r>
          </w:p>
        </w:tc>
      </w:tr>
      <w:tr>
        <w:tc>
          <w:tcPr>
            <w:tcW w:type="dxa" w:w="17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bCs/>
                <w:color w:val="000000"/>
                <w:sz w:val="20"/>
                <w:szCs w:val="20"/>
                <w:rtl/>
              </w:rPr>
              <w:t xml:space="preserve">١. التجاريّ الحسابيّ</w:t>
            </w:r>
          </w:p>
        </w:tc>
        <w:tc>
          <w:tcPr>
            <w:tcW w:type="dxa" w:w="30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يتعامل مع الأعمال كصفقات؛ يرقُب الأجور الكبيرة، ويسأل عن "الأرباح" قبل العمل. ينشط في عشر ذي الحجة وليلة القدر، ويغفل عن ركعتي الضحى وأذكار الصباح.</w:t>
            </w:r>
          </w:p>
        </w:tc>
        <w:tc>
          <w:tcPr>
            <w:tcW w:type="dxa" w:w="23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يربط العمل بالأجر المعلَن فقط، ولا يتحرّك للطاعة الصامتة التي لم يُذكر لها فضلٌ مفصّل.</w:t>
            </w:r>
          </w:p>
        </w:tc>
        <w:tc>
          <w:tcPr>
            <w:tcW w:type="dxa" w:w="236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تحويلُه من "تاجرٍ مع الله" إلى "عابدٍ لله"؛ بتعليمه أن الله يُحبّ العبد وإن قلَّ عملُه، وأن المداومةَ ذاتها مُضاعِفٌ خفيّ للأجر.</w:t>
            </w:r>
          </w:p>
        </w:tc>
      </w:tr>
      <w:tr>
        <w:tc>
          <w:tcPr>
            <w:tcW w:type="dxa" w:w="17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bCs/>
                <w:color w:val="000000"/>
                <w:sz w:val="20"/>
                <w:szCs w:val="20"/>
                <w:rtl/>
              </w:rPr>
              <w:t xml:space="preserve">٢. الموسميّ</w:t>
            </w:r>
          </w:p>
        </w:tc>
        <w:tc>
          <w:tcPr>
            <w:tcW w:type="dxa" w:w="30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يفتح "متجره" مع الله في رمضان ويُغلقه في شوال؛ يصلي التراويح ويهجر المسجد، يختم القرآن مرارًا ثم لا يفتحه إلا في الموسم القادم.</w:t>
            </w:r>
          </w:p>
        </w:tc>
        <w:tc>
          <w:tcPr>
            <w:tcW w:type="dxa" w:w="23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يقرأ نصوص رمضان بشغف، ويُهمل نصوص الحياة اليومية.</w:t>
            </w:r>
          </w:p>
        </w:tc>
        <w:tc>
          <w:tcPr>
            <w:tcW w:type="dxa" w:w="236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التذكير بأن "ربَّ شعبان هو ربُّ رمضان"؛ وتدريبُه على استبقاء أثرٍ يومي من الموسم، ولو كان صغيرًا.</w:t>
            </w:r>
          </w:p>
        </w:tc>
      </w:tr>
      <w:tr>
        <w:tc>
          <w:tcPr>
            <w:tcW w:type="dxa" w:w="17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bCs/>
                <w:color w:val="000000"/>
                <w:sz w:val="20"/>
                <w:szCs w:val="20"/>
                <w:rtl/>
              </w:rPr>
              <w:t xml:space="preserve">٣. العاطفيّ الاندفاعيّ</w:t>
            </w:r>
          </w:p>
        </w:tc>
        <w:tc>
          <w:tcPr>
            <w:tcW w:type="dxa" w:w="30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تحرّكه الكلمة المؤثرة في المجلس، فيبكي ويعزم، ثم لا يلبث أن يَنسى بمجرد مغادرته. عاطفته صادقة لكنها كعود الثقاب: شعلةٌ ثم رماد.</w:t>
            </w:r>
          </w:p>
        </w:tc>
        <w:tc>
          <w:tcPr>
            <w:tcW w:type="dxa" w:w="23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يتفاعل مع نصوص الترغيب والترهيب، ويضعف أمام نصوص التكليف الجاف.</w:t>
            </w:r>
          </w:p>
        </w:tc>
        <w:tc>
          <w:tcPr>
            <w:tcW w:type="dxa" w:w="236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تحويلُ العاطفة إلى التزام عملي محدد؛ بأن يَخرج من كل مجلسٍ بقرارٍ واحد صغير قابل للتنفيذ.</w:t>
            </w:r>
          </w:p>
        </w:tc>
      </w:tr>
      <w:tr>
        <w:tc>
          <w:tcPr>
            <w:tcW w:type="dxa" w:w="17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bCs/>
                <w:color w:val="000000"/>
                <w:sz w:val="20"/>
                <w:szCs w:val="20"/>
                <w:rtl/>
              </w:rPr>
              <w:t xml:space="preserve">٤. الكماليّ المثاليّ</w:t>
            </w:r>
          </w:p>
        </w:tc>
        <w:tc>
          <w:tcPr>
            <w:tcW w:type="dxa" w:w="30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يتبنّى مبدأ "كل شيء أو لا شيء"؛ إن لم يقم نصف الليل فلا يقوم، وإن لم يختم القرآن في أسبوع فلا يقرؤه. يَلبس لباس الإخلاص ويهرب من الالتزام بحجة المثالية.</w:t>
            </w:r>
          </w:p>
        </w:tc>
        <w:tc>
          <w:tcPr>
            <w:tcW w:type="dxa" w:w="23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يُهمل نصوص "القلّة الدائمة" ويحتفي بنصوص الجد العالي فقط.</w:t>
            </w:r>
          </w:p>
        </w:tc>
        <w:tc>
          <w:tcPr>
            <w:tcW w:type="dxa" w:w="236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فقهُ الديمومة؛ تعليمُه أن العمل القليل الدائم خيرٌ من المنقطع الكثير، وأن التدرّجَ سُنّةُ التشريع.</w:t>
            </w:r>
          </w:p>
        </w:tc>
      </w:tr>
      <w:tr>
        <w:tc>
          <w:tcPr>
            <w:tcW w:type="dxa" w:w="17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bCs/>
                <w:color w:val="000000"/>
                <w:sz w:val="20"/>
                <w:szCs w:val="20"/>
                <w:rtl/>
              </w:rPr>
              <w:t xml:space="preserve">٥. الاجتماعيّ التابع للبيئة</w:t>
            </w:r>
          </w:p>
        </w:tc>
        <w:tc>
          <w:tcPr>
            <w:tcW w:type="dxa" w:w="30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ثباتُه معلَّقٌ بمن حوله؛ يصوم لأن الجميع يصوم، ولا يقوم وحده. تنفضّ همّته بانفضاض الناس.</w:t>
            </w:r>
          </w:p>
        </w:tc>
        <w:tc>
          <w:tcPr>
            <w:tcW w:type="dxa" w:w="23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يقرأ نصوص الجماعة (واعتصموا)، ويغفل عن نصوص الخلوة (وذكر اسمَ ربك).</w:t>
            </w:r>
          </w:p>
        </w:tc>
        <w:tc>
          <w:tcPr>
            <w:tcW w:type="dxa" w:w="236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بناءُ صحبةٍ صالحة دائمة (حلقة قرآن، رفقة مسجد)، وتدريبٌ تدريجيٌّ على عبادة الخلوة.</w:t>
            </w:r>
          </w:p>
        </w:tc>
      </w:tr>
      <w:tr>
        <w:tc>
          <w:tcPr>
            <w:tcW w:type="dxa" w:w="17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bCs/>
                <w:color w:val="000000"/>
                <w:sz w:val="20"/>
                <w:szCs w:val="20"/>
                <w:rtl/>
              </w:rPr>
              <w:t xml:space="preserve">٦. المتسوّف</w:t>
            </w:r>
          </w:p>
        </w:tc>
        <w:tc>
          <w:tcPr>
            <w:tcW w:type="dxa" w:w="30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دائم النية، مؤجَّل الفعل. عنده مكتبةٌ من المشاريع التي ستبدأ "غدًا" أو "بعد الامتحانات" أو "حين تستقر الأحوال".</w:t>
            </w:r>
          </w:p>
        </w:tc>
        <w:tc>
          <w:tcPr>
            <w:tcW w:type="dxa" w:w="23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يتجاهل نصوص قِصَر الأجل وفجائيّة الموت (وما تدري نفسٌ ماذا تكسب غدًا).</w:t>
            </w:r>
          </w:p>
        </w:tc>
        <w:tc>
          <w:tcPr>
            <w:tcW w:type="dxa" w:w="236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كسرُ منطق الانتظار؛ بالبدء الفوري بأصغر صورة ممكنة، فإن الاستعداد يأتي مع الفعل لا قبله.</w:t>
            </w:r>
          </w:p>
        </w:tc>
      </w:tr>
      <w:tr>
        <w:tc>
          <w:tcPr>
            <w:tcW w:type="dxa" w:w="17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bCs/>
                <w:color w:val="000000"/>
                <w:sz w:val="20"/>
                <w:szCs w:val="20"/>
                <w:rtl/>
              </w:rPr>
              <w:t xml:space="preserve">٧. المنتكسُ النادمُ المنتكس</w:t>
            </w:r>
          </w:p>
        </w:tc>
        <w:tc>
          <w:tcPr>
            <w:tcW w:type="dxa" w:w="30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في دائرةٍ من القيام والسقوط: يستقيم أسبوعًا، ينتكس أسبوعًا، يندم، ثم يعود. خطورتُه أنه قد يبلغ اليأس من نفسه.</w:t>
            </w:r>
          </w:p>
        </w:tc>
        <w:tc>
          <w:tcPr>
            <w:tcW w:type="dxa" w:w="230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يتفاعل مع نصوص الترغيب ويتراجع عند أول تقصير.</w:t>
            </w:r>
          </w:p>
        </w:tc>
        <w:tc>
          <w:tcPr>
            <w:tcW w:type="dxa" w:w="2360"/>
            <w:tcBorders>
              <w:top w:val="single" w:color="888888" w:sz="4"/>
              <w:left w:val="single" w:color="888888" w:sz="4"/>
              <w:bottom w:val="single" w:color="888888" w:sz="4"/>
              <w:right w:val="single" w:color="888888" w:sz="4"/>
            </w:tcBorders>
            <w:tcMar>
              <w:top w:type="dxa" w:w="100"/>
              <w:left w:type="dxa" w:w="120"/>
              <w:bottom w:type="dxa" w:w="100"/>
              <w:right w:type="dxa" w:w="120"/>
            </w:tcMar>
          </w:tcPr>
          <w:p>
            <w:pPr>
              <w:bidi/>
              <w:spacing w:after="60" w:before="60" w:line="320"/>
              <w:jc w:val="right"/>
            </w:pPr>
            <w:r>
              <w:rPr>
                <w:rFonts w:ascii="Amiri" w:cs="Amiri" w:eastAsia="Amiri" w:hAnsi="Amiri"/>
                <w:b w:val="false"/>
                <w:bCs w:val="false"/>
                <w:color w:val="000000"/>
                <w:sz w:val="20"/>
                <w:szCs w:val="20"/>
                <w:rtl/>
              </w:rPr>
              <w:t xml:space="preserve">تذكيرُه بسعة باب التوبة، ومنحُه خطةً واقعية لتقليل دائرة الانتكاس بدل انتظار الكمال.</w:t>
            </w:r>
          </w:p>
        </w:tc>
      </w:tr>
    </w:tbl>
    <w:p>
      <w:pPr>
        <w:bidi/>
        <w:spacing w:after="120" w:before="280" w:line="360"/>
        <w:jc w:val="both"/>
      </w:pPr>
      <w:r>
        <w:rPr>
          <w:rFonts w:ascii="Amiri" w:cs="Amiri" w:eastAsia="Amiri" w:hAnsi="Amiri"/>
          <w:b w:val="false"/>
          <w:bCs w:val="false"/>
          <w:i w:val="false"/>
          <w:iCs w:val="false"/>
          <w:color w:val="000000"/>
          <w:sz w:val="26"/>
          <w:szCs w:val="26"/>
          <w:rtl/>
        </w:rPr>
        <w:t xml:space="preserve">هذه الأنماط ليست حواجزَ صلبة بين الناس، بل قد يجد المرءُ نفسه متنقلًا بينها بحسب حاله ومرحلة عمره. والمهم ألا يتعامل المربّي معها بنَفَسٍ واحد، فلكلِّ نمطٍ مدخلُه الذي يَفقهه ولغتُه التي يستجيب لها.</w:t>
      </w:r>
    </w:p>
    <w:p>
      <w:pPr>
        <w:pStyle w:val="Heading2"/>
        <w:bidi/>
        <w:spacing w:after="120" w:before="280" w:line="360"/>
        <w:jc w:val="right"/>
      </w:pPr>
      <w:r>
        <w:rPr>
          <w:rFonts w:ascii="Amiri" w:cs="Amiri" w:eastAsia="Amiri" w:hAnsi="Amiri"/>
          <w:b/>
          <w:bCs/>
          <w:i w:val="false"/>
          <w:iCs w:val="false"/>
          <w:color w:val="1F4E79"/>
          <w:sz w:val="30"/>
          <w:szCs w:val="30"/>
          <w:rtl/>
        </w:rPr>
        <w:t xml:space="preserve">رابعًا: لماذا تتفاوت النفوس في تجاوبها؟</w:t>
      </w:r>
    </w:p>
    <w:p>
      <w:pPr>
        <w:bidi/>
        <w:spacing w:after="120" w:before="120" w:line="360"/>
        <w:jc w:val="both"/>
      </w:pPr>
      <w:r>
        <w:rPr>
          <w:rFonts w:ascii="Amiri" w:cs="Amiri" w:eastAsia="Amiri" w:hAnsi="Amiri"/>
          <w:b w:val="false"/>
          <w:bCs w:val="false"/>
          <w:i w:val="false"/>
          <w:iCs w:val="false"/>
          <w:color w:val="000000"/>
          <w:sz w:val="26"/>
          <w:szCs w:val="26"/>
          <w:rtl/>
        </w:rPr>
        <w:t xml:space="preserve">تفاوتُ النفوس ليس مصادفةً ولا عيبًا في النصوص، بل هو سُنّةٌ كونية. والقرآن ذاتُه يُقدّم لنا نموذجين متقابلين في تلقّي الذكر: ﴿وإذا ذُكر اللهُ وحدَه اشمأزّت قلوبُ الذين لا يؤمنون بالآخرة﴾، في مقابل ﴿الذين آمنوا وتطمئنُّ قلوبُهم بذكر الله﴾. القلبُ الواحد يصلُح للاشمئزاز كما يصلح للاطمئنان؛ والذكرُ هو الذكر، لكن المتلقّي مختلف.</w:t>
      </w:r>
    </w:p>
    <w:p>
      <w:pPr>
        <w:bidi/>
        <w:spacing w:after="120" w:before="120" w:line="360"/>
        <w:jc w:val="both"/>
      </w:pPr>
      <w:r>
        <w:rPr>
          <w:rFonts w:ascii="Amiri" w:cs="Amiri" w:eastAsia="Amiri" w:hAnsi="Amiri"/>
          <w:b w:val="false"/>
          <w:bCs w:val="false"/>
          <w:i w:val="false"/>
          <w:iCs w:val="false"/>
          <w:color w:val="000000"/>
          <w:sz w:val="26"/>
          <w:szCs w:val="26"/>
          <w:rtl/>
        </w:rPr>
        <w:t xml:space="preserve">وتفاوتُ النفوس يعود إلى جملة عوامل: التربية الأولى، البيئة المحيطة، التركيبة الشخصية، الفهم الديني، الضغوط الحياتية، ومرحلة العمر. ولهذا قال ﷺ: «إنما الأعمال بالنيات»، فربط الاعتبار بالباطن لا بالظاهر فقط، وقال: «إن الله لا ينظر إلى صوركم وأموالكم، ولكن ينظر إلى قلوبكم وأعمالكم». فحين يفهم المربّي أن الناس معادن، فإنه لا يصبّ كلَّ معدن في قالبٍ واحد، بل يُعامل كلَّ معدنٍ بما يليق به.</w:t>
      </w:r>
    </w:p>
    <w:p>
      <w:pPr>
        <w:pStyle w:val="Heading2"/>
        <w:bidi/>
        <w:spacing w:after="120" w:before="280" w:line="360"/>
        <w:jc w:val="right"/>
      </w:pPr>
      <w:r>
        <w:rPr>
          <w:rFonts w:ascii="Amiri" w:cs="Amiri" w:eastAsia="Amiri" w:hAnsi="Amiri"/>
          <w:b/>
          <w:bCs/>
          <w:i w:val="false"/>
          <w:iCs w:val="false"/>
          <w:color w:val="1F4E79"/>
          <w:sz w:val="30"/>
          <w:szCs w:val="30"/>
          <w:rtl/>
        </w:rPr>
        <w:t xml:space="preserve">خامسًا: المجاهدةُ — حلقةُ الوصل بين النص والاستجابة</w:t>
      </w:r>
    </w:p>
    <w:p>
      <w:pPr>
        <w:bidi/>
        <w:spacing w:after="120" w:before="120" w:line="360"/>
        <w:jc w:val="both"/>
      </w:pPr>
      <w:r>
        <w:rPr>
          <w:rFonts w:ascii="Amiri" w:cs="Amiri" w:eastAsia="Amiri" w:hAnsi="Amiri"/>
          <w:b w:val="false"/>
          <w:bCs w:val="false"/>
          <w:i w:val="false"/>
          <w:iCs w:val="false"/>
          <w:color w:val="000000"/>
          <w:sz w:val="26"/>
          <w:szCs w:val="26"/>
          <w:rtl/>
        </w:rPr>
        <w:t xml:space="preserve">كيف نَعبر من نصٍّ يدعو إلى الاستقامة، إلى نفسٍ تستقيم فعلًا؟ الجواب في كلمةٍ واحدة: المجاهدة. ﴿والذين جاهدوا فينا لنهدينّهم سُبُلَنا﴾. فالمجاهدةُ هي الجسر الذي يَعبر عليه الإنسان من العلم إلى العمل، ومن النية إلى الفعل، ومن العزم إلى الاستمرار. ولا يُستهان بالمجاهدة الصغيرة؛ فمن جاهد نفسه على ركعتين راتبتين كلَّ يوم، فهذا — في ميزان الله — أعظم ممن جاهدها على قيام نصف الليل أسبوعًا ثم انقطع.</w:t>
      </w:r>
    </w:p>
    <w:p>
      <w:pPr>
        <w:bidi/>
        <w:spacing w:after="120" w:before="120" w:line="360"/>
        <w:jc w:val="both"/>
      </w:pPr>
      <w:r>
        <w:rPr>
          <w:rFonts w:ascii="Amiri" w:cs="Amiri" w:eastAsia="Amiri" w:hAnsi="Amiri"/>
          <w:b w:val="false"/>
          <w:bCs w:val="false"/>
          <w:i w:val="false"/>
          <w:iCs w:val="false"/>
          <w:color w:val="000000"/>
          <w:sz w:val="26"/>
          <w:szCs w:val="26"/>
          <w:rtl/>
        </w:rPr>
        <w:t xml:space="preserve">ومن لطائف ربط النصوص بهذه المعاني، أن الله ربط الفلاح بالتزكية، فقال: ﴿قد أفلح من زكاها﴾، وربط التزكية بالمجاهدة المستمرة لا بالحدث الموسمي. فالتزكيةُ تخليةٌ من المعاصي اليومية، وتحليةٌ بالطاعات اليومية، وكلاهما مشروعُ عمر.</w:t>
      </w:r>
    </w:p>
    <w:p>
      <w:pPr>
        <w:pStyle w:val="Heading2"/>
        <w:bidi/>
        <w:spacing w:after="120" w:before="280" w:line="360"/>
        <w:jc w:val="right"/>
      </w:pPr>
      <w:r>
        <w:rPr>
          <w:rFonts w:ascii="Amiri" w:cs="Amiri" w:eastAsia="Amiri" w:hAnsi="Amiri"/>
          <w:b/>
          <w:bCs/>
          <w:i w:val="false"/>
          <w:iCs w:val="false"/>
          <w:color w:val="1F4E79"/>
          <w:sz w:val="30"/>
          <w:szCs w:val="30"/>
          <w:rtl/>
        </w:rPr>
        <w:t xml:space="preserve">سادسًا: كيف نُحوّل الفتور إلى استمرارية؟ — خطواتٌ عمليّة</w:t>
      </w:r>
    </w:p>
    <w:p>
      <w:pPr>
        <w:bidi/>
        <w:spacing w:after="120" w:before="120" w:line="360"/>
        <w:jc w:val="both"/>
      </w:pPr>
      <w:r>
        <w:rPr>
          <w:rFonts w:ascii="Amiri" w:cs="Amiri" w:eastAsia="Amiri" w:hAnsi="Amiri"/>
          <w:b w:val="false"/>
          <w:bCs w:val="false"/>
          <w:i w:val="false"/>
          <w:iCs w:val="false"/>
          <w:color w:val="000000"/>
          <w:sz w:val="26"/>
          <w:szCs w:val="26"/>
          <w:rtl/>
        </w:rPr>
        <w:t xml:space="preserve">أُلخّص لكل نمطٍ، ولكل قارئ، جملةَ وصايا تنفع في تعزيز الاستمرارية:</w:t>
      </w:r>
    </w:p>
    <w:p>
      <w:pPr>
        <w:bidi/>
        <w:spacing w:after="120" w:before="120" w:line="360"/>
        <w:jc w:val="both"/>
      </w:pPr>
      <w:r>
        <w:rPr>
          <w:rFonts w:ascii="Amiri" w:cs="Amiri" w:eastAsia="Amiri" w:hAnsi="Amiri"/>
          <w:b/>
          <w:bCs/>
          <w:i w:val="false"/>
          <w:iCs w:val="false"/>
          <w:color w:val="000000"/>
          <w:sz w:val="26"/>
          <w:szCs w:val="26"/>
          <w:rtl/>
        </w:rPr>
        <w:t xml:space="preserve">أولًا: انقل علاقتك بالعبادة من علاقة «حدث» إلى علاقة «هوية». </w:t>
      </w:r>
      <w:r>
        <w:rPr>
          <w:rFonts w:ascii="Amiri" w:cs="Amiri" w:eastAsia="Amiri" w:hAnsi="Amiri"/>
          <w:b w:val="false"/>
          <w:bCs w:val="false"/>
          <w:i w:val="false"/>
          <w:iCs w:val="false"/>
          <w:color w:val="000000"/>
          <w:sz w:val="26"/>
          <w:szCs w:val="26"/>
          <w:rtl/>
        </w:rPr>
        <w:t xml:space="preserve">لا تقل: «أنا أصوم رمضان»، بل: «أنا عبدٌ لله، والصيامُ شعبةٌ من شعب عبوديتي». الهويةُ تستمر، والحدثُ ينقضي.</w:t>
      </w:r>
    </w:p>
    <w:p>
      <w:pPr>
        <w:bidi/>
        <w:spacing w:after="120" w:before="120" w:line="360"/>
        <w:jc w:val="both"/>
      </w:pPr>
      <w:r>
        <w:rPr>
          <w:rFonts w:ascii="Amiri" w:cs="Amiri" w:eastAsia="Amiri" w:hAnsi="Amiri"/>
          <w:b/>
          <w:bCs/>
          <w:i w:val="false"/>
          <w:iCs w:val="false"/>
          <w:color w:val="000000"/>
          <w:sz w:val="26"/>
          <w:szCs w:val="26"/>
          <w:rtl/>
        </w:rPr>
        <w:t xml:space="preserve">ثانيًا: صغّر العمل ولا تَتركه. </w:t>
      </w:r>
      <w:r>
        <w:rPr>
          <w:rFonts w:ascii="Amiri" w:cs="Amiri" w:eastAsia="Amiri" w:hAnsi="Amiri"/>
          <w:b w:val="false"/>
          <w:bCs w:val="false"/>
          <w:i w:val="false"/>
          <w:iCs w:val="false"/>
          <w:color w:val="000000"/>
          <w:sz w:val="26"/>
          <w:szCs w:val="26"/>
          <w:rtl/>
        </w:rPr>
        <w:t xml:space="preserve">إن عجزتَ عن ختمةٍ في أسبوع فاجعلها في شهر، وإن عجزتَ عن نصف الليل فاكتفِ بركعتين، وإن لم تستطع الدينار فلا تَترك التمرة. القاعدةُ النبوية: «اكلَفُوا من الأعمال ما تطيقون».</w:t>
      </w:r>
    </w:p>
    <w:p>
      <w:pPr>
        <w:bidi/>
        <w:spacing w:after="120" w:before="120" w:line="360"/>
        <w:jc w:val="both"/>
      </w:pPr>
      <w:r>
        <w:rPr>
          <w:rFonts w:ascii="Amiri" w:cs="Amiri" w:eastAsia="Amiri" w:hAnsi="Amiri"/>
          <w:b/>
          <w:bCs/>
          <w:i w:val="false"/>
          <w:iCs w:val="false"/>
          <w:color w:val="000000"/>
          <w:sz w:val="26"/>
          <w:szCs w:val="26"/>
          <w:rtl/>
        </w:rPr>
        <w:t xml:space="preserve">ثالثًا: ابنِ نظامًا، لا حماسة. </w:t>
      </w:r>
      <w:r>
        <w:rPr>
          <w:rFonts w:ascii="Amiri" w:cs="Amiri" w:eastAsia="Amiri" w:hAnsi="Amiri"/>
          <w:b w:val="false"/>
          <w:bCs w:val="false"/>
          <w:i w:val="false"/>
          <w:iCs w:val="false"/>
          <w:color w:val="000000"/>
          <w:sz w:val="26"/>
          <w:szCs w:val="26"/>
          <w:rtl/>
        </w:rPr>
        <w:t xml:space="preserve">الحماسةُ تخفت، والنظامُ يبقى. ورد قرآن يوميّ يسير، أذكار صباح ومساء، صدقةٌ خفيفة. أنظمةٌ صغيرة متَّسقة تصنع التحوّلات الكبرى.</w:t>
      </w:r>
    </w:p>
    <w:p>
      <w:pPr>
        <w:bidi/>
        <w:spacing w:after="120" w:before="120" w:line="360"/>
        <w:jc w:val="both"/>
      </w:pPr>
      <w:r>
        <w:rPr>
          <w:rFonts w:ascii="Amiri" w:cs="Amiri" w:eastAsia="Amiri" w:hAnsi="Amiri"/>
          <w:b/>
          <w:bCs/>
          <w:i w:val="false"/>
          <w:iCs w:val="false"/>
          <w:color w:val="000000"/>
          <w:sz w:val="26"/>
          <w:szCs w:val="26"/>
          <w:rtl/>
        </w:rPr>
        <w:t xml:space="preserve">رابعًا: راقب نفسك بميزان الأسبوع لا اليوم. </w:t>
      </w:r>
      <w:r>
        <w:rPr>
          <w:rFonts w:ascii="Amiri" w:cs="Amiri" w:eastAsia="Amiri" w:hAnsi="Amiri"/>
          <w:b w:val="false"/>
          <w:bCs w:val="false"/>
          <w:i w:val="false"/>
          <w:iCs w:val="false"/>
          <w:color w:val="000000"/>
          <w:sz w:val="26"/>
          <w:szCs w:val="26"/>
          <w:rtl/>
        </w:rPr>
        <w:t xml:space="preserve">اليوم قد يكون فاترًا أو نشيطًا، أما الأسبوع فيكشف الاتجاه الحقيقي.</w:t>
      </w:r>
    </w:p>
    <w:p>
      <w:pPr>
        <w:bidi/>
        <w:spacing w:after="120" w:before="120" w:line="360"/>
        <w:jc w:val="both"/>
      </w:pPr>
      <w:r>
        <w:rPr>
          <w:rFonts w:ascii="Amiri" w:cs="Amiri" w:eastAsia="Amiri" w:hAnsi="Amiri"/>
          <w:b/>
          <w:bCs/>
          <w:i w:val="false"/>
          <w:iCs w:val="false"/>
          <w:color w:val="000000"/>
          <w:sz w:val="26"/>
          <w:szCs w:val="26"/>
          <w:rtl/>
        </w:rPr>
        <w:t xml:space="preserve">خامسًا: اصنع بيئتك. </w:t>
      </w:r>
      <w:r>
        <w:rPr>
          <w:rFonts w:ascii="Amiri" w:cs="Amiri" w:eastAsia="Amiri" w:hAnsi="Amiri"/>
          <w:b w:val="false"/>
          <w:bCs w:val="false"/>
          <w:i w:val="false"/>
          <w:iCs w:val="false"/>
          <w:color w:val="000000"/>
          <w:sz w:val="26"/>
          <w:szCs w:val="26"/>
          <w:rtl/>
        </w:rPr>
        <w:t xml:space="preserve">الصحبةُ ركيزةٌ في الثبات، لا ترفٌ اختياري. قال ﷺ: «المرءُ على دين خليله، فلينظر أحدُكم من يخالل». اختر مسجدًا، وحلقةَ علم، ورفقةَ صالحين، ولا تنتظر أن يأتيك ذلك صدفةً.</w:t>
      </w:r>
    </w:p>
    <w:p>
      <w:pPr>
        <w:bidi/>
        <w:spacing w:after="120" w:before="120" w:line="360"/>
        <w:jc w:val="both"/>
      </w:pPr>
      <w:r>
        <w:rPr>
          <w:rFonts w:ascii="Amiri" w:cs="Amiri" w:eastAsia="Amiri" w:hAnsi="Amiri"/>
          <w:b/>
          <w:bCs/>
          <w:i w:val="false"/>
          <w:iCs w:val="false"/>
          <w:color w:val="000000"/>
          <w:sz w:val="26"/>
          <w:szCs w:val="26"/>
          <w:rtl/>
        </w:rPr>
        <w:t xml:space="preserve">سادسًا: لا تيأس بعد سقطة. </w:t>
      </w:r>
      <w:r>
        <w:rPr>
          <w:rFonts w:ascii="Amiri" w:cs="Amiri" w:eastAsia="Amiri" w:hAnsi="Amiri"/>
          <w:b w:val="false"/>
          <w:bCs w:val="false"/>
          <w:i w:val="false"/>
          <w:iCs w:val="false"/>
          <w:color w:val="000000"/>
          <w:sz w:val="26"/>
          <w:szCs w:val="26"/>
          <w:rtl/>
        </w:rPr>
        <w:t xml:space="preserve">التوبةُ ذاتُها عبادة. «كلُّ ابن آدم خطّاء، وخيرُ الخطّائين التوّابون». المنتكسُ ليس فاشلًا، بل في امتحان.</w:t>
      </w:r>
    </w:p>
    <w:p>
      <w:pPr>
        <w:bidi/>
        <w:spacing w:after="120" w:before="120" w:line="360"/>
        <w:jc w:val="both"/>
      </w:pPr>
      <w:r>
        <w:rPr>
          <w:rFonts w:ascii="Amiri" w:cs="Amiri" w:eastAsia="Amiri" w:hAnsi="Amiri"/>
          <w:b/>
          <w:bCs/>
          <w:i w:val="false"/>
          <w:iCs w:val="false"/>
          <w:color w:val="000000"/>
          <w:sz w:val="26"/>
          <w:szCs w:val="26"/>
          <w:rtl/>
        </w:rPr>
        <w:t xml:space="preserve">سابعًا: تذكّر أن الله لا يَمَلّ حتى تَملّوا. </w:t>
      </w:r>
      <w:r>
        <w:rPr>
          <w:rFonts w:ascii="Amiri" w:cs="Amiri" w:eastAsia="Amiri" w:hAnsi="Amiri"/>
          <w:b w:val="false"/>
          <w:bCs w:val="false"/>
          <w:i w:val="false"/>
          <w:iCs w:val="false"/>
          <w:color w:val="000000"/>
          <w:sz w:val="26"/>
          <w:szCs w:val="26"/>
          <w:rtl/>
        </w:rPr>
        <w:t xml:space="preserve">الباب لا يُغلق ما دمتَ تطرقه. والقليلُ مع الله بركةٌ، والكثيرُ بلا استمرارٍ هباء.</w:t>
      </w:r>
    </w:p>
    <w:p>
      <w:pPr>
        <w:pStyle w:val="Heading2"/>
        <w:bidi/>
        <w:spacing w:after="120" w:before="280" w:line="360"/>
        <w:jc w:val="right"/>
      </w:pPr>
      <w:r>
        <w:rPr>
          <w:rFonts w:ascii="Amiri" w:cs="Amiri" w:eastAsia="Amiri" w:hAnsi="Amiri"/>
          <w:b/>
          <w:bCs/>
          <w:i w:val="false"/>
          <w:iCs w:val="false"/>
          <w:color w:val="1F4E79"/>
          <w:sz w:val="30"/>
          <w:szCs w:val="30"/>
          <w:rtl/>
        </w:rPr>
        <w:t xml:space="preserve">سابعًا: أيُّ نمطٍ أنت؟ — وقفةُ المرآة</w:t>
      </w:r>
    </w:p>
    <w:p>
      <w:pPr>
        <w:bidi/>
        <w:spacing w:after="120" w:before="120" w:line="360"/>
        <w:jc w:val="both"/>
      </w:pPr>
      <w:r>
        <w:rPr>
          <w:rFonts w:ascii="Amiri" w:cs="Amiri" w:eastAsia="Amiri" w:hAnsi="Amiri"/>
          <w:b w:val="false"/>
          <w:bCs w:val="false"/>
          <w:i w:val="false"/>
          <w:iCs w:val="false"/>
          <w:color w:val="000000"/>
          <w:sz w:val="26"/>
          <w:szCs w:val="26"/>
          <w:rtl/>
        </w:rPr>
        <w:t xml:space="preserve">اقرأ الأنماط السبعة مرّةً أخرى، واسأل نفسك بصدق: في أيِّ نمطٍ أرى نفسي أكثر؟ هل أنا أُحرّك بالأرقام والحسنات الكبيرة؟ هل ينتهي ديني بانتهاء الموسم؟ هل دموعي في المجلس أبلغُ من قراري بعده؟ هل أنا ضحيةُ المثالية فأهجر القليل؟ هل ثباتي معلّقٌ بمن حولي؟ هل أعدُ نفسي كلَّ ليلةٍ أن أبدأ غدًا؟ هل أنا في دائرةٍ من السقوط والقيام لا تنتهي؟</w:t>
      </w:r>
    </w:p>
    <w:p>
      <w:pPr>
        <w:bidi/>
        <w:spacing w:after="120" w:before="120" w:line="360"/>
        <w:jc w:val="both"/>
      </w:pPr>
      <w:r>
        <w:rPr>
          <w:rFonts w:ascii="Amiri" w:cs="Amiri" w:eastAsia="Amiri" w:hAnsi="Amiri"/>
          <w:b w:val="false"/>
          <w:bCs w:val="false"/>
          <w:i w:val="false"/>
          <w:iCs w:val="false"/>
          <w:color w:val="000000"/>
          <w:sz w:val="26"/>
          <w:szCs w:val="26"/>
          <w:rtl/>
        </w:rPr>
        <w:t xml:space="preserve">لا تكتفِ بالقراءة، بل اكتب على ورقةٍ نمطَك الأقرب، ثم اكتب تحته خطوةً واحدة فقط ستلتزم بها هذا الأسبوع. خطوةٌ صغيرة، واضحة، قابلةٌ للقياس. هذه الورقةُ — على بساطتها — قد تكون أعظمَ ما تأخذه من هذا المقال.</w:t>
      </w:r>
    </w:p>
    <w:p>
      <w:pPr>
        <w:pStyle w:val="Heading2"/>
        <w:bidi/>
        <w:spacing w:after="120" w:before="280" w:line="360"/>
        <w:jc w:val="right"/>
      </w:pPr>
      <w:r>
        <w:rPr>
          <w:rFonts w:ascii="Amiri" w:cs="Amiri" w:eastAsia="Amiri" w:hAnsi="Amiri"/>
          <w:b/>
          <w:bCs/>
          <w:i w:val="false"/>
          <w:iCs w:val="false"/>
          <w:color w:val="1F4E79"/>
          <w:sz w:val="30"/>
          <w:szCs w:val="30"/>
          <w:rtl/>
        </w:rPr>
        <w:t xml:space="preserve">خاتمة: ثبات النص يدعو إلى ثبات النفس</w:t>
      </w:r>
    </w:p>
    <w:p>
      <w:pPr>
        <w:bidi/>
        <w:spacing w:after="120" w:before="120" w:line="360"/>
        <w:jc w:val="both"/>
      </w:pPr>
      <w:r>
        <w:rPr>
          <w:rFonts w:ascii="Amiri" w:cs="Amiri" w:eastAsia="Amiri" w:hAnsi="Amiri"/>
          <w:b w:val="false"/>
          <w:bCs w:val="false"/>
          <w:i w:val="false"/>
          <w:iCs w:val="false"/>
          <w:color w:val="000000"/>
          <w:sz w:val="26"/>
          <w:szCs w:val="26"/>
          <w:rtl/>
        </w:rPr>
        <w:t xml:space="preserve">تضافرت النصوصُ على معنى واحد، فلتلتقِ النفوسُ عند هذا المعنى. إن الذي خلقنا يعلم أنّنا نضعف، ولكنه يدعونا إلى ألا نستسلم. ويعلم أنّنا نقصّر، ولكنه يدعونا إلى ألا نُقاطع. ويعلم أنّ المواسم تنقضي، ولكنه يدعونا إلى أن نُبقي شيئًا من نورها يُضيء بقيّةَ العام.</w:t>
      </w:r>
    </w:p>
    <w:p>
      <w:pPr>
        <w:bidi/>
        <w:spacing w:after="120" w:before="120" w:line="360"/>
        <w:jc w:val="both"/>
      </w:pPr>
      <w:r>
        <w:rPr>
          <w:rFonts w:ascii="Amiri" w:cs="Amiri" w:eastAsia="Amiri" w:hAnsi="Amiri"/>
          <w:b w:val="false"/>
          <w:bCs w:val="false"/>
          <w:i w:val="false"/>
          <w:iCs w:val="false"/>
          <w:color w:val="000000"/>
          <w:sz w:val="26"/>
          <w:szCs w:val="26"/>
          <w:rtl/>
        </w:rPr>
        <w:t xml:space="preserve">ما بعد رمضان ليس فراغًا، بل امتدادًا. وما بعد الموسم ليس نهايةً، بل بدايةً جديدة. والاستمراريةُ ليست أن تَبقى في قمّة الجبل، بل أن تَنزل إلى الوادي دون أن تنكسر؛ النصوصُ تَدلّك على الطريق، والنفسُ هي التي تَسير، والمؤمنُ الحقيقي هو من جعل من رمضان «محطةَ شحنٍ» لا «حفلةَ وداع».</w:t>
      </w:r>
    </w:p>
    <w:p>
      <w:pPr>
        <w:bidi/>
        <w:spacing w:after="360" w:before="240" w:line="360"/>
        <w:jc w:val="center"/>
      </w:pPr>
      <w:r>
        <w:rPr>
          <w:rFonts w:ascii="Amiri" w:cs="Amiri" w:eastAsia="Amiri" w:hAnsi="Amiri"/>
          <w:b/>
          <w:bCs/>
          <w:i w:val="false"/>
          <w:iCs w:val="false"/>
          <w:color w:val="1F4E79"/>
          <w:sz w:val="26"/>
          <w:szCs w:val="26"/>
          <w:rtl/>
        </w:rPr>
        <w:t xml:space="preserve">اللهم اجعلنا من الذين «ثم استقاموا»، واجعل أعمالنا ديمةً كهديِ نبيِّك ﷺ، واجعل قلوبَنا ثابتةً على دينك حتى نلقاك.</w:t>
      </w:r>
    </w:p>
    <w:p>
      <w:pPr>
        <w:pBdr>
          <w:top w:val="single" w:color="888888" w:sz="6" w:space="8"/>
        </w:pBdr>
        <w:bidi/>
        <w:spacing w:after="60" w:before="480" w:line="320"/>
        <w:jc w:val="center"/>
      </w:pPr>
      <w:r>
        <w:rPr>
          <w:rFonts w:ascii="Amiri" w:cs="Amiri" w:eastAsia="Amiri" w:hAnsi="Amiri"/>
          <w:i/>
          <w:iCs/>
          <w:color w:val="666666"/>
          <w:sz w:val="20"/>
          <w:szCs w:val="20"/>
          <w:rtl/>
        </w:rPr>
        <w:t xml:space="preserve">مسجد الأكاديمية الأمريكية للأئمة (AIA Masjid) — 5206 Ben Davis Rd, Sachse TX 75048</w:t>
      </w:r>
    </w:p>
    <w:p>
      <w:pPr>
        <w:bidi/>
        <w:spacing w:after="0" w:before="0" w:line="320"/>
        <w:jc w:val="center"/>
      </w:pPr>
      <w:r>
        <w:rPr>
          <w:rFonts w:ascii="Amiri" w:cs="Amiri" w:eastAsia="Amiri" w:hAnsi="Amiri"/>
          <w:i/>
          <w:iCs/>
          <w:color w:val="666666"/>
          <w:sz w:val="20"/>
          <w:szCs w:val="20"/>
          <w:rtl/>
        </w:rPr>
        <w:t xml:space="preserve">اللقاء الشهري — الجمعة 3 إبريل 2026م</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miri" w:cs="Amiri" w:eastAsia="Amiri" w:hAnsi="Amiri"/>
      <w:b/>
      <w:bCs/>
      <w:color w:val="1F4E79"/>
      <w:sz w:val="40"/>
      <w:szCs w:val="40"/>
    </w:rPr>
  </w:style>
  <w:style w:type="paragraph" w:styleId="Heading2">
    <w:name w:val="Heading 2"/>
    <w:basedOn w:val="Normal"/>
    <w:next w:val="Normal"/>
    <w:qFormat/>
    <w:pPr>
      <w:spacing w:after="120" w:before="280"/>
      <w:outlineLvl w:val="1"/>
    </w:pPr>
    <w:rPr>
      <w:rFonts w:ascii="Amiri" w:cs="Amiri" w:eastAsia="Amiri" w:hAnsi="Ami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2026-05-17T23:48:24.030Z</dcterms:created>
  <dcterms:modified xsi:type="dcterms:W3CDTF">2026-05-17T23:48:24.030Z</dcterms:modified>
</cp:coreProperties>
</file>

<file path=docProps/custom.xml><?xml version="1.0" encoding="utf-8"?>
<Properties xmlns="http://schemas.openxmlformats.org/officeDocument/2006/custom-properties" xmlns:vt="http://schemas.openxmlformats.org/officeDocument/2006/docPropsVTypes"/>
</file>