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line="276"/>
        <w:jc w:val="center"/>
      </w:pPr>
      <w:r>
        <w:rPr>
          <w:rFonts w:ascii="Arial" w:cs="Arial" w:eastAsia="Arial" w:hAnsi="Arial"/>
          <w:b/>
          <w:bCs/>
          <w:color w:val="1B2A4A"/>
          <w:sz w:val="36"/>
          <w:szCs w:val="36"/>
        </w:rPr>
        <w:t xml:space="preserve">CRITIQ PEER REVIEW REPORT</w:t>
      </w:r>
    </w:p>
    <w:p>
      <w:pPr>
        <w:spacing w:after="60" w:before="0" w:line="276"/>
        <w:jc w:val="center"/>
      </w:pPr>
      <w:r>
        <w:rPr>
          <w:rFonts w:ascii="Garamond" w:cs="Garamond" w:eastAsia="Garamond" w:hAnsi="Garamond"/>
          <w:b w:val="false"/>
          <w:bCs w:val="false"/>
          <w:i/>
          <w:iCs/>
          <w:color w:val="2E5D8E"/>
          <w:sz w:val="22"/>
          <w:szCs w:val="22"/>
        </w:rPr>
        <w:t xml:space="preserve">Immigrant Tax Filing Assistant: A Profile-Aware RAG System for Nonresident Alien Tax Guidance</w:t>
      </w:r>
    </w:p>
    <w:p>
      <w:pPr>
        <w:pBdr>
          <w:bottom w:val="single" w:color="2E5D8E" w:sz="6" w:space="4"/>
        </w:pBdr>
        <w:spacing w:after="400" w:before="0" w:line="276"/>
        <w:jc w:val="center"/>
      </w:pPr>
      <w:r>
        <w:rPr>
          <w:rFonts w:ascii="Garamond" w:cs="Garamond" w:eastAsia="Garamond" w:hAnsi="Garamond"/>
          <w:b w:val="false"/>
          <w:bCs w:val="false"/>
          <w:i w:val="false"/>
          <w:iCs w:val="false"/>
          <w:color w:val="777777"/>
          <w:sz w:val="18"/>
          <w:szCs w:val="18"/>
        </w:rPr>
        <w:t xml:space="preserve">Reviewed by CRITIQ  ·  Eight-Dimension Standard  ·  April 2025</w:t>
      </w:r>
    </w:p>
    <w:p>
      <w:pPr>
        <w:pStyle w:val="Heading1"/>
        <w:pBdr>
          <w:bottom w:val="single" w:color="2E5D8E" w:sz="8" w:space="6"/>
        </w:pBdr>
        <w:spacing w:after="160" w:before="400"/>
      </w:pPr>
      <w:r>
        <w:rPr>
          <w:rFonts w:ascii="Arial" w:cs="Arial" w:eastAsia="Arial" w:hAnsi="Arial"/>
          <w:b/>
          <w:bCs/>
          <w:color w:val="1B2A4A"/>
          <w:sz w:val="28"/>
          <w:szCs w:val="28"/>
        </w:rPr>
        <w:t xml:space="preserve">VERDICT</w:t>
      </w:r>
    </w:p>
    <w:p>
      <w:pPr>
        <w:spacing w:after="160" w:before="0" w:line="300"/>
        <w:jc w:val="left"/>
      </w:pPr>
      <w:r>
        <w:rPr>
          <w:rFonts w:ascii="Garamond" w:cs="Garamond" w:eastAsia="Garamond" w:hAnsi="Garamond"/>
          <w:b w:val="false"/>
          <w:bCs w:val="false"/>
          <w:i w:val="false"/>
          <w:iCs w:val="false"/>
          <w:color w:val="1A1A1A"/>
          <w:sz w:val="21"/>
          <w:szCs w:val="21"/>
        </w:rPr>
        <w:t xml:space="preserve">This paper describes a well-motivated system that addresses a genuine and underserved need: multilingual, visa-aware tax guidance for international students and workers in the United States. The engineering is thoughtful — the re-ranking pipeline, citation-mandatory prompt design, and CPA escalation layer are each defensible design decisions with documented rationale. The paper belongs in a venue focused on applied NLP systems or human-computer interaction.</w:t>
      </w:r>
    </w:p>
    <w:p>
      <w:pPr>
        <w:spacing w:after="160" w:before="0" w:line="300"/>
        <w:jc w:val="left"/>
      </w:pPr>
      <w:r>
        <w:rPr>
          <w:rFonts w:ascii="Garamond" w:cs="Garamond" w:eastAsia="Garamond" w:hAnsi="Garamond"/>
          <w:b w:val="false"/>
          <w:bCs w:val="false"/>
          <w:i w:val="false"/>
          <w:iCs w:val="false"/>
          <w:color w:val="1A1A1A"/>
          <w:sz w:val="21"/>
          <w:szCs w:val="21"/>
        </w:rPr>
        <w:t xml:space="preserve">However, as currently constituted, the evaluation cannot support the accuracy claims made. Ten queries scored post-hoc, an LLM-as-judge whose prompt and independence from the generator are undocumented, and a binary correctness criterion that conflates retrieval quality with answer quality — together, these reduce the quantitative results to illustrative figures, not validated metrics. The paper must be reframed accordingly before submission.</w:t>
      </w:r>
    </w:p>
    <w:p>
      <w:pPr>
        <w:spacing w:after="160" w:before="0" w:line="276"/>
        <w:jc w:val="left"/>
      </w:pPr>
      <w:r>
        <w:rPr>
          <w:rFonts w:ascii="Garamond" w:cs="Garamond" w:eastAsia="Garamond" w:hAnsi="Garamond"/>
          <w:b/>
          <w:bCs/>
          <w:i w:val="false"/>
          <w:iCs w:val="false"/>
          <w:color w:val="1A1A1A"/>
          <w:sz w:val="21"/>
          <w:szCs w:val="21"/>
        </w:rPr>
        <w:t xml:space="preserve">Recommended disposition: Major Revision. The system is submittable; the evaluation framing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B00020" w:val="clear"/>
          </w:tcPr>
          <w:p/>
        </w:tc>
        <w:tc>
          <w:tcPr>
            <w:tcW w:type="dxa" w:w="9160"/>
            <w:tcBorders>
              <w:top w:val="single" w:color="D8DCE3" w:sz="1"/>
              <w:left w:val="none" w:color="FFFFFF" w:sz="0"/>
              <w:bottom w:val="single" w:color="D8DCE3" w:sz="1"/>
              <w:right w:val="single" w:color="D8DCE3" w:sz="1"/>
            </w:tcBorders>
            <w:shd w:fill="FFF0F0" w:val="clear"/>
            <w:tcMar>
              <w:top w:type="dxa" w:w="120"/>
              <w:left w:type="dxa" w:w="180"/>
              <w:bottom w:type="dxa" w:w="120"/>
              <w:right w:type="dxa" w:w="180"/>
            </w:tcMar>
          </w:tcPr>
          <w:p>
            <w:pPr>
              <w:spacing w:after="60"/>
            </w:pPr>
            <w:r>
              <w:rPr>
                <w:rFonts w:ascii="Arial" w:cs="Arial" w:eastAsia="Arial" w:hAnsi="Arial"/>
                <w:b/>
                <w:bCs/>
                <w:color w:val="B00020"/>
                <w:sz w:val="20"/>
                <w:szCs w:val="20"/>
              </w:rPr>
              <w:t xml:space="preserve">CRITICAL FLAG — READ BEFORE PROCEEDING</w:t>
            </w:r>
          </w:p>
          <w:p>
            <w:pPr>
              <w:spacing w:after="0"/>
              <w:jc w:val="left"/>
            </w:pPr>
            <w:r>
              <w:rPr>
                <w:rFonts w:ascii="Garamond" w:cs="Garamond" w:eastAsia="Garamond" w:hAnsi="Garamond"/>
                <w:b w:val="false"/>
                <w:bCs w:val="false"/>
                <w:i w:val="false"/>
                <w:iCs w:val="false"/>
                <w:color w:val="1A1A1A"/>
                <w:sz w:val="20"/>
                <w:szCs w:val="20"/>
              </w:rPr>
              <w:t xml:space="preserve">The word 'accuracy' appears multiple times in the Results without a defined rubric. A reviewer will reject on this alone. The fix is not new experiments — it is explicit methodology documentation. See Ranked Finding #1.</w:t>
            </w:r>
          </w:p>
        </w:tc>
      </w:tr>
    </w:tbl>
    <w:p/>
    <w:p>
      <w:pPr>
        <w:pStyle w:val="Heading1"/>
        <w:pBdr>
          <w:bottom w:val="single" w:color="2E5D8E" w:sz="8" w:space="6"/>
        </w:pBdr>
        <w:spacing w:after="160" w:before="400"/>
      </w:pPr>
      <w:r>
        <w:rPr>
          <w:rFonts w:ascii="Arial" w:cs="Arial" w:eastAsia="Arial" w:hAnsi="Arial"/>
          <w:b/>
          <w:bCs/>
          <w:color w:val="1B2A4A"/>
          <w:sz w:val="28"/>
          <w:szCs w:val="28"/>
        </w:rPr>
        <w:t xml:space="preserve">1. STRUCTURAL DIAGNOSIS</w:t>
      </w:r>
    </w:p>
    <w:p>
      <w:pPr>
        <w:pStyle w:val="Heading2"/>
        <w:spacing w:after="120" w:before="300"/>
      </w:pPr>
      <w:r>
        <w:rPr>
          <w:rFonts w:ascii="Arial" w:cs="Arial" w:eastAsia="Arial" w:hAnsi="Arial"/>
          <w:b/>
          <w:bCs/>
          <w:color w:val="2E5D8E"/>
          <w:sz w:val="24"/>
          <w:szCs w:val="24"/>
        </w:rPr>
        <w:t xml:space="preserve">1.1 Title &amp; Abstract</w:t>
      </w:r>
    </w:p>
    <w:p>
      <w:pPr>
        <w:spacing w:after="160" w:before="0" w:line="300"/>
        <w:jc w:val="left"/>
      </w:pPr>
      <w:r>
        <w:rPr>
          <w:rFonts w:ascii="Garamond" w:cs="Garamond" w:eastAsia="Garamond" w:hAnsi="Garamond"/>
          <w:b w:val="false"/>
          <w:bCs w:val="false"/>
          <w:i w:val="false"/>
          <w:iCs w:val="false"/>
          <w:color w:val="1A1A1A"/>
          <w:sz w:val="22"/>
          <w:szCs w:val="22"/>
        </w:rPr>
        <w:t xml:space="preserve">The title is accurate and specific. 'Profile-Aware RAG System' signals the technical contribution clearly; 'Nonresident Alien Tax Guidance' delimits the domain without jargon overreach. Minor note: 'Immigrant' in the title is slightly broader than the system's actual scope — the system serves nonresident aliens, a legal classification that excludes most permanent residents and naturalized immigrants. Consider whether 'International Student and Worker' is a more precise framing.</w:t>
      </w:r>
    </w:p>
    <w:p>
      <w:pPr>
        <w:spacing w:after="160" w:before="0" w:line="300"/>
        <w:jc w:val="left"/>
      </w:pPr>
      <w:r>
        <w:rPr>
          <w:rFonts w:ascii="Garamond" w:cs="Garamond" w:eastAsia="Garamond" w:hAnsi="Garamond"/>
          <w:b w:val="false"/>
          <w:bCs w:val="false"/>
          <w:i w:val="false"/>
          <w:iCs w:val="false"/>
          <w:color w:val="1A1A1A"/>
          <w:sz w:val="22"/>
          <w:szCs w:val="22"/>
        </w:rPr>
        <w:t xml:space="preserve">No abstract has been provided in the source material. The IMRaD draft produced below includes a full abstract. Flag for author review before submission.</w:t>
      </w:r>
    </w:p>
    <w:p>
      <w:pPr>
        <w:pStyle w:val="Heading2"/>
        <w:spacing w:after="120" w:before="300"/>
      </w:pPr>
      <w:r>
        <w:rPr>
          <w:rFonts w:ascii="Arial" w:cs="Arial" w:eastAsia="Arial" w:hAnsi="Arial"/>
          <w:b/>
          <w:bCs/>
          <w:color w:val="2E5D8E"/>
          <w:sz w:val="24"/>
          <w:szCs w:val="24"/>
        </w:rPr>
        <w:t xml:space="preserve">1.2 Introduction</w:t>
      </w:r>
    </w:p>
    <w:p>
      <w:pPr>
        <w:spacing w:after="160" w:before="0" w:line="300"/>
        <w:jc w:val="left"/>
      </w:pPr>
      <w:r>
        <w:rPr>
          <w:rFonts w:ascii="Garamond" w:cs="Garamond" w:eastAsia="Garamond" w:hAnsi="Garamond"/>
          <w:b w:val="false"/>
          <w:bCs w:val="false"/>
          <w:i w:val="false"/>
          <w:iCs w:val="false"/>
          <w:color w:val="1A1A1A"/>
          <w:sz w:val="22"/>
          <w:szCs w:val="22"/>
        </w:rPr>
        <w:t xml:space="preserve">The problem framing is strong: the $200–500 CPA cost, the 1 million-person target population, and the inadequacy of generic tools like TurboTax constitute a coherent gap argument. The research question is specific and testable: 'Can a RAG system with citation-mandatory prompt engineering provide accurate, grounded tax guidance while maintaining safety through automatic escalation?' This is a well-formed system design question.</w:t>
      </w:r>
    </w:p>
    <w:p>
      <w:pPr>
        <w:spacing w:after="160" w:before="0" w:line="300"/>
        <w:jc w:val="left"/>
      </w:pPr>
      <w:r>
        <w:rPr>
          <w:rFonts w:ascii="Garamond" w:cs="Garamond" w:eastAsia="Garamond" w:hAnsi="Garamond"/>
          <w:b w:val="false"/>
          <w:bCs w:val="false"/>
          <w:i w:val="false"/>
          <w:iCs w:val="false"/>
          <w:color w:val="1A1A1A"/>
          <w:sz w:val="22"/>
          <w:szCs w:val="22"/>
        </w:rPr>
        <w:t xml:space="preserve">Gap: The Introduction does not cite prior work on RAG systems for legal or regulatory domains, tax chatbots, or prior NLP approaches to cross-jurisdiction guidance. A reviewer will ask what distinguishes this system from prior art. At minimum, the gap statement needs two or three literature anchors — even if only to note that prior systems lacked profile-aware retrieval or citation enforcement.</w:t>
      </w:r>
    </w:p>
    <w:p>
      <w:pPr>
        <w:pStyle w:val="Heading2"/>
        <w:spacing w:after="120" w:before="300"/>
      </w:pPr>
      <w:r>
        <w:rPr>
          <w:rFonts w:ascii="Arial" w:cs="Arial" w:eastAsia="Arial" w:hAnsi="Arial"/>
          <w:b/>
          <w:bCs/>
          <w:color w:val="2E5D8E"/>
          <w:sz w:val="24"/>
          <w:szCs w:val="24"/>
        </w:rPr>
        <w:t xml:space="preserve">1.3 Flow &amp; Logic (Reverse Outline Test)</w:t>
      </w:r>
    </w:p>
    <w:p>
      <w:pPr>
        <w:spacing w:after="160" w:before="0" w:line="300"/>
        <w:jc w:val="left"/>
      </w:pPr>
      <w:r>
        <w:rPr>
          <w:rFonts w:ascii="Garamond" w:cs="Garamond" w:eastAsia="Garamond" w:hAnsi="Garamond"/>
          <w:b w:val="false"/>
          <w:bCs w:val="false"/>
          <w:i w:val="false"/>
          <w:iCs w:val="false"/>
          <w:color w:val="1A1A1A"/>
          <w:sz w:val="22"/>
          <w:szCs w:val="22"/>
        </w:rPr>
        <w:t xml:space="preserve">The logical spine is sound: problem → system design → evaluation → limitations → future work. The re-ranking story (40% → 80% retrieval accuracy) is the paper's strongest narrative arc and should be foregrounded more explicitly in the abstract and conclusion. One structural risk: the Results section presents five different metrics with no unifying framework. A reader cannot easily answer 'so how well does it work overall?' A brief Results preamble that orders the metrics by what they measure would fix this.</w:t>
      </w:r>
    </w:p>
    <w:p/>
    <w:p>
      <w:pPr>
        <w:pStyle w:val="Heading1"/>
        <w:pBdr>
          <w:bottom w:val="single" w:color="2E5D8E" w:sz="8" w:space="6"/>
        </w:pBdr>
        <w:spacing w:after="160" w:before="400"/>
      </w:pPr>
      <w:r>
        <w:rPr>
          <w:rFonts w:ascii="Arial" w:cs="Arial" w:eastAsia="Arial" w:hAnsi="Arial"/>
          <w:b/>
          <w:bCs/>
          <w:color w:val="1B2A4A"/>
          <w:sz w:val="28"/>
          <w:szCs w:val="28"/>
        </w:rPr>
        <w:t xml:space="preserve">2. METHODOLOGICAL REALITY CHECK</w:t>
      </w:r>
    </w:p>
    <w:p>
      <w:pPr>
        <w:pStyle w:val="Heading2"/>
        <w:spacing w:after="120" w:before="300"/>
      </w:pPr>
      <w:r>
        <w:rPr>
          <w:rFonts w:ascii="Arial" w:cs="Arial" w:eastAsia="Arial" w:hAnsi="Arial"/>
          <w:b/>
          <w:bCs/>
          <w:color w:val="2E5D8E"/>
          <w:sz w:val="24"/>
          <w:szCs w:val="24"/>
        </w:rPr>
        <w:t xml:space="preserve">2.1 Replicability Test</w:t>
      </w:r>
    </w:p>
    <w:p>
      <w:pPr>
        <w:spacing w:after="160" w:before="0" w:line="300"/>
        <w:jc w:val="left"/>
      </w:pPr>
      <w:r>
        <w:rPr>
          <w:rFonts w:ascii="Garamond" w:cs="Garamond" w:eastAsia="Garamond" w:hAnsi="Garamond"/>
          <w:b w:val="false"/>
          <w:bCs w:val="false"/>
          <w:i w:val="false"/>
          <w:iCs w:val="false"/>
          <w:color w:val="1A1A1A"/>
          <w:sz w:val="22"/>
          <w:szCs w:val="22"/>
        </w:rPr>
        <w:t xml:space="preserve">The knowledge base construction is documented to a level that would allow partial replication: 23 IRS PDFs + 4 HTML pages, chunk bounds of 200–2,000 characters, all-MiniLM-L6-v2 embeddings, FAISS IndexFlatIP. The re-ranking signal categories (9 signals, 1.1×–1.6× boosts) are named but not fully specified — the exact boost formula and signal weighting must appear in the Methods section or a supplementary appendix for this to be replicable.</w:t>
      </w:r>
    </w:p>
    <w:p>
      <w:pPr>
        <w:spacing w:after="160" w:before="0" w:line="300"/>
        <w:jc w:val="left"/>
      </w:pPr>
      <w:r>
        <w:rPr>
          <w:rFonts w:ascii="Garamond" w:cs="Garamond" w:eastAsia="Garamond" w:hAnsi="Garamond"/>
          <w:b w:val="false"/>
          <w:bCs w:val="false"/>
          <w:i w:val="false"/>
          <w:iCs w:val="false"/>
          <w:color w:val="1A1A1A"/>
          <w:sz w:val="22"/>
          <w:szCs w:val="22"/>
        </w:rPr>
        <w:t xml:space="preserve">The CPA escalation layer uses 24 keywords. These keywords must be listed (in the paper or appendix) for the precision claim to be verifiable. A reviewer cannot evaluate 100% precision on a hidden keyword list.</w:t>
      </w:r>
    </w:p>
    <w:p>
      <w:pPr>
        <w:pStyle w:val="Heading2"/>
        <w:spacing w:after="120" w:before="300"/>
      </w:pPr>
      <w:r>
        <w:rPr>
          <w:rFonts w:ascii="Arial" w:cs="Arial" w:eastAsia="Arial" w:hAnsi="Arial"/>
          <w:b/>
          <w:bCs/>
          <w:color w:val="2E5D8E"/>
          <w:sz w:val="24"/>
          <w:szCs w:val="24"/>
        </w:rPr>
        <w:t xml:space="preserve">2.2 Sampling &amp; Design</w:t>
      </w:r>
    </w:p>
    <w:p>
      <w:pPr>
        <w:spacing w:after="160" w:before="0" w:line="300"/>
        <w:jc w:val="left"/>
      </w:pPr>
      <w:r>
        <w:rPr>
          <w:rFonts w:ascii="Garamond" w:cs="Garamond" w:eastAsia="Garamond" w:hAnsi="Garamond"/>
          <w:b w:val="false"/>
          <w:bCs w:val="false"/>
          <w:i w:val="false"/>
          <w:iCs w:val="false"/>
          <w:color w:val="1A1A1A"/>
          <w:sz w:val="22"/>
          <w:szCs w:val="22"/>
        </w:rPr>
        <w:t xml:space="preserve">The evaluation battery consists of 10 retrieval queries, 5 escalation queries, and 3 SPT calculator inputs. These are proof-of-concept numbers — appropriate for a system paper, not for a claim of 'accuracy.' The key methodological problem is that the test queries were designed after the system was tuned. This creates evaluation contamination: the re-ranker was optimized, and then the system was tested on queries designed with knowledge of the system's behavior. The two retrieval misses (SPT query, fellowship income) may represent the boundaries of the system's coverage rather than a generalizable error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47A1E" w:val="clear"/>
          </w:tcPr>
          <w:p/>
        </w:tc>
        <w:tc>
          <w:tcPr>
            <w:tcW w:type="dxa" w:w="9160"/>
            <w:tcBorders>
              <w:top w:val="single" w:color="D8DCE3" w:sz="1"/>
              <w:left w:val="none" w:color="FFFFFF" w:sz="0"/>
              <w:bottom w:val="single" w:color="D8DCE3" w:sz="1"/>
              <w:right w:val="single" w:color="D8DCE3" w:sz="1"/>
            </w:tcBorders>
            <w:shd w:fill="FFF8EC" w:val="clear"/>
            <w:tcMar>
              <w:top w:type="dxa" w:w="120"/>
              <w:left w:type="dxa" w:w="180"/>
              <w:bottom w:type="dxa" w:w="120"/>
              <w:right w:type="dxa" w:w="180"/>
            </w:tcMar>
          </w:tcPr>
          <w:p>
            <w:pPr>
              <w:spacing w:after="60"/>
            </w:pPr>
            <w:r>
              <w:rPr>
                <w:rFonts w:ascii="Arial" w:cs="Arial" w:eastAsia="Arial" w:hAnsi="Arial"/>
                <w:b/>
                <w:bCs/>
                <w:color w:val="C47A1E"/>
                <w:sz w:val="20"/>
                <w:szCs w:val="20"/>
              </w:rPr>
              <w:t xml:space="preserve">METHODOLOGICAL FLAG</w:t>
            </w:r>
          </w:p>
          <w:p>
            <w:pPr>
              <w:spacing w:after="0"/>
              <w:jc w:val="left"/>
            </w:pPr>
            <w:r>
              <w:rPr>
                <w:rFonts w:ascii="Garamond" w:cs="Garamond" w:eastAsia="Garamond" w:hAnsi="Garamond"/>
                <w:b w:val="false"/>
                <w:bCs w:val="false"/>
                <w:i w:val="false"/>
                <w:iCs w:val="false"/>
                <w:color w:val="1A1A1A"/>
                <w:sz w:val="20"/>
                <w:szCs w:val="20"/>
              </w:rPr>
              <w:t xml:space="preserve">Test queries designed post-hoc, after re-ranker tuning, cannot yield a credible accuracy estimate. The 80% figure should be presented as 'observed performance on a 10-query development probe' rather than 'retrieval accuracy.' This is a reframing, not new data.</w:t>
            </w:r>
          </w:p>
        </w:tc>
      </w:tr>
    </w:tbl>
    <w:p/>
    <w:p>
      <w:pPr>
        <w:pStyle w:val="Heading2"/>
        <w:spacing w:after="120" w:before="300"/>
      </w:pPr>
      <w:r>
        <w:rPr>
          <w:rFonts w:ascii="Arial" w:cs="Arial" w:eastAsia="Arial" w:hAnsi="Arial"/>
          <w:b/>
          <w:bCs/>
          <w:color w:val="2E5D8E"/>
          <w:sz w:val="24"/>
          <w:szCs w:val="24"/>
        </w:rPr>
        <w:t xml:space="preserve">2.3 Execution Details</w:t>
      </w:r>
    </w:p>
    <w:p>
      <w:pPr>
        <w:spacing w:after="160" w:before="0" w:line="300"/>
        <w:jc w:val="left"/>
      </w:pPr>
      <w:r>
        <w:rPr>
          <w:rFonts w:ascii="Garamond" w:cs="Garamond" w:eastAsia="Garamond" w:hAnsi="Garamond"/>
          <w:b w:val="false"/>
          <w:bCs w:val="false"/>
          <w:i w:val="false"/>
          <w:iCs w:val="false"/>
          <w:color w:val="1A1A1A"/>
          <w:sz w:val="22"/>
          <w:szCs w:val="22"/>
        </w:rPr>
        <w:t xml:space="preserve">Temperature = 0.0 is documented and appropriate for a deterministic guidance system. The session history window (last 3 turns) is a design choice that should be justified — why 3? What happens at turn 4? The model used (Groq LLaMA 3.1 8B Instant) is specified, but the version date is not. LLaMA models receive updates; version pinning is necessary for replicability.</w:t>
      </w:r>
    </w:p>
    <w:p>
      <w:pPr>
        <w:pStyle w:val="Heading2"/>
        <w:spacing w:after="120" w:before="300"/>
      </w:pPr>
      <w:r>
        <w:rPr>
          <w:rFonts w:ascii="Arial" w:cs="Arial" w:eastAsia="Arial" w:hAnsi="Arial"/>
          <w:b/>
          <w:bCs/>
          <w:color w:val="2E5D8E"/>
          <w:sz w:val="24"/>
          <w:szCs w:val="24"/>
        </w:rPr>
        <w:t xml:space="preserve">2.4 Regulatory Compliance</w:t>
      </w:r>
    </w:p>
    <w:p>
      <w:pPr>
        <w:spacing w:after="160" w:before="0" w:line="300"/>
        <w:jc w:val="left"/>
      </w:pPr>
      <w:r>
        <w:rPr>
          <w:rFonts w:ascii="Garamond" w:cs="Garamond" w:eastAsia="Garamond" w:hAnsi="Garamond"/>
          <w:b w:val="false"/>
          <w:bCs w:val="false"/>
          <w:i w:val="false"/>
          <w:iCs w:val="false"/>
          <w:color w:val="1A1A1A"/>
          <w:sz w:val="22"/>
          <w:szCs w:val="22"/>
        </w:rPr>
        <w:t xml:space="preserve">The paper should include a disclaimer that the system provides informational guidance, not legal advice, and that users with complex situations should consult a CPA or tax attorney. This is both an ethical requirement and a practical one — the CPA escalation layer implies the authors are aware of this boundary. Document it explicitly.</w:t>
      </w:r>
    </w:p>
    <w:p/>
    <w:p>
      <w:pPr>
        <w:pStyle w:val="Heading1"/>
        <w:pBdr>
          <w:bottom w:val="single" w:color="2E5D8E" w:sz="8" w:space="6"/>
        </w:pBdr>
        <w:spacing w:after="160" w:before="400"/>
      </w:pPr>
      <w:r>
        <w:rPr>
          <w:rFonts w:ascii="Arial" w:cs="Arial" w:eastAsia="Arial" w:hAnsi="Arial"/>
          <w:b/>
          <w:bCs/>
          <w:color w:val="1B2A4A"/>
          <w:sz w:val="28"/>
          <w:szCs w:val="28"/>
        </w:rPr>
        <w:t xml:space="preserve">3. STATISTICAL INTEGRITY</w:t>
      </w:r>
    </w:p>
    <w:p>
      <w:pPr>
        <w:pStyle w:val="Heading2"/>
        <w:spacing w:after="120" w:before="300"/>
      </w:pPr>
      <w:r>
        <w:rPr>
          <w:rFonts w:ascii="Arial" w:cs="Arial" w:eastAsia="Arial" w:hAnsi="Arial"/>
          <w:b/>
          <w:bCs/>
          <w:color w:val="2E5D8E"/>
          <w:sz w:val="24"/>
          <w:szCs w:val="24"/>
        </w:rPr>
        <w:t xml:space="preserve">3.1 Effect Sizes and Confidence Intervals</w:t>
      </w:r>
    </w:p>
    <w:p>
      <w:pPr>
        <w:spacing w:after="160" w:before="0" w:line="300"/>
        <w:jc w:val="left"/>
      </w:pPr>
      <w:r>
        <w:rPr>
          <w:rFonts w:ascii="Garamond" w:cs="Garamond" w:eastAsia="Garamond" w:hAnsi="Garamond"/>
          <w:b w:val="false"/>
          <w:bCs w:val="false"/>
          <w:i w:val="false"/>
          <w:iCs w:val="false"/>
          <w:color w:val="1A1A1A"/>
          <w:sz w:val="22"/>
          <w:szCs w:val="22"/>
        </w:rPr>
        <w:t xml:space="preserve">No confidence intervals are reported for any metric. Given the small n (10, 5, 3), point estimates without intervals are misleading — the true 95% CI for 80% accuracy on n=10 runs from approximately 44% to 97% (Wilson interval). This is not a criticism of the system; it is a calibration requirement. Either report CIs, or explicitly describe the metrics as 'observed development performance' rather than validated accuracy.</w:t>
      </w:r>
    </w:p>
    <w:p>
      <w:pPr>
        <w:pStyle w:val="Heading2"/>
        <w:spacing w:after="120" w:before="300"/>
      </w:pPr>
      <w:r>
        <w:rPr>
          <w:rFonts w:ascii="Arial" w:cs="Arial" w:eastAsia="Arial" w:hAnsi="Arial"/>
          <w:b/>
          <w:bCs/>
          <w:color w:val="2E5D8E"/>
          <w:sz w:val="24"/>
          <w:szCs w:val="24"/>
        </w:rPr>
        <w:t xml:space="preserve">3.2 The LLM-as-Judge Problem</w:t>
      </w:r>
    </w:p>
    <w:p>
      <w:pPr>
        <w:spacing w:after="160" w:before="0" w:line="300"/>
        <w:jc w:val="left"/>
      </w:pPr>
      <w:r>
        <w:rPr>
          <w:rFonts w:ascii="Garamond" w:cs="Garamond" w:eastAsia="Garamond" w:hAnsi="Garamond"/>
          <w:b w:val="false"/>
          <w:bCs w:val="false"/>
          <w:i w:val="false"/>
          <w:iCs w:val="false"/>
          <w:color w:val="1A1A1A"/>
          <w:sz w:val="22"/>
          <w:szCs w:val="22"/>
        </w:rPr>
        <w:t xml:space="preserve">Faithfulness (0.92) and answer relevancy (0.89) were scored by an LLM judge. Three issues must be addressed: (1) The judge model is identified as Groq but the specific model version and whether it is the same model as the generator is undisclosed — same-model judging is a known validity threat. (2) The judge prompt is not documented — without it, the scores are uninterpretable. (3) No inter-rater reliability check was performed (e.g., comparison to human scoring on a subset). These scores should be presented as 'automated quality indicators' with explicit acknowledgment of their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47A1E" w:val="clear"/>
          </w:tcPr>
          <w:p/>
        </w:tc>
        <w:tc>
          <w:tcPr>
            <w:tcW w:type="dxa" w:w="9160"/>
            <w:tcBorders>
              <w:top w:val="single" w:color="D8DCE3" w:sz="1"/>
              <w:left w:val="none" w:color="FFFFFF" w:sz="0"/>
              <w:bottom w:val="single" w:color="D8DCE3" w:sz="1"/>
              <w:right w:val="single" w:color="D8DCE3" w:sz="1"/>
            </w:tcBorders>
            <w:shd w:fill="FFF8EC" w:val="clear"/>
            <w:tcMar>
              <w:top w:type="dxa" w:w="120"/>
              <w:left w:type="dxa" w:w="180"/>
              <w:bottom w:type="dxa" w:w="120"/>
              <w:right w:type="dxa" w:w="180"/>
            </w:tcMar>
          </w:tcPr>
          <w:p>
            <w:pPr>
              <w:spacing w:after="60"/>
            </w:pPr>
            <w:r>
              <w:rPr>
                <w:rFonts w:ascii="Arial" w:cs="Arial" w:eastAsia="Arial" w:hAnsi="Arial"/>
                <w:b/>
                <w:bCs/>
                <w:color w:val="C47A1E"/>
                <w:sz w:val="20"/>
                <w:szCs w:val="20"/>
              </w:rPr>
              <w:t xml:space="preserve">STATISTICAL FLAG</w:t>
            </w:r>
          </w:p>
          <w:p>
            <w:pPr>
              <w:spacing w:after="0"/>
              <w:jc w:val="left"/>
            </w:pPr>
            <w:r>
              <w:rPr>
                <w:rFonts w:ascii="Garamond" w:cs="Garamond" w:eastAsia="Garamond" w:hAnsi="Garamond"/>
                <w:b w:val="false"/>
                <w:bCs w:val="false"/>
                <w:i w:val="false"/>
                <w:iCs w:val="false"/>
                <w:color w:val="1A1A1A"/>
                <w:sz w:val="20"/>
                <w:szCs w:val="20"/>
              </w:rPr>
              <w:t xml:space="preserve">The faithfulness and relevancy scores are the paper's most cited quantitative results and its most methodologically vulnerable. Reframe them, document the judge prompt, and clarify judge-generator independence — or a reviewer will do it for you, less kindly.</w:t>
            </w:r>
          </w:p>
        </w:tc>
      </w:tr>
    </w:tbl>
    <w:p/>
    <w:p>
      <w:pPr>
        <w:pStyle w:val="Heading2"/>
        <w:spacing w:after="120" w:before="300"/>
      </w:pPr>
      <w:r>
        <w:rPr>
          <w:rFonts w:ascii="Arial" w:cs="Arial" w:eastAsia="Arial" w:hAnsi="Arial"/>
          <w:b/>
          <w:bCs/>
          <w:color w:val="2E5D8E"/>
          <w:sz w:val="24"/>
          <w:szCs w:val="24"/>
        </w:rPr>
        <w:t xml:space="preserve">3.3 Multiple Comparisons and HARKing</w:t>
      </w:r>
    </w:p>
    <w:p>
      <w:pPr>
        <w:spacing w:after="160" w:before="0" w:line="300"/>
        <w:jc w:val="left"/>
      </w:pPr>
      <w:r>
        <w:rPr>
          <w:rFonts w:ascii="Garamond" w:cs="Garamond" w:eastAsia="Garamond" w:hAnsi="Garamond"/>
          <w:b w:val="false"/>
          <w:bCs w:val="false"/>
          <w:i w:val="false"/>
          <w:iCs w:val="false"/>
          <w:color w:val="1A1A1A"/>
          <w:sz w:val="22"/>
          <w:szCs w:val="22"/>
        </w:rPr>
        <w:t xml:space="preserve">No multiple comparisons issue — the metrics are independent by design. No evidence of HARKing (Hypothesizing After Results are Known) — the system goals (retrieval accuracy, escalation precision, SPT accuracy) appear to have been defined before evaluation. No selective reporting detected; the two retrieval misses are disclosed.</w:t>
      </w:r>
    </w:p>
    <w:p/>
    <w:p>
      <w:pPr>
        <w:pStyle w:val="Heading1"/>
        <w:pBdr>
          <w:bottom w:val="single" w:color="2E5D8E" w:sz="8" w:space="6"/>
        </w:pBdr>
        <w:spacing w:after="160" w:before="400"/>
      </w:pPr>
      <w:r>
        <w:rPr>
          <w:rFonts w:ascii="Arial" w:cs="Arial" w:eastAsia="Arial" w:hAnsi="Arial"/>
          <w:b/>
          <w:bCs/>
          <w:color w:val="1B2A4A"/>
          <w:sz w:val="28"/>
          <w:szCs w:val="28"/>
        </w:rPr>
        <w:t xml:space="preserve">4. RESULTS &amp; DISCUSSION COHERENCE</w:t>
      </w:r>
    </w:p>
    <w:p>
      <w:pPr>
        <w:pStyle w:val="Heading2"/>
        <w:spacing w:after="120" w:before="300"/>
      </w:pPr>
      <w:r>
        <w:rPr>
          <w:rFonts w:ascii="Arial" w:cs="Arial" w:eastAsia="Arial" w:hAnsi="Arial"/>
          <w:b/>
          <w:bCs/>
          <w:color w:val="2E5D8E"/>
          <w:sz w:val="24"/>
          <w:szCs w:val="24"/>
        </w:rPr>
        <w:t xml:space="preserve">4.1 Results Section</w:t>
      </w:r>
    </w:p>
    <w:p>
      <w:pPr>
        <w:spacing w:after="160" w:before="0" w:line="300"/>
        <w:jc w:val="left"/>
      </w:pPr>
      <w:r>
        <w:rPr>
          <w:rFonts w:ascii="Garamond" w:cs="Garamond" w:eastAsia="Garamond" w:hAnsi="Garamond"/>
          <w:b w:val="false"/>
          <w:bCs w:val="false"/>
          <w:i w:val="false"/>
          <w:iCs w:val="false"/>
          <w:color w:val="1A1A1A"/>
          <w:sz w:val="22"/>
          <w:szCs w:val="22"/>
        </w:rPr>
        <w:t xml:space="preserve">The results are reported clearly and the two failure cases (SPT query, fellowship income) are disclosed — this is good practice that should be preserved and expanded in revision. The re-ranking improvement (40% → 80%) is the paper's most compelling empirical result and deserves more detailed reporting: what were the two queries that failed after re-ranking? What did the system return instead of the correct chunk?</w:t>
      </w:r>
    </w:p>
    <w:p>
      <w:pPr>
        <w:pStyle w:val="Heading2"/>
        <w:spacing w:after="120" w:before="300"/>
      </w:pPr>
      <w:r>
        <w:rPr>
          <w:rFonts w:ascii="Arial" w:cs="Arial" w:eastAsia="Arial" w:hAnsi="Arial"/>
          <w:b/>
          <w:bCs/>
          <w:color w:val="2E5D8E"/>
          <w:sz w:val="24"/>
          <w:szCs w:val="24"/>
        </w:rPr>
        <w:t xml:space="preserve">4.2 Discussion and 'So What?' Test</w:t>
      </w:r>
    </w:p>
    <w:p>
      <w:pPr>
        <w:spacing w:after="160" w:before="0" w:line="300"/>
        <w:jc w:val="left"/>
      </w:pPr>
      <w:r>
        <w:rPr>
          <w:rFonts w:ascii="Garamond" w:cs="Garamond" w:eastAsia="Garamond" w:hAnsi="Garamond"/>
          <w:b w:val="false"/>
          <w:bCs w:val="false"/>
          <w:i w:val="false"/>
          <w:iCs w:val="false"/>
          <w:color w:val="1A1A1A"/>
          <w:sz w:val="22"/>
          <w:szCs w:val="22"/>
        </w:rPr>
        <w:t xml:space="preserve">The Discussion (currently embedded in the challenges/solutions section) implicitly answers the so-what question: IRS documents are written in legal register that creates a semantic gap with user queries; topic enrichment and HTML scraping partially bridges this gap. This mechanism story should be made explicit in the Discussion section of the final paper. It is the paper's main theoretical contribution beyond the system itself.</w:t>
      </w:r>
    </w:p>
    <w:p>
      <w:pPr>
        <w:pStyle w:val="Heading2"/>
        <w:spacing w:after="120" w:before="300"/>
      </w:pPr>
      <w:r>
        <w:rPr>
          <w:rFonts w:ascii="Arial" w:cs="Arial" w:eastAsia="Arial" w:hAnsi="Arial"/>
          <w:b/>
          <w:bCs/>
          <w:color w:val="2E5D8E"/>
          <w:sz w:val="24"/>
          <w:szCs w:val="24"/>
        </w:rPr>
        <w:t xml:space="preserve">4.3 Limitations</w:t>
      </w:r>
    </w:p>
    <w:p>
      <w:pPr>
        <w:spacing w:after="160" w:before="0" w:line="300"/>
        <w:jc w:val="left"/>
      </w:pPr>
      <w:r>
        <w:rPr>
          <w:rFonts w:ascii="Garamond" w:cs="Garamond" w:eastAsia="Garamond" w:hAnsi="Garamond"/>
          <w:b w:val="false"/>
          <w:bCs w:val="false"/>
          <w:i w:val="false"/>
          <w:iCs w:val="false"/>
          <w:color w:val="1A1A1A"/>
          <w:sz w:val="22"/>
          <w:szCs w:val="22"/>
        </w:rPr>
        <w:t xml:space="preserve">The limitations are honestly reported: 7 countries only, no state tax, no real-time updates, 2 retrieval misses. Missing from the limitations section: (1) the evaluation contamination issue, (2) the LLM-as-judge validity threat, (3) the absence of real-user testing. These must be added before submission.</w:t>
      </w:r>
    </w:p>
    <w:p/>
    <w:p>
      <w:pPr>
        <w:pStyle w:val="Heading1"/>
        <w:pBdr>
          <w:bottom w:val="single" w:color="2E5D8E" w:sz="8" w:space="6"/>
        </w:pBdr>
        <w:spacing w:after="160" w:before="400"/>
      </w:pPr>
      <w:r>
        <w:rPr>
          <w:rFonts w:ascii="Arial" w:cs="Arial" w:eastAsia="Arial" w:hAnsi="Arial"/>
          <w:b/>
          <w:bCs/>
          <w:color w:val="1B2A4A"/>
          <w:sz w:val="28"/>
          <w:szCs w:val="28"/>
        </w:rPr>
        <w:t xml:space="preserve">5. WRITING AS DESIGN</w:t>
      </w:r>
    </w:p>
    <w:p>
      <w:pPr>
        <w:pStyle w:val="Heading2"/>
        <w:spacing w:after="120" w:before="300"/>
      </w:pPr>
      <w:r>
        <w:rPr>
          <w:rFonts w:ascii="Arial" w:cs="Arial" w:eastAsia="Arial" w:hAnsi="Arial"/>
          <w:b/>
          <w:bCs/>
          <w:color w:val="2E5D8E"/>
          <w:sz w:val="24"/>
          <w:szCs w:val="24"/>
        </w:rPr>
        <w:t xml:space="preserve">5.1 Claim Calibration</w:t>
      </w:r>
    </w:p>
    <w:p>
      <w:pPr>
        <w:spacing w:after="160" w:before="0" w:line="300"/>
        <w:jc w:val="left"/>
      </w:pPr>
      <w:r>
        <w:rPr>
          <w:rFonts w:ascii="Garamond" w:cs="Garamond" w:eastAsia="Garamond" w:hAnsi="Garamond"/>
          <w:b w:val="false"/>
          <w:bCs w:val="false"/>
          <w:i w:val="false"/>
          <w:iCs w:val="false"/>
          <w:color w:val="1A1A1A"/>
          <w:sz w:val="22"/>
          <w:szCs w:val="22"/>
        </w:rPr>
        <w:t xml:space="preserve">The phrase 'retrieval accuracy: 80%' without qualification overstates what n=10 post-hoc testing can support. Replace with: 'On a 10-query development probe, 8 of 10 queries returned a contextually appropriate chunk as the top result.' This is the same finding — stated at the correct level of certainty.</w:t>
      </w:r>
    </w:p>
    <w:p>
      <w:pPr>
        <w:spacing w:after="160" w:before="0" w:line="300"/>
        <w:jc w:val="left"/>
      </w:pPr>
      <w:r>
        <w:rPr>
          <w:rFonts w:ascii="Garamond" w:cs="Garamond" w:eastAsia="Garamond" w:hAnsi="Garamond"/>
          <w:b w:val="false"/>
          <w:bCs w:val="false"/>
          <w:i w:val="false"/>
          <w:iCs w:val="false"/>
          <w:color w:val="1A1A1A"/>
          <w:sz w:val="22"/>
          <w:szCs w:val="22"/>
        </w:rPr>
        <w:t xml:space="preserve">'100% escalation precision' on 5 tests is a strong claim that a reviewer will challenge immediately. Replace with: 'All 5 escalation trigger queries correctly activated the CPA referral layer (5/5).' Same result. Appropriate epistemic register.</w:t>
      </w:r>
    </w:p>
    <w:p>
      <w:pPr>
        <w:pStyle w:val="Heading2"/>
        <w:spacing w:after="120" w:before="300"/>
      </w:pPr>
      <w:r>
        <w:rPr>
          <w:rFonts w:ascii="Arial" w:cs="Arial" w:eastAsia="Arial" w:hAnsi="Arial"/>
          <w:b/>
          <w:bCs/>
          <w:color w:val="2E5D8E"/>
          <w:sz w:val="24"/>
          <w:szCs w:val="24"/>
        </w:rPr>
        <w:t xml:space="preserve">5.2 Jargon Audit</w:t>
      </w:r>
    </w:p>
    <w:p>
      <w:pPr>
        <w:spacing w:after="160" w:before="0" w:line="300"/>
        <w:jc w:val="left"/>
      </w:pPr>
      <w:r>
        <w:rPr>
          <w:rFonts w:ascii="Garamond" w:cs="Garamond" w:eastAsia="Garamond" w:hAnsi="Garamond"/>
          <w:b w:val="false"/>
          <w:bCs w:val="false"/>
          <w:i w:val="false"/>
          <w:iCs w:val="false"/>
          <w:color w:val="1A1A1A"/>
          <w:sz w:val="22"/>
          <w:szCs w:val="22"/>
        </w:rPr>
        <w:t xml:space="preserve">The system description uses appropriate technical vocabulary (FAISS IndexFlatIP, all-MiniLM-L6-v2, RAGAS) without over-explaining. For a systems venue, this is correct. For an HCI or legal informatics venue, a one-sentence gloss on each would be needed. Calibrate to target journal.</w:t>
      </w:r>
    </w:p>
    <w:p/>
    <w:p>
      <w:pPr>
        <w:pStyle w:val="Heading1"/>
        <w:pBdr>
          <w:bottom w:val="single" w:color="2E5D8E" w:sz="8" w:space="6"/>
        </w:pBdr>
        <w:spacing w:after="160" w:before="400"/>
      </w:pPr>
      <w:r>
        <w:rPr>
          <w:rFonts w:ascii="Arial" w:cs="Arial" w:eastAsia="Arial" w:hAnsi="Arial"/>
          <w:b/>
          <w:bCs/>
          <w:color w:val="1B2A4A"/>
          <w:sz w:val="28"/>
          <w:szCs w:val="28"/>
        </w:rPr>
        <w:t xml:space="preserve">6. ETHICAL SCREENING</w:t>
      </w:r>
    </w:p>
    <w:p>
      <w:pPr>
        <w:spacing w:after="160" w:before="0" w:line="300"/>
        <w:jc w:val="left"/>
      </w:pPr>
      <w:r>
        <w:rPr>
          <w:rFonts w:ascii="Garamond" w:cs="Garamond" w:eastAsia="Garamond" w:hAnsi="Garamond"/>
          <w:b w:val="false"/>
          <w:bCs w:val="false"/>
          <w:i w:val="false"/>
          <w:iCs w:val="false"/>
          <w:color w:val="1A1A1A"/>
          <w:sz w:val="22"/>
          <w:szCs w:val="22"/>
        </w:rPr>
        <w:t xml:space="preserve">No IRB statement is included. Because this is a system paper with no human subjects research (no user study, no user data collection), an IRB waiver statement is still advisable — some venues require explicit confirmation that IRB review was not required. Add: 'This work involved no human subjects research and required no IRB review.'</w:t>
      </w:r>
    </w:p>
    <w:p>
      <w:pPr>
        <w:spacing w:after="160" w:before="0" w:line="300"/>
        <w:jc w:val="left"/>
      </w:pPr>
      <w:r>
        <w:rPr>
          <w:rFonts w:ascii="Garamond" w:cs="Garamond" w:eastAsia="Garamond" w:hAnsi="Garamond"/>
          <w:b w:val="false"/>
          <w:bCs w:val="false"/>
          <w:i w:val="false"/>
          <w:iCs w:val="false"/>
          <w:color w:val="1A1A1A"/>
          <w:sz w:val="22"/>
          <w:szCs w:val="22"/>
        </w:rPr>
        <w:t xml:space="preserve">The 7-country limitation is disclosed but its equity implications are not discussed. The system currently serves students from China, India, South Korea, Canada, Mexico, Japan, and Germany — predominantly East Asian and Western European treaty countries. UK treaty data is missing (404 error). A brief acknowledgment that coverage skews toward larger international student populations is appropriate, and future work toward 50+ country coverage should be framed partly as an equity goal.</w:t>
      </w:r>
    </w:p>
    <w:p>
      <w:pPr>
        <w:spacing w:after="160" w:before="0" w:line="300"/>
        <w:jc w:val="left"/>
      </w:pPr>
      <w:r>
        <w:rPr>
          <w:rFonts w:ascii="Garamond" w:cs="Garamond" w:eastAsia="Garamond" w:hAnsi="Garamond"/>
          <w:b w:val="false"/>
          <w:bCs w:val="false"/>
          <w:i w:val="false"/>
          <w:iCs w:val="false"/>
          <w:color w:val="1A1A1A"/>
          <w:sz w:val="22"/>
          <w:szCs w:val="22"/>
        </w:rPr>
        <w:t xml:space="preserve">Self-citation rate: not applicable (no prior publications by this author on this topic). Citation diversity: the knowledge base is IRS-source only, which is appropriate for the task — but the Related Work section should cite NLP/IR literature, not just IRS documents.</w:t>
      </w:r>
    </w:p>
    <w:p/>
    <w:p>
      <w:pPr>
        <w:pStyle w:val="Heading1"/>
        <w:pBdr>
          <w:bottom w:val="single" w:color="2E5D8E" w:sz="8" w:space="6"/>
        </w:pBdr>
        <w:spacing w:after="160" w:before="400"/>
      </w:pPr>
      <w:r>
        <w:rPr>
          <w:rFonts w:ascii="Arial" w:cs="Arial" w:eastAsia="Arial" w:hAnsi="Arial"/>
          <w:b/>
          <w:bCs/>
          <w:color w:val="1B2A4A"/>
          <w:sz w:val="28"/>
          <w:szCs w:val="28"/>
        </w:rPr>
        <w:t xml:space="preserve">7. RANKED IMPROVEMENTS</w:t>
      </w:r>
    </w:p>
    <w:p>
      <w:pPr>
        <w:spacing w:after="60" w:before="0" w:line="276"/>
        <w:jc w:val="left"/>
      </w:pPr>
      <w:r>
        <w:rPr>
          <w:rFonts w:ascii="Arial" w:cs="Arial" w:eastAsia="Arial" w:hAnsi="Arial"/>
          <w:b/>
          <w:bCs/>
          <w:color w:val="B00020"/>
          <w:sz w:val="20"/>
          <w:szCs w:val="20"/>
        </w:rPr>
        <w:t xml:space="preserve">CRITICAL</w:t>
      </w:r>
    </w:p>
    <w:p>
      <w:pPr>
        <w:pStyle w:val="ListParagraph"/>
        <w:numPr>
          <w:ilvl w:val="0"/>
          <w:numId w:val="2"/>
        </w:numPr>
        <w:spacing w:after="40" w:before="40" w:line="276"/>
        <w:ind w:left="720" w:hanging="360"/>
      </w:pPr>
      <w:r>
        <w:rPr>
          <w:rFonts w:ascii="Garamond" w:cs="Garamond" w:eastAsia="Garamond" w:hAnsi="Garamond"/>
          <w:b/>
          <w:bCs/>
          <w:i w:val="false"/>
          <w:iCs w:val="false"/>
          <w:color w:val="1A1A1A"/>
          <w:sz w:val="22"/>
          <w:szCs w:val="22"/>
        </w:rPr>
        <w:t xml:space="preserve">Define the correctness criterion explicitly in Methods. </w:t>
      </w:r>
      <w:r>
        <w:rPr>
          <w:rFonts w:ascii="Garamond" w:cs="Garamond" w:eastAsia="Garamond" w:hAnsi="Garamond"/>
          <w:b w:val="false"/>
          <w:bCs w:val="false"/>
          <w:i w:val="false"/>
          <w:iCs w:val="false"/>
          <w:color w:val="1A1A1A"/>
          <w:sz w:val="22"/>
          <w:szCs w:val="22"/>
        </w:rPr>
        <w:t xml:space="preserve">A retrieval is correct if: (a) the retrieved chunk contained the directly relevant IRS section, AND (b) the generated answer correctly addressed the query. Document this rubric with the two failure cases as examples. This is prose work, not new experiments. — </w:t>
      </w:r>
      <w:r>
        <w:rPr>
          <w:rFonts w:ascii="Garamond" w:cs="Garamond" w:eastAsia="Garamond" w:hAnsi="Garamond"/>
          <w:b w:val="false"/>
          <w:bCs w:val="false"/>
          <w:i/>
          <w:iCs/>
          <w:color w:val="1A1A1A"/>
          <w:sz w:val="22"/>
          <w:szCs w:val="22"/>
        </w:rPr>
        <w:t xml:space="preserve">Without this, the accuracy claim is unverifiable.</w:t>
      </w:r>
    </w:p>
    <w:p/>
    <w:p>
      <w:pPr>
        <w:pStyle w:val="ListParagraph"/>
        <w:numPr>
          <w:ilvl w:val="0"/>
          <w:numId w:val="2"/>
        </w:numPr>
        <w:spacing w:after="40" w:before="40" w:line="276"/>
        <w:ind w:left="720" w:hanging="360"/>
      </w:pPr>
      <w:r>
        <w:rPr>
          <w:rFonts w:ascii="Garamond" w:cs="Garamond" w:eastAsia="Garamond" w:hAnsi="Garamond"/>
          <w:b/>
          <w:bCs/>
          <w:i w:val="false"/>
          <w:iCs w:val="false"/>
          <w:color w:val="1A1A1A"/>
          <w:sz w:val="22"/>
          <w:szCs w:val="22"/>
        </w:rPr>
        <w:t xml:space="preserve">Reframe all quantitative metrics as development probe results, not validated accuracy. </w:t>
      </w:r>
      <w:r>
        <w:rPr>
          <w:rFonts w:ascii="Garamond" w:cs="Garamond" w:eastAsia="Garamond" w:hAnsi="Garamond"/>
          <w:b w:val="false"/>
          <w:bCs w:val="false"/>
          <w:i w:val="false"/>
          <w:iCs w:val="false"/>
          <w:color w:val="1A1A1A"/>
          <w:sz w:val="22"/>
          <w:szCs w:val="22"/>
        </w:rPr>
        <w:t xml:space="preserve">Replace 'retrieval accuracy: 80%' with 'observed performance on a 10-query development probe: 8/10.' Add Wilson CIs or note that the sample is too small for interval estimation. — </w:t>
      </w:r>
      <w:r>
        <w:rPr>
          <w:rFonts w:ascii="Garamond" w:cs="Garamond" w:eastAsia="Garamond" w:hAnsi="Garamond"/>
          <w:b w:val="false"/>
          <w:bCs w:val="false"/>
          <w:i/>
          <w:iCs/>
          <w:color w:val="1A1A1A"/>
          <w:sz w:val="22"/>
          <w:szCs w:val="22"/>
        </w:rPr>
        <w:t xml:space="preserve">A reviewer will make this correction; better to make it yourself.</w:t>
      </w:r>
    </w:p>
    <w:p/>
    <w:p>
      <w:pPr>
        <w:pStyle w:val="ListParagraph"/>
        <w:numPr>
          <w:ilvl w:val="0"/>
          <w:numId w:val="2"/>
        </w:numPr>
        <w:spacing w:after="40" w:before="40" w:line="276"/>
        <w:ind w:left="720" w:hanging="360"/>
      </w:pPr>
      <w:r>
        <w:rPr>
          <w:rFonts w:ascii="Garamond" w:cs="Garamond" w:eastAsia="Garamond" w:hAnsi="Garamond"/>
          <w:b/>
          <w:bCs/>
          <w:i w:val="false"/>
          <w:iCs w:val="false"/>
          <w:color w:val="1A1A1A"/>
          <w:sz w:val="22"/>
          <w:szCs w:val="22"/>
        </w:rPr>
        <w:t xml:space="preserve">Document the LLM-as-judge prompt and clarify judge-generator independence. </w:t>
      </w:r>
      <w:r>
        <w:rPr>
          <w:rFonts w:ascii="Garamond" w:cs="Garamond" w:eastAsia="Garamond" w:hAnsi="Garamond"/>
          <w:b w:val="false"/>
          <w:bCs w:val="false"/>
          <w:i w:val="false"/>
          <w:iCs w:val="false"/>
          <w:color w:val="1A1A1A"/>
          <w:sz w:val="22"/>
          <w:szCs w:val="22"/>
        </w:rPr>
        <w:t xml:space="preserve">If the same model generated and judged answers, state this and add a validity caveat. If a different model was used, name it. Include the judge prompt in an appendix. — </w:t>
      </w:r>
      <w:r>
        <w:rPr>
          <w:rFonts w:ascii="Garamond" w:cs="Garamond" w:eastAsia="Garamond" w:hAnsi="Garamond"/>
          <w:b w:val="false"/>
          <w:bCs w:val="false"/>
          <w:i/>
          <w:iCs/>
          <w:color w:val="1A1A1A"/>
          <w:sz w:val="22"/>
          <w:szCs w:val="22"/>
        </w:rPr>
        <w:t xml:space="preserve">Without this, the 0.92 faithfulness and 0.89 relevancy scores cannot be interpreted.</w:t>
      </w:r>
    </w:p>
    <w:p/>
    <w:p>
      <w:pPr>
        <w:spacing w:after="60" w:before="0" w:line="276"/>
        <w:jc w:val="left"/>
      </w:pPr>
      <w:r>
        <w:rPr>
          <w:rFonts w:ascii="Arial" w:cs="Arial" w:eastAsia="Arial" w:hAnsi="Arial"/>
          <w:b/>
          <w:bCs/>
          <w:color w:val="C47A1E"/>
          <w:sz w:val="20"/>
          <w:szCs w:val="20"/>
        </w:rPr>
        <w:t xml:space="preserve">MAJOR</w:t>
      </w:r>
    </w:p>
    <w:p>
      <w:pPr>
        <w:pStyle w:val="ListParagraph"/>
        <w:numPr>
          <w:ilvl w:val="0"/>
          <w:numId w:val="2"/>
        </w:numPr>
        <w:spacing w:after="40" w:before="40" w:line="276"/>
        <w:ind w:left="720" w:hanging="360"/>
      </w:pPr>
      <w:r>
        <w:rPr>
          <w:rFonts w:ascii="Garamond" w:cs="Garamond" w:eastAsia="Garamond" w:hAnsi="Garamond"/>
          <w:b/>
          <w:bCs/>
          <w:i w:val="false"/>
          <w:iCs w:val="false"/>
          <w:color w:val="1A1A1A"/>
          <w:sz w:val="22"/>
          <w:szCs w:val="22"/>
        </w:rPr>
        <w:t xml:space="preserve">Add a Related Work section. </w:t>
      </w:r>
      <w:r>
        <w:rPr>
          <w:rFonts w:ascii="Garamond" w:cs="Garamond" w:eastAsia="Garamond" w:hAnsi="Garamond"/>
          <w:b w:val="false"/>
          <w:bCs w:val="false"/>
          <w:i w:val="false"/>
          <w:iCs w:val="false"/>
          <w:color w:val="1A1A1A"/>
          <w:sz w:val="22"/>
          <w:szCs w:val="22"/>
        </w:rPr>
        <w:t xml:space="preserve">The paper currently has no prior literature engagement. Minimum required: (1) prior RAG systems for legal/regulatory domains, (2) prior tax chatbot or tax NLP work, (3) one citation on LLM-as-judge validity. Suggested search terms: 'RAG legal domain,' 'tax chatbot NLP,' 'LLM self-evaluation bias.' Do not fabricate citations — search and cite what exists.</w:t>
      </w:r>
    </w:p>
    <w:p/>
    <w:p>
      <w:pPr>
        <w:pStyle w:val="ListParagraph"/>
        <w:numPr>
          <w:ilvl w:val="0"/>
          <w:numId w:val="2"/>
        </w:numPr>
        <w:spacing w:after="40" w:before="40" w:line="276"/>
        <w:ind w:left="720" w:hanging="360"/>
      </w:pPr>
      <w:r>
        <w:rPr>
          <w:rFonts w:ascii="Garamond" w:cs="Garamond" w:eastAsia="Garamond" w:hAnsi="Garamond"/>
          <w:b/>
          <w:bCs/>
          <w:i w:val="false"/>
          <w:iCs w:val="false"/>
          <w:color w:val="1A1A1A"/>
          <w:sz w:val="22"/>
          <w:szCs w:val="22"/>
        </w:rPr>
        <w:t xml:space="preserve">Document the re-ranking signal formula. </w:t>
      </w:r>
      <w:r>
        <w:rPr>
          <w:rFonts w:ascii="Garamond" w:cs="Garamond" w:eastAsia="Garamond" w:hAnsi="Garamond"/>
          <w:b w:val="false"/>
          <w:bCs w:val="false"/>
          <w:i w:val="false"/>
          <w:iCs w:val="false"/>
          <w:color w:val="1A1A1A"/>
          <w:sz w:val="22"/>
          <w:szCs w:val="22"/>
        </w:rPr>
        <w:t xml:space="preserve">The 9 signal categories and 1.1×–1.6× boost ranges are named but not specified. A methods table showing each signal, its trigger condition, and its boost factor is necessary for replicability. This is the paper's core technical contribution — it should be the most precisely documented element.</w:t>
      </w:r>
    </w:p>
    <w:p/>
    <w:p>
      <w:pPr>
        <w:pStyle w:val="ListParagraph"/>
        <w:numPr>
          <w:ilvl w:val="0"/>
          <w:numId w:val="2"/>
        </w:numPr>
        <w:spacing w:after="40" w:before="40" w:line="276"/>
        <w:ind w:left="720" w:hanging="360"/>
      </w:pPr>
      <w:r>
        <w:rPr>
          <w:rFonts w:ascii="Garamond" w:cs="Garamond" w:eastAsia="Garamond" w:hAnsi="Garamond"/>
          <w:b/>
          <w:bCs/>
          <w:i w:val="false"/>
          <w:iCs w:val="false"/>
          <w:color w:val="1A1A1A"/>
          <w:sz w:val="22"/>
          <w:szCs w:val="22"/>
        </w:rPr>
        <w:t xml:space="preserve">List the 24 CPA escalation keywords in an appendix. </w:t>
      </w:r>
      <w:r>
        <w:rPr>
          <w:rFonts w:ascii="Garamond" w:cs="Garamond" w:eastAsia="Garamond" w:hAnsi="Garamond"/>
          <w:b w:val="false"/>
          <w:bCs w:val="false"/>
          <w:i w:val="false"/>
          <w:iCs w:val="false"/>
          <w:color w:val="1A1A1A"/>
          <w:sz w:val="22"/>
          <w:szCs w:val="22"/>
        </w:rPr>
        <w:t xml:space="preserve">The 100% precision claim cannot be evaluated without knowing what the keyword set covers. Listing them also allows readers to assess coverage — which trigger terms are included, and which plausible trigger terms are missing?</w:t>
      </w:r>
    </w:p>
    <w:p/>
    <w:p>
      <w:pPr>
        <w:pStyle w:val="ListParagraph"/>
        <w:numPr>
          <w:ilvl w:val="0"/>
          <w:numId w:val="2"/>
        </w:numPr>
        <w:spacing w:after="40" w:before="40" w:line="276"/>
        <w:ind w:left="720" w:hanging="360"/>
      </w:pPr>
      <w:r>
        <w:rPr>
          <w:rFonts w:ascii="Garamond" w:cs="Garamond" w:eastAsia="Garamond" w:hAnsi="Garamond"/>
          <w:b/>
          <w:bCs/>
          <w:i w:val="false"/>
          <w:iCs w:val="false"/>
          <w:color w:val="1A1A1A"/>
          <w:sz w:val="22"/>
          <w:szCs w:val="22"/>
        </w:rPr>
        <w:t xml:space="preserve">Add a legal disclaimer and IRB waiver statement. </w:t>
      </w:r>
      <w:r>
        <w:rPr>
          <w:rFonts w:ascii="Garamond" w:cs="Garamond" w:eastAsia="Garamond" w:hAnsi="Garamond"/>
          <w:b w:val="false"/>
          <w:bCs w:val="false"/>
          <w:i w:val="false"/>
          <w:iCs w:val="false"/>
          <w:color w:val="1A1A1A"/>
          <w:sz w:val="22"/>
          <w:szCs w:val="22"/>
        </w:rPr>
        <w:t xml:space="preserve">'This system provides informational guidance only and does not constitute legal or tax advice. No human subjects were involved in this research; IRB review was not required.'</w:t>
      </w:r>
    </w:p>
    <w:p/>
    <w:p>
      <w:pPr>
        <w:spacing w:after="60" w:before="0" w:line="276"/>
        <w:jc w:val="left"/>
      </w:pPr>
      <w:r>
        <w:rPr>
          <w:rFonts w:ascii="Arial" w:cs="Arial" w:eastAsia="Arial" w:hAnsi="Arial"/>
          <w:b/>
          <w:bCs/>
          <w:color w:val="2E5D8E"/>
          <w:sz w:val="20"/>
          <w:szCs w:val="20"/>
        </w:rPr>
        <w:t xml:space="preserve">MINOR</w:t>
      </w:r>
    </w:p>
    <w:p>
      <w:pPr>
        <w:pStyle w:val="ListParagraph"/>
        <w:numPr>
          <w:ilvl w:val="0"/>
          <w:numId w:val="2"/>
        </w:numPr>
        <w:spacing w:after="40" w:before="40" w:line="276"/>
        <w:ind w:left="720" w:hanging="360"/>
      </w:pPr>
      <w:r>
        <w:rPr>
          <w:rFonts w:ascii="Garamond" w:cs="Garamond" w:eastAsia="Garamond" w:hAnsi="Garamond"/>
          <w:b w:val="false"/>
          <w:bCs w:val="false"/>
          <w:i w:val="false"/>
          <w:iCs w:val="false"/>
          <w:color w:val="1A1A1A"/>
          <w:sz w:val="22"/>
          <w:szCs w:val="22"/>
        </w:rPr>
        <w:t xml:space="preserve">Report the two retrieval failure cases in detail — what query failed, what chunk was returned instead, and why the re-ranker did not correct it. This is the most informative part of the results and currently the least developed.</w:t>
      </w:r>
    </w:p>
    <w:p/>
    <w:p>
      <w:pPr>
        <w:pStyle w:val="ListParagraph"/>
        <w:numPr>
          <w:ilvl w:val="0"/>
          <w:numId w:val="2"/>
        </w:numPr>
        <w:spacing w:after="40" w:before="40" w:line="276"/>
        <w:ind w:left="720" w:hanging="360"/>
      </w:pPr>
      <w:r>
        <w:rPr>
          <w:rFonts w:ascii="Garamond" w:cs="Garamond" w:eastAsia="Garamond" w:hAnsi="Garamond"/>
          <w:b w:val="false"/>
          <w:bCs w:val="false"/>
          <w:i w:val="false"/>
          <w:iCs w:val="false"/>
          <w:color w:val="1A1A1A"/>
          <w:sz w:val="22"/>
          <w:szCs w:val="22"/>
        </w:rPr>
        <w:t xml:space="preserve">Clarify the session history design choice (last 3 turns). Why 3? What is the expected behavior at the boundary? A one-sentence rationale suffices.</w:t>
      </w:r>
    </w:p>
    <w:p/>
    <w:p>
      <w:pPr>
        <w:pStyle w:val="ListParagraph"/>
        <w:numPr>
          <w:ilvl w:val="0"/>
          <w:numId w:val="2"/>
        </w:numPr>
        <w:spacing w:after="40" w:before="40" w:line="276"/>
        <w:ind w:left="720" w:hanging="360"/>
      </w:pPr>
      <w:r>
        <w:rPr>
          <w:rFonts w:ascii="Garamond" w:cs="Garamond" w:eastAsia="Garamond" w:hAnsi="Garamond"/>
          <w:b w:val="false"/>
          <w:bCs w:val="false"/>
          <w:i w:val="false"/>
          <w:iCs w:val="false"/>
          <w:color w:val="1A1A1A"/>
          <w:sz w:val="22"/>
          <w:szCs w:val="22"/>
        </w:rPr>
        <w:t xml:space="preserve">Pin the LLaMA model version with a date stamp. Model behavior changes with updates; replicability requires version locking.</w:t>
      </w:r>
    </w:p>
    <w:p/>
    <w:p>
      <w:pPr>
        <w:pStyle w:val="ListParagraph"/>
        <w:numPr>
          <w:ilvl w:val="0"/>
          <w:numId w:val="2"/>
        </w:numPr>
        <w:spacing w:after="40" w:before="40" w:line="276"/>
        <w:ind w:left="720" w:hanging="360"/>
      </w:pPr>
      <w:r>
        <w:rPr>
          <w:rFonts w:ascii="Garamond" w:cs="Garamond" w:eastAsia="Garamond" w:hAnsi="Garamond"/>
          <w:b w:val="false"/>
          <w:bCs w:val="false"/>
          <w:i w:val="false"/>
          <w:iCs w:val="false"/>
          <w:color w:val="1A1A1A"/>
          <w:sz w:val="22"/>
          <w:szCs w:val="22"/>
        </w:rPr>
        <w:t xml:space="preserve">Reconsider 'Immigrant' in the title. The system serves nonresident aliens — a narrower legal category. 'International Student and Worker' or 'Nonresident Alien' is more precise.</w:t>
      </w:r>
    </w:p>
    <w:p/>
    <w:p>
      <w:pPr>
        <w:pStyle w:val="Heading1"/>
        <w:pBdr>
          <w:bottom w:val="single" w:color="2E5D8E" w:sz="8" w:space="6"/>
        </w:pBdr>
        <w:spacing w:after="160" w:before="400"/>
      </w:pPr>
      <w:r>
        <w:rPr>
          <w:rFonts w:ascii="Arial" w:cs="Arial" w:eastAsia="Arial" w:hAnsi="Arial"/>
          <w:b/>
          <w:bCs/>
          <w:color w:val="1B2A4A"/>
          <w:sz w:val="28"/>
          <w:szCs w:val="28"/>
        </w:rPr>
        <w:t xml:space="preserve">8. WHAT WORKS</w:t>
      </w:r>
    </w:p>
    <w:p>
      <w:pPr>
        <w:spacing w:after="160" w:before="0" w:line="300"/>
        <w:jc w:val="left"/>
      </w:pPr>
      <w:r>
        <w:rPr>
          <w:rFonts w:ascii="Garamond" w:cs="Garamond" w:eastAsia="Garamond" w:hAnsi="Garamond"/>
          <w:b w:val="false"/>
          <w:bCs w:val="false"/>
          <w:i w:val="false"/>
          <w:iCs w:val="false"/>
          <w:color w:val="1A1A1A"/>
          <w:sz w:val="22"/>
          <w:szCs w:val="22"/>
        </w:rPr>
        <w:t xml:space="preserve">The re-ranking pipeline is the paper's strongest contribution: a principled engineering solution to a documented retrieval failure (generic IRS publications dominating results), with a quantified improvement (40% → 80%) that tells a clear story. The citation-mandatory prompt design and CPA escalation layer together constitute a coherent safety architecture — both the 'stay grounded' and 'know your limits' problems are addressed explicitly. These two elements distinguish this system from a generic RAG wrapper and should be foregrounded in the abstract and conclusion.</w:t>
      </w:r>
    </w:p>
    <w:p/>
    <w:p/>
    <w:p>
      <w:r>
        <w:br w:type="page"/>
      </w:r>
    </w:p>
    <w:p>
      <w:pPr>
        <w:spacing w:after="80" w:before="200" w:line="276"/>
        <w:jc w:val="center"/>
      </w:pPr>
      <w:r>
        <w:rPr>
          <w:rFonts w:ascii="Arial" w:cs="Arial" w:eastAsia="Arial" w:hAnsi="Arial"/>
          <w:b/>
          <w:bCs/>
          <w:color w:val="1B2A4A"/>
          <w:sz w:val="36"/>
          <w:szCs w:val="36"/>
        </w:rPr>
        <w:t xml:space="preserve">IMRAD DRAFT</w:t>
      </w:r>
    </w:p>
    <w:p>
      <w:pPr>
        <w:pBdr>
          <w:bottom w:val="single" w:color="2E5D8E" w:sz="6" w:space="4"/>
        </w:pBdr>
        <w:spacing w:after="400" w:before="0" w:line="276"/>
        <w:jc w:val="center"/>
      </w:pPr>
      <w:r>
        <w:rPr>
          <w:rFonts w:ascii="Garamond" w:cs="Garamond" w:eastAsia="Garamond" w:hAnsi="Garamond"/>
          <w:b w:val="false"/>
          <w:bCs w:val="false"/>
          <w:i/>
          <w:iCs/>
          <w:color w:val="777777"/>
          <w:sz w:val="18"/>
          <w:szCs w:val="18"/>
        </w:rPr>
        <w:t xml:space="preserve">Calibrated to proof-of-concept framing  ·  [NEEDS HUMAN REVIEW] flags included</w:t>
      </w:r>
    </w:p>
    <w:p/>
    <w:p>
      <w:pPr>
        <w:spacing w:after="120" w:before="200" w:line="276"/>
        <w:jc w:val="center"/>
      </w:pPr>
      <w:r>
        <w:rPr>
          <w:rFonts w:ascii="Arial" w:cs="Arial" w:eastAsia="Arial" w:hAnsi="Arial"/>
          <w:b/>
          <w:bCs/>
          <w:color w:val="1B2A4A"/>
          <w:sz w:val="30"/>
          <w:szCs w:val="30"/>
        </w:rPr>
        <w:t xml:space="preserve">Immigrant Tax Filing Assistant: A Profile-Aware Retrieval-Augmented Generation System for Nonresident Alien Tax Guidance</w:t>
      </w:r>
    </w:p>
    <w:p>
      <w:pPr>
        <w:spacing w:after="400" w:before="0" w:line="276"/>
        <w:jc w:val="center"/>
      </w:pPr>
      <w:r>
        <w:rPr>
          <w:rFonts w:ascii="Garamond" w:cs="Garamond" w:eastAsia="Garamond" w:hAnsi="Garamond"/>
          <w:b w:val="false"/>
          <w:bCs w:val="false"/>
          <w:i/>
          <w:iCs/>
          <w:color w:val="777777"/>
          <w:sz w:val="20"/>
          <w:szCs w:val="20"/>
        </w:rPr>
        <w:t xml:space="preserve">[Author Name]  ·  IS 7200: Generative AI  ·  [Institution]  ·  [Date]</w:t>
      </w:r>
    </w:p>
    <w:p>
      <w:pPr>
        <w:pStyle w:val="Heading1"/>
        <w:pBdr>
          <w:bottom w:val="single" w:color="2E5D8E" w:sz="8" w:space="6"/>
        </w:pBdr>
        <w:spacing w:after="160" w:before="400"/>
      </w:pPr>
      <w:r>
        <w:rPr>
          <w:rFonts w:ascii="Arial" w:cs="Arial" w:eastAsia="Arial" w:hAnsi="Arial"/>
          <w:b/>
          <w:bCs/>
          <w:color w:val="1B2A4A"/>
          <w:sz w:val="28"/>
          <w:szCs w:val="28"/>
        </w:rPr>
        <w:t xml:space="preserve">ABSTRACT</w:t>
      </w:r>
    </w:p>
    <w:p>
      <w:pPr>
        <w:spacing w:after="160" w:before="0" w:line="300"/>
        <w:jc w:val="left"/>
      </w:pPr>
      <w:r>
        <w:rPr>
          <w:rFonts w:ascii="Garamond" w:cs="Garamond" w:eastAsia="Garamond" w:hAnsi="Garamond"/>
          <w:b w:val="false"/>
          <w:bCs w:val="false"/>
          <w:i w:val="false"/>
          <w:iCs w:val="false"/>
          <w:color w:val="1A1A1A"/>
          <w:sz w:val="22"/>
          <w:szCs w:val="22"/>
        </w:rPr>
        <w:t xml:space="preserve">International students and workers holding nonresident alien (NRA) status in the United States face tax obligations — including FICA exemptions, treaty benefits, and Form 8843 filing requirements — that are inadequately addressed by general-purpose tax software. Professional tax consultation for NRA filers typically costs $200–$500 per session, creating a significant access barrier for a population exceeding one million individuals. This paper describes the design, implementation, and proof-of-concept evaluation of a profile-aware Retrieval-Augmented Generation (RAG) system that provides free, IRS-grounded tax guidance tailored to a user's visa type and country of origin.</w:t>
      </w:r>
    </w:p>
    <w:p>
      <w:pPr>
        <w:spacing w:after="160" w:before="0" w:line="300"/>
        <w:jc w:val="left"/>
      </w:pPr>
      <w:r>
        <w:rPr>
          <w:rFonts w:ascii="Garamond" w:cs="Garamond" w:eastAsia="Garamond" w:hAnsi="Garamond"/>
          <w:b w:val="false"/>
          <w:bCs w:val="false"/>
          <w:i w:val="false"/>
          <w:iCs w:val="false"/>
          <w:color w:val="1A1A1A"/>
          <w:sz w:val="22"/>
          <w:szCs w:val="22"/>
        </w:rPr>
        <w:t xml:space="preserve">The system combines a curated knowledge base of 27 IRS source documents (3,726 chunks), metadata-filtered retrieval, a nine-signal re-ranking pipeline, and a citation-mandatory prompt architecture enforcing grounded response generation at temperature = 0.0. A 24-keyword CPA escalation layer routes out-of-scope queries to professional referral rather than generating unsupported responses. On a 10-query development probe, 8 of 10 queries returned contextually appropriate chunks after re-ranking — an improvement from 3 of 10 prior to re-ranking. Automated quality indicators using an LLM-as-judge protocol yielded faithfulness of 0.92 and answer relevancy of 0.89; these scores are reported as preliminary indicators rather than validated metrics, given the small evaluation set and limitations of same-family model judging. The system demonstrates a viable safety architecture for AI-mediated regulatory guidance and highlights the semantic gap between user language and legal document register as the central technical challenge in this domain.</w:t>
      </w:r>
    </w:p>
    <w:p/>
    <w:p>
      <w:pPr>
        <w:pStyle w:val="Heading1"/>
        <w:pBdr>
          <w:bottom w:val="single" w:color="2E5D8E" w:sz="8" w:space="6"/>
        </w:pBdr>
        <w:spacing w:after="160" w:before="400"/>
      </w:pPr>
      <w:r>
        <w:rPr>
          <w:rFonts w:ascii="Arial" w:cs="Arial" w:eastAsia="Arial" w:hAnsi="Arial"/>
          <w:b/>
          <w:bCs/>
          <w:color w:val="1B2A4A"/>
          <w:sz w:val="28"/>
          <w:szCs w:val="28"/>
        </w:rPr>
        <w:t xml:space="preserve">1. INTRODUCTION</w:t>
      </w:r>
    </w:p>
    <w:p>
      <w:pPr>
        <w:spacing w:after="160" w:before="0" w:line="300"/>
        <w:jc w:val="left"/>
      </w:pPr>
      <w:r>
        <w:rPr>
          <w:rFonts w:ascii="Garamond" w:cs="Garamond" w:eastAsia="Garamond" w:hAnsi="Garamond"/>
          <w:b w:val="false"/>
          <w:bCs w:val="false"/>
          <w:i w:val="false"/>
          <w:iCs w:val="false"/>
          <w:color w:val="1A1A1A"/>
          <w:sz w:val="22"/>
          <w:szCs w:val="22"/>
        </w:rPr>
        <w:t xml:space="preserve">More than one million international students and temporary workers reside in the United States under nonresident alien (NRA) tax status, a classification governed by the Internal Revenue Code's Substantial Presence Test (SPT) and carrying distinct obligations not shared by citizen or resident alien filers (IRS Publication 519, 2023). NRA filers must navigate a set of requirements that includes potential FICA tax exemptions contingent on visa type, bilateral tax treaty benefits that reduce or eliminate withholding on certain income categories, and mandatory annual filing of Form 8843 regardless of income level. These obligations differ materially across visa categories (F-1, J-1, H-1B, and others) and across the approximately 65 countries with which the United States maintains active income tax treaties.</w:t>
      </w:r>
    </w:p>
    <w:p>
      <w:pPr>
        <w:spacing w:after="160" w:before="0" w:line="300"/>
        <w:jc w:val="left"/>
      </w:pPr>
      <w:r>
        <w:rPr>
          <w:rFonts w:ascii="Garamond" w:cs="Garamond" w:eastAsia="Garamond" w:hAnsi="Garamond"/>
          <w:b w:val="false"/>
          <w:bCs w:val="false"/>
          <w:i w:val="false"/>
          <w:iCs w:val="false"/>
          <w:color w:val="1A1A1A"/>
          <w:sz w:val="22"/>
          <w:szCs w:val="22"/>
        </w:rPr>
        <w:t xml:space="preserve">General-purpose tax software — including TurboTax, H&amp;R Block, and comparable platforms — is designed for the typical domestic filer and does not support the visa-type-conditional logic, treaty benefit calculations, or Form 8843 workflows required by NRA filers. Professional consultation from a CPA or tax attorney with NRA expertise typically costs between $200 and $500 per session (</w:t>
      </w:r>
    </w:p>
    <w:p>
      <w:pPr>
        <w:spacing w:after="160" w:before="0" w:line="300"/>
        <w:jc w:val="left"/>
      </w:pPr>
      <w:r>
        <w:rPr>
          <w:rFonts w:ascii="Garamond" w:cs="Garamond" w:eastAsia="Garamond" w:hAnsi="Garamond"/>
          <w:b w:val="false"/>
          <w:bCs w:val="false"/>
          <w:i w:val="false"/>
          <w:iCs w:val="false"/>
          <w:color w:val="1A1A1A"/>
          <w:sz w:val="22"/>
          <w:szCs w:val="22"/>
        </w:rPr>
        <w:t xml:space="preserve">[NEEDS HUMAN REVIEW: insert citation for CPA cost estimate — the figure is plausible but requires a sourced reference for peer review]</w:t>
      </w:r>
      <w:r>
        <w:rPr>
          <w:rFonts w:ascii="Garamond" w:cs="Garamond" w:eastAsia="Garamond" w:hAnsi="Garamond"/>
          <w:b w:val="false"/>
          <w:bCs w:val="false"/>
          <w:i w:val="false"/>
          <w:iCs w:val="false"/>
          <w:color w:val="1A1A1A"/>
          <w:sz w:val="22"/>
          <w:szCs w:val="22"/>
        </w:rPr>
        <w:t xml:space="preserve">), representing a significant financial barrier for a population that is disproportionately composed of graduate students and early-career workers.</w:t>
      </w:r>
    </w:p>
    <w:p>
      <w:pPr>
        <w:spacing w:after="160" w:before="0" w:line="300"/>
        <w:jc w:val="left"/>
      </w:pPr>
      <w:r>
        <w:rPr>
          <w:rFonts w:ascii="Garamond" w:cs="Garamond" w:eastAsia="Garamond" w:hAnsi="Garamond"/>
          <w:b w:val="false"/>
          <w:bCs w:val="false"/>
          <w:i w:val="false"/>
          <w:iCs w:val="false"/>
          <w:color w:val="1A1A1A"/>
          <w:sz w:val="22"/>
          <w:szCs w:val="22"/>
        </w:rPr>
        <w:t xml:space="preserve">Large language models (LLMs) offer a potential pathway to accessible, accurate regulatory guidance — but general-purpose LLMs generate responses from parametric knowledge that may be outdated, jurisdiction-ambiguous, or unsourced. Retrieval-Augmented Generation (RAG) addresses this by grounding model outputs in a curated, authoritative document corpus. However, RAG systems applied to regulatory domains face a documented challenge: the semantic gap between colloquial user queries and the legal register of source documents degrades retrieval precision, particularly when the corpus contains high-volume general-purpose publications that tend to dominate similarity-based retrieval.</w:t>
      </w:r>
    </w:p>
    <w:p>
      <w:pPr>
        <w:spacing w:after="160" w:before="0" w:line="300"/>
        <w:jc w:val="left"/>
      </w:pPr>
      <w:r>
        <w:rPr>
          <w:rFonts w:ascii="Garamond" w:cs="Garamond" w:eastAsia="Garamond" w:hAnsi="Garamond"/>
          <w:b w:val="false"/>
          <w:bCs w:val="false"/>
          <w:i w:val="false"/>
          <w:iCs w:val="false"/>
          <w:color w:val="1A1A1A"/>
          <w:sz w:val="22"/>
          <w:szCs w:val="22"/>
        </w:rPr>
        <w:t xml:space="preserve">This paper describes the design, implementation, and proof-of-concept evaluation of a profile-aware RAG system that provides NRA-specific tax guidance grounded exclusively in IRS-published sources. The system's primary contributions are: (1) a metadata-filtered, re-ranked retrieval pipeline that addresses the semantic gap between user language and IRS legal register; (2) a citation-mandatory prompt architecture that prevents the generation of unsourced claims; and (3) a keyword-triggered CPA escalation layer that routes queries outside the system's verified coverage to professional referral rather than generating potentially incorrect responses. Our central research question is: can a RAG system with citation-mandatory prompt engineering provide accurate, grounded tax guidance for international students and workers in the United States, while maintaining safety through automatic escalation of out-of-scope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B00020" w:val="clear"/>
          </w:tcPr>
          <w:p/>
        </w:tc>
        <w:tc>
          <w:tcPr>
            <w:tcW w:type="dxa" w:w="9160"/>
            <w:tcBorders>
              <w:top w:val="single" w:color="D8DCE3" w:sz="1"/>
              <w:left w:val="none" w:color="FFFFFF" w:sz="0"/>
              <w:bottom w:val="single" w:color="D8DCE3" w:sz="1"/>
              <w:right w:val="single" w:color="D8DCE3" w:sz="1"/>
            </w:tcBorders>
            <w:shd w:fill="FFF0F0" w:val="clear"/>
            <w:tcMar>
              <w:top w:type="dxa" w:w="120"/>
              <w:left w:type="dxa" w:w="180"/>
              <w:bottom w:type="dxa" w:w="120"/>
              <w:right w:type="dxa" w:w="180"/>
            </w:tcMar>
          </w:tcPr>
          <w:p>
            <w:pPr>
              <w:spacing w:after="60"/>
            </w:pPr>
            <w:r>
              <w:rPr>
                <w:rFonts w:ascii="Arial" w:cs="Arial" w:eastAsia="Arial" w:hAnsi="Arial"/>
                <w:b/>
                <w:bCs/>
                <w:color w:val="B00020"/>
                <w:sz w:val="20"/>
                <w:szCs w:val="20"/>
              </w:rPr>
              <w:t xml:space="preserve">[NEEDS HUMAN REVIEW]</w:t>
            </w:r>
          </w:p>
          <w:p>
            <w:pPr>
              <w:spacing w:after="0"/>
              <w:jc w:val="left"/>
            </w:pPr>
            <w:r>
              <w:rPr>
                <w:rFonts w:ascii="Garamond" w:cs="Garamond" w:eastAsia="Garamond" w:hAnsi="Garamond"/>
                <w:b w:val="false"/>
                <w:bCs w:val="false"/>
                <w:i w:val="false"/>
                <w:iCs w:val="false"/>
                <w:color w:val="1A1A1A"/>
                <w:sz w:val="20"/>
                <w:szCs w:val="20"/>
              </w:rPr>
              <w:t xml:space="preserve">The Introduction requires a Related Work paragraph. Minimum: 2–3 citations on prior RAG applications in legal/regulatory domains, and 1–2 citations on prior tax chatbot or tax NLP systems. Search terms: 'RAG legal domain retrieval,' 'tax chatbot NLP,' 'regulatory question answering.' Do not insert this paragraph until citations are verified.</w:t>
            </w:r>
          </w:p>
        </w:tc>
      </w:tr>
    </w:tbl>
    <w:p/>
    <w:p>
      <w:pPr>
        <w:pStyle w:val="Heading1"/>
        <w:pBdr>
          <w:bottom w:val="single" w:color="2E5D8E" w:sz="8" w:space="6"/>
        </w:pBdr>
        <w:spacing w:after="160" w:before="400"/>
      </w:pPr>
      <w:r>
        <w:rPr>
          <w:rFonts w:ascii="Arial" w:cs="Arial" w:eastAsia="Arial" w:hAnsi="Arial"/>
          <w:b/>
          <w:bCs/>
          <w:color w:val="1B2A4A"/>
          <w:sz w:val="28"/>
          <w:szCs w:val="28"/>
        </w:rPr>
        <w:t xml:space="preserve">2. METHODS</w:t>
      </w:r>
    </w:p>
    <w:p>
      <w:pPr>
        <w:pStyle w:val="Heading2"/>
        <w:spacing w:after="120" w:before="300"/>
      </w:pPr>
      <w:r>
        <w:rPr>
          <w:rFonts w:ascii="Arial" w:cs="Arial" w:eastAsia="Arial" w:hAnsi="Arial"/>
          <w:b/>
          <w:bCs/>
          <w:color w:val="2E5D8E"/>
          <w:sz w:val="24"/>
          <w:szCs w:val="24"/>
        </w:rPr>
        <w:t xml:space="preserve">2.1 System Architecture Overview</w:t>
      </w:r>
    </w:p>
    <w:p>
      <w:pPr>
        <w:spacing w:after="160" w:before="0" w:line="300"/>
        <w:jc w:val="left"/>
      </w:pPr>
      <w:r>
        <w:rPr>
          <w:rFonts w:ascii="Garamond" w:cs="Garamond" w:eastAsia="Garamond" w:hAnsi="Garamond"/>
          <w:b w:val="false"/>
          <w:bCs w:val="false"/>
          <w:i w:val="false"/>
          <w:iCs w:val="false"/>
          <w:color w:val="1A1A1A"/>
          <w:sz w:val="22"/>
          <w:szCs w:val="22"/>
        </w:rPr>
        <w:t xml:space="preserve">The system follows a standard RAG pipeline augmented with profile-aware metadata filtering, a multi-signal re-ranking layer, and a prompt-enforced citation requirement. Figure 1 provides a schematic of the full pipeline. [NEEDS HUMAN REVIEW: insert architecture diagram here.] The pipeline comprises four functional stages: (1) knowledge base construction and indexing, (2) query-time retrieval with metadata filtering, (3) re-ranking and context assembly, and (4) generation with citation enforcement and escalation routing.</w:t>
      </w:r>
    </w:p>
    <w:p>
      <w:pPr>
        <w:pStyle w:val="Heading2"/>
        <w:spacing w:after="120" w:before="300"/>
      </w:pPr>
      <w:r>
        <w:rPr>
          <w:rFonts w:ascii="Arial" w:cs="Arial" w:eastAsia="Arial" w:hAnsi="Arial"/>
          <w:b/>
          <w:bCs/>
          <w:color w:val="2E5D8E"/>
          <w:sz w:val="24"/>
          <w:szCs w:val="24"/>
        </w:rPr>
        <w:t xml:space="preserve">2.2 Knowledge Base Construction</w:t>
      </w:r>
    </w:p>
    <w:p>
      <w:pPr>
        <w:pStyle w:val="Heading3"/>
        <w:spacing w:after="80" w:before="200"/>
      </w:pPr>
      <w:r>
        <w:rPr>
          <w:rFonts w:ascii="Arial" w:cs="Arial" w:eastAsia="Arial" w:hAnsi="Arial"/>
          <w:b/>
          <w:bCs/>
          <w:i/>
          <w:iCs/>
          <w:color w:val="1B2A4A"/>
          <w:sz w:val="22"/>
          <w:szCs w:val="22"/>
        </w:rPr>
        <w:t xml:space="preserve">2.2.1 Source Documents</w:t>
      </w:r>
    </w:p>
    <w:p>
      <w:pPr>
        <w:spacing w:after="160" w:before="0" w:line="300"/>
        <w:jc w:val="left"/>
      </w:pPr>
      <w:r>
        <w:rPr>
          <w:rFonts w:ascii="Garamond" w:cs="Garamond" w:eastAsia="Garamond" w:hAnsi="Garamond"/>
          <w:b w:val="false"/>
          <w:bCs w:val="false"/>
          <w:i w:val="false"/>
          <w:iCs w:val="false"/>
          <w:color w:val="1A1A1A"/>
          <w:sz w:val="22"/>
          <w:szCs w:val="22"/>
        </w:rPr>
        <w:t xml:space="preserve">The knowledge base was constructed from 27 IRS-published sources: 23 PDF documents and 4 HTML pages scraped directly from IRS.gov. Dual-source construction — combining PDF and HTML representations of overlapping content — was implemented to address formatting inconsistencies in PDF-extracted text, particularly for tables and structured lists that are rendered more cleanly in HTML. Source documents include IRS Publications 519 (U.S. Tax Guide for Aliens), 901 (U.S. Tax Treaties), and 515 (Withholding of Tax on Nonresident Aliens), among others. [NEEDS HUMAN REVIEW: provide complete source list in appendix.] All documents were current as of the date of corpus construction; the knowledge base does not incorporate real-time IRS updates.</w:t>
      </w:r>
    </w:p>
    <w:p>
      <w:pPr>
        <w:pStyle w:val="Heading3"/>
        <w:spacing w:after="80" w:before="200"/>
      </w:pPr>
      <w:r>
        <w:rPr>
          <w:rFonts w:ascii="Arial" w:cs="Arial" w:eastAsia="Arial" w:hAnsi="Arial"/>
          <w:b/>
          <w:bCs/>
          <w:i/>
          <w:iCs/>
          <w:color w:val="1B2A4A"/>
          <w:sz w:val="22"/>
          <w:szCs w:val="22"/>
        </w:rPr>
        <w:t xml:space="preserve">2.2.2 Chunking Strategy</w:t>
      </w:r>
    </w:p>
    <w:p>
      <w:pPr>
        <w:spacing w:after="160" w:before="0" w:line="300"/>
        <w:jc w:val="left"/>
      </w:pPr>
      <w:r>
        <w:rPr>
          <w:rFonts w:ascii="Garamond" w:cs="Garamond" w:eastAsia="Garamond" w:hAnsi="Garamond"/>
          <w:b w:val="false"/>
          <w:bCs w:val="false"/>
          <w:i w:val="false"/>
          <w:iCs w:val="false"/>
          <w:color w:val="1A1A1A"/>
          <w:sz w:val="22"/>
          <w:szCs w:val="22"/>
        </w:rPr>
        <w:t xml:space="preserve">Documents were segmented using a section-header detection algorithm that identifies structural boundaries in IRS publications (e.g., 'Part I,' numbered subsections, bolded headers). Chunk length was bounded between 200 and 2,000 characters to balance semantic completeness against retrieval context window constraints. Chunks were augmented with topic enrichment prefixes drawn from 17 predefined categories (e.g., 'VISA STATUS: F-1,' 'TREATY BENEFIT: China,' 'FILING REQUIREMENT: Form 8843') to improve semantic alignment between colloquial user queries and legal document language. The corpus yielded 3,726 chunks after processing.</w:t>
      </w:r>
    </w:p>
    <w:p>
      <w:pPr>
        <w:pStyle w:val="Heading3"/>
        <w:spacing w:after="80" w:before="200"/>
      </w:pPr>
      <w:r>
        <w:rPr>
          <w:rFonts w:ascii="Arial" w:cs="Arial" w:eastAsia="Arial" w:hAnsi="Arial"/>
          <w:b/>
          <w:bCs/>
          <w:i/>
          <w:iCs/>
          <w:color w:val="1B2A4A"/>
          <w:sz w:val="22"/>
          <w:szCs w:val="22"/>
        </w:rPr>
        <w:t xml:space="preserve">2.2.3 Embedding and Indexing</w:t>
      </w:r>
    </w:p>
    <w:p>
      <w:pPr>
        <w:spacing w:after="160" w:before="0" w:line="300"/>
        <w:jc w:val="left"/>
      </w:pPr>
      <w:r>
        <w:rPr>
          <w:rFonts w:ascii="Garamond" w:cs="Garamond" w:eastAsia="Garamond" w:hAnsi="Garamond"/>
          <w:b w:val="false"/>
          <w:bCs w:val="false"/>
          <w:i w:val="false"/>
          <w:iCs w:val="false"/>
          <w:color w:val="1A1A1A"/>
          <w:sz w:val="22"/>
          <w:szCs w:val="22"/>
        </w:rPr>
        <w:t xml:space="preserve">Chunks were encoded using the all-MiniLM-L6-v2 sentence transformer model (384-dimensional dense embeddings). The index was constructed using FAISS IndexFlatIP (inner product similarity, equivalent to cosine similarity on normalized vectors). IndexFlatIP performs exact nearest-neighbor search; no approximate indexing was used, given the corpus size (3,726 chunks) for which exhaustive search is computationally feasible.</w:t>
      </w:r>
    </w:p>
    <w:p>
      <w:pPr>
        <w:pStyle w:val="Heading2"/>
        <w:spacing w:after="120" w:before="300"/>
      </w:pPr>
      <w:r>
        <w:rPr>
          <w:rFonts w:ascii="Arial" w:cs="Arial" w:eastAsia="Arial" w:hAnsi="Arial"/>
          <w:b/>
          <w:bCs/>
          <w:color w:val="2E5D8E"/>
          <w:sz w:val="24"/>
          <w:szCs w:val="24"/>
        </w:rPr>
        <w:t xml:space="preserve">2.3 Retrieval Pipeline</w:t>
      </w:r>
    </w:p>
    <w:p>
      <w:pPr>
        <w:pStyle w:val="Heading3"/>
        <w:spacing w:after="80" w:before="200"/>
      </w:pPr>
      <w:r>
        <w:rPr>
          <w:rFonts w:ascii="Arial" w:cs="Arial" w:eastAsia="Arial" w:hAnsi="Arial"/>
          <w:b/>
          <w:bCs/>
          <w:i/>
          <w:iCs/>
          <w:color w:val="1B2A4A"/>
          <w:sz w:val="22"/>
          <w:szCs w:val="22"/>
        </w:rPr>
        <w:t xml:space="preserve">2.3.1 Metadata Filtering</w:t>
      </w:r>
    </w:p>
    <w:p>
      <w:pPr>
        <w:spacing w:after="160" w:before="0" w:line="300"/>
        <w:jc w:val="left"/>
      </w:pPr>
      <w:r>
        <w:rPr>
          <w:rFonts w:ascii="Garamond" w:cs="Garamond" w:eastAsia="Garamond" w:hAnsi="Garamond"/>
          <w:b w:val="false"/>
          <w:bCs w:val="false"/>
          <w:i w:val="false"/>
          <w:iCs w:val="false"/>
          <w:color w:val="1A1A1A"/>
          <w:sz w:val="22"/>
          <w:szCs w:val="22"/>
        </w:rPr>
        <w:t xml:space="preserve">User profiles specify visa type (F-1, J-1, H-1B, or other) and country of origin. At query time, the retrieval pipeline applies metadata filters to restrict candidate chunks to those tagged with the user's visa type and country of origin, or to those tagged as universally applicable (i.e., not country- or visa-specific). This filtering step reduces the candidate pool before similarity scoring, avoiding cross-contamination of treaty-specific guidance across different country profiles.</w:t>
      </w:r>
    </w:p>
    <w:p>
      <w:pPr>
        <w:pStyle w:val="Heading3"/>
        <w:spacing w:after="80" w:before="200"/>
      </w:pPr>
      <w:r>
        <w:rPr>
          <w:rFonts w:ascii="Arial" w:cs="Arial" w:eastAsia="Arial" w:hAnsi="Arial"/>
          <w:b/>
          <w:bCs/>
          <w:i/>
          <w:iCs/>
          <w:color w:val="1B2A4A"/>
          <w:sz w:val="22"/>
          <w:szCs w:val="22"/>
        </w:rPr>
        <w:t xml:space="preserve">2.3.2 Re-Ranking</w:t>
      </w:r>
    </w:p>
    <w:p>
      <w:pPr>
        <w:spacing w:after="160" w:before="0" w:line="300"/>
        <w:jc w:val="left"/>
      </w:pPr>
      <w:r>
        <w:rPr>
          <w:rFonts w:ascii="Garamond" w:cs="Garamond" w:eastAsia="Garamond" w:hAnsi="Garamond"/>
          <w:b w:val="false"/>
          <w:bCs w:val="false"/>
          <w:i w:val="false"/>
          <w:iCs w:val="false"/>
          <w:color w:val="1A1A1A"/>
          <w:sz w:val="22"/>
          <w:szCs w:val="22"/>
        </w:rPr>
        <w:t xml:space="preserve">Initial retrieval used cosine similarity alone, yielding a baseline observed performance of 3 of 10 queries returning contextually appropriate chunks. Analysis identified a systematic failure mode: IRS Publication 519, the largest single document in the corpus (472 chunks), dominated retrieval by volume. A nine-signal re-ranking layer was implemented to address this. Re-ranking signals and their associated boost factors are documented in Table 1.</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rPr>
          <w:tblHeader/>
        </w:trPr>
        <w:tc>
          <w:tcPr>
            <w:tcW w:type="dxa" w:w="3200"/>
            <w:tcBorders>
              <w:top w:val="single" w:color="D8DCE3" w:sz="1"/>
              <w:left w:val="single" w:color="D8DCE3" w:sz="1"/>
              <w:bottom w:val="single" w:color="D8DCE3" w:sz="1"/>
              <w:right w:val="single" w:color="D8DCE3"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Signal Category</w:t>
            </w:r>
          </w:p>
        </w:tc>
        <w:tc>
          <w:tcPr>
            <w:tcW w:type="dxa" w:w="1500"/>
            <w:tcBorders>
              <w:top w:val="single" w:color="D8DCE3" w:sz="1"/>
              <w:left w:val="single" w:color="D8DCE3" w:sz="1"/>
              <w:bottom w:val="single" w:color="D8DCE3" w:sz="1"/>
              <w:right w:val="single" w:color="D8DCE3"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Boost Factor</w:t>
            </w:r>
          </w:p>
        </w:tc>
        <w:tc>
          <w:tcPr>
            <w:tcW w:type="dxa" w:w="4660"/>
            <w:tcBorders>
              <w:top w:val="single" w:color="D8DCE3" w:sz="1"/>
              <w:left w:val="single" w:color="D8DCE3" w:sz="1"/>
              <w:bottom w:val="single" w:color="D8DCE3" w:sz="1"/>
              <w:right w:val="single" w:color="D8DCE3"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Trigger Condition</w:t>
            </w:r>
          </w:p>
        </w:tc>
      </w:tr>
      <w:tr>
        <w:tc>
          <w:tcPr>
            <w:tcW w:type="dxa" w:w="3200"/>
            <w:tcBorders>
              <w:top w:val="single" w:color="D8DCE3" w:sz="1"/>
              <w:left w:val="single" w:color="D8DCE3" w:sz="1"/>
              <w:bottom w:val="single" w:color="D8DCE3" w:sz="1"/>
              <w:right w:val="single" w:color="D8DCE3" w:sz="1"/>
            </w:tcBorders>
            <w:shd w:fill="FFFFFF" w:val="clear"/>
            <w:tcMar>
              <w:top w:type="dxa" w:w="60"/>
              <w:left w:type="dxa" w:w="120"/>
              <w:bottom w:type="dxa" w:w="60"/>
              <w:right w:type="dxa" w:w="120"/>
            </w:tcMar>
          </w:tcPr>
          <w:p>
            <w:pPr>
              <w:jc w:val="left"/>
            </w:pPr>
            <w:r>
              <w:rPr>
                <w:rFonts w:ascii="Garamond" w:cs="Garamond" w:eastAsia="Garamond" w:hAnsi="Garamond"/>
                <w:b w:val="false"/>
                <w:bCs w:val="false"/>
                <w:i w:val="false"/>
                <w:iCs w:val="false"/>
                <w:color w:val="1A1A1A"/>
                <w:sz w:val="19"/>
                <w:szCs w:val="19"/>
              </w:rPr>
              <w:t xml:space="preserve">Visa-type match</w:t>
            </w:r>
          </w:p>
        </w:tc>
        <w:tc>
          <w:tcPr>
            <w:tcW w:type="dxa" w:w="1500"/>
            <w:tcBorders>
              <w:top w:val="single" w:color="D8DCE3" w:sz="1"/>
              <w:left w:val="single" w:color="D8DCE3" w:sz="1"/>
              <w:bottom w:val="single" w:color="D8DCE3" w:sz="1"/>
              <w:right w:val="single" w:color="D8DCE3" w:sz="1"/>
            </w:tcBorders>
            <w:shd w:fill="FFFFFF" w:val="clear"/>
            <w:tcMar>
              <w:top w:type="dxa" w:w="60"/>
              <w:left w:type="dxa" w:w="120"/>
              <w:bottom w:type="dxa" w:w="60"/>
              <w:right w:type="dxa" w:w="120"/>
            </w:tcMar>
          </w:tcPr>
          <w:p>
            <w:pPr>
              <w:jc w:val="center"/>
            </w:pPr>
            <w:r>
              <w:rPr>
                <w:rFonts w:ascii="Garamond" w:cs="Garamond" w:eastAsia="Garamond" w:hAnsi="Garamond"/>
                <w:b w:val="false"/>
                <w:bCs w:val="false"/>
                <w:i w:val="false"/>
                <w:iCs w:val="false"/>
                <w:color w:val="1A1A1A"/>
                <w:sz w:val="19"/>
                <w:szCs w:val="19"/>
              </w:rPr>
              <w:t xml:space="preserve">1.5×</w:t>
            </w:r>
          </w:p>
        </w:tc>
        <w:tc>
          <w:tcPr>
            <w:tcW w:type="dxa" w:w="4660"/>
            <w:tcBorders>
              <w:top w:val="single" w:color="D8DCE3" w:sz="1"/>
              <w:left w:val="single" w:color="D8DCE3" w:sz="1"/>
              <w:bottom w:val="single" w:color="D8DCE3" w:sz="1"/>
              <w:right w:val="single" w:color="D8DCE3" w:sz="1"/>
            </w:tcBorders>
            <w:shd w:fill="FFFFFF" w:val="clear"/>
            <w:tcMar>
              <w:top w:type="dxa" w:w="60"/>
              <w:left w:type="dxa" w:w="120"/>
              <w:bottom w:type="dxa" w:w="60"/>
              <w:right w:type="dxa" w:w="120"/>
            </w:tcMar>
          </w:tcPr>
          <w:p>
            <w:pPr>
              <w:jc w:val="center"/>
            </w:pPr>
            <w:r>
              <w:rPr>
                <w:rFonts w:ascii="Garamond" w:cs="Garamond" w:eastAsia="Garamond" w:hAnsi="Garamond"/>
                <w:b w:val="false"/>
                <w:bCs w:val="false"/>
                <w:i w:val="false"/>
                <w:iCs w:val="false"/>
                <w:color w:val="1A1A1A"/>
                <w:sz w:val="19"/>
                <w:szCs w:val="19"/>
              </w:rPr>
              <w:t xml:space="preserve">Chunk tagged with user's visa type</w:t>
            </w:r>
          </w:p>
        </w:tc>
      </w:tr>
      <w:tr>
        <w:tc>
          <w:tcPr>
            <w:tcW w:type="dxa" w:w="3200"/>
            <w:tcBorders>
              <w:top w:val="single" w:color="D8DCE3" w:sz="1"/>
              <w:left w:val="single" w:color="D8DCE3" w:sz="1"/>
              <w:bottom w:val="single" w:color="D8DCE3" w:sz="1"/>
              <w:right w:val="single" w:color="D8DCE3" w:sz="1"/>
            </w:tcBorders>
            <w:shd w:fill="F3F5F8" w:val="clear"/>
            <w:tcMar>
              <w:top w:type="dxa" w:w="60"/>
              <w:left w:type="dxa" w:w="120"/>
              <w:bottom w:type="dxa" w:w="60"/>
              <w:right w:type="dxa" w:w="120"/>
            </w:tcMar>
          </w:tcPr>
          <w:p>
            <w:pPr>
              <w:jc w:val="left"/>
            </w:pPr>
            <w:r>
              <w:rPr>
                <w:rFonts w:ascii="Garamond" w:cs="Garamond" w:eastAsia="Garamond" w:hAnsi="Garamond"/>
                <w:b w:val="false"/>
                <w:bCs w:val="false"/>
                <w:i w:val="false"/>
                <w:iCs w:val="false"/>
                <w:color w:val="1A1A1A"/>
                <w:sz w:val="19"/>
                <w:szCs w:val="19"/>
              </w:rPr>
              <w:t xml:space="preserve">Country treaty match</w:t>
            </w:r>
          </w:p>
        </w:tc>
        <w:tc>
          <w:tcPr>
            <w:tcW w:type="dxa" w:w="1500"/>
            <w:tcBorders>
              <w:top w:val="single" w:color="D8DCE3" w:sz="1"/>
              <w:left w:val="single" w:color="D8DCE3" w:sz="1"/>
              <w:bottom w:val="single" w:color="D8DCE3" w:sz="1"/>
              <w:right w:val="single" w:color="D8DCE3" w:sz="1"/>
            </w:tcBorders>
            <w:shd w:fill="F3F5F8" w:val="clear"/>
            <w:tcMar>
              <w:top w:type="dxa" w:w="60"/>
              <w:left w:type="dxa" w:w="120"/>
              <w:bottom w:type="dxa" w:w="60"/>
              <w:right w:type="dxa" w:w="120"/>
            </w:tcMar>
          </w:tcPr>
          <w:p>
            <w:pPr>
              <w:jc w:val="center"/>
            </w:pPr>
            <w:r>
              <w:rPr>
                <w:rFonts w:ascii="Garamond" w:cs="Garamond" w:eastAsia="Garamond" w:hAnsi="Garamond"/>
                <w:b w:val="false"/>
                <w:bCs w:val="false"/>
                <w:i w:val="false"/>
                <w:iCs w:val="false"/>
                <w:color w:val="1A1A1A"/>
                <w:sz w:val="19"/>
                <w:szCs w:val="19"/>
              </w:rPr>
              <w:t xml:space="preserve">1.6×</w:t>
            </w:r>
          </w:p>
        </w:tc>
        <w:tc>
          <w:tcPr>
            <w:tcW w:type="dxa" w:w="4660"/>
            <w:tcBorders>
              <w:top w:val="single" w:color="D8DCE3" w:sz="1"/>
              <w:left w:val="single" w:color="D8DCE3" w:sz="1"/>
              <w:bottom w:val="single" w:color="D8DCE3" w:sz="1"/>
              <w:right w:val="single" w:color="D8DCE3" w:sz="1"/>
            </w:tcBorders>
            <w:shd w:fill="F3F5F8" w:val="clear"/>
            <w:tcMar>
              <w:top w:type="dxa" w:w="60"/>
              <w:left w:type="dxa" w:w="120"/>
              <w:bottom w:type="dxa" w:w="60"/>
              <w:right w:type="dxa" w:w="120"/>
            </w:tcMar>
          </w:tcPr>
          <w:p>
            <w:pPr>
              <w:jc w:val="center"/>
            </w:pPr>
            <w:r>
              <w:rPr>
                <w:rFonts w:ascii="Garamond" w:cs="Garamond" w:eastAsia="Garamond" w:hAnsi="Garamond"/>
                <w:b w:val="false"/>
                <w:bCs w:val="false"/>
                <w:i w:val="false"/>
                <w:iCs w:val="false"/>
                <w:color w:val="1A1A1A"/>
                <w:sz w:val="19"/>
                <w:szCs w:val="19"/>
              </w:rPr>
              <w:t xml:space="preserve">Chunk tagged with user's home country</w:t>
            </w:r>
          </w:p>
        </w:tc>
      </w:tr>
      <w:tr>
        <w:tc>
          <w:tcPr>
            <w:tcW w:type="dxa" w:w="3200"/>
            <w:tcBorders>
              <w:top w:val="single" w:color="D8DCE3" w:sz="1"/>
              <w:left w:val="single" w:color="D8DCE3" w:sz="1"/>
              <w:bottom w:val="single" w:color="D8DCE3" w:sz="1"/>
              <w:right w:val="single" w:color="D8DCE3" w:sz="1"/>
            </w:tcBorders>
            <w:shd w:fill="FFFFFF" w:val="clear"/>
            <w:tcMar>
              <w:top w:type="dxa" w:w="60"/>
              <w:left w:type="dxa" w:w="120"/>
              <w:bottom w:type="dxa" w:w="60"/>
              <w:right w:type="dxa" w:w="120"/>
            </w:tcMar>
          </w:tcPr>
          <w:p>
            <w:pPr>
              <w:jc w:val="left"/>
            </w:pPr>
            <w:r>
              <w:rPr>
                <w:rFonts w:ascii="Garamond" w:cs="Garamond" w:eastAsia="Garamond" w:hAnsi="Garamond"/>
                <w:b w:val="false"/>
                <w:bCs w:val="false"/>
                <w:i w:val="false"/>
                <w:iCs w:val="false"/>
                <w:color w:val="1A1A1A"/>
                <w:sz w:val="19"/>
                <w:szCs w:val="19"/>
              </w:rPr>
              <w:t xml:space="preserve">Topic category match</w:t>
            </w:r>
          </w:p>
        </w:tc>
        <w:tc>
          <w:tcPr>
            <w:tcW w:type="dxa" w:w="1500"/>
            <w:tcBorders>
              <w:top w:val="single" w:color="D8DCE3" w:sz="1"/>
              <w:left w:val="single" w:color="D8DCE3" w:sz="1"/>
              <w:bottom w:val="single" w:color="D8DCE3" w:sz="1"/>
              <w:right w:val="single" w:color="D8DCE3" w:sz="1"/>
            </w:tcBorders>
            <w:shd w:fill="FFFFFF" w:val="clear"/>
            <w:tcMar>
              <w:top w:type="dxa" w:w="60"/>
              <w:left w:type="dxa" w:w="120"/>
              <w:bottom w:type="dxa" w:w="60"/>
              <w:right w:type="dxa" w:w="120"/>
            </w:tcMar>
          </w:tcPr>
          <w:p>
            <w:pPr>
              <w:jc w:val="center"/>
            </w:pPr>
            <w:r>
              <w:rPr>
                <w:rFonts w:ascii="Garamond" w:cs="Garamond" w:eastAsia="Garamond" w:hAnsi="Garamond"/>
                <w:b w:val="false"/>
                <w:bCs w:val="false"/>
                <w:i w:val="false"/>
                <w:iCs w:val="false"/>
                <w:color w:val="1A1A1A"/>
                <w:sz w:val="19"/>
                <w:szCs w:val="19"/>
              </w:rPr>
              <w:t xml:space="preserve">1.4×</w:t>
            </w:r>
          </w:p>
        </w:tc>
        <w:tc>
          <w:tcPr>
            <w:tcW w:type="dxa" w:w="4660"/>
            <w:tcBorders>
              <w:top w:val="single" w:color="D8DCE3" w:sz="1"/>
              <w:left w:val="single" w:color="D8DCE3" w:sz="1"/>
              <w:bottom w:val="single" w:color="D8DCE3" w:sz="1"/>
              <w:right w:val="single" w:color="D8DCE3" w:sz="1"/>
            </w:tcBorders>
            <w:shd w:fill="FFFFFF" w:val="clear"/>
            <w:tcMar>
              <w:top w:type="dxa" w:w="60"/>
              <w:left w:type="dxa" w:w="120"/>
              <w:bottom w:type="dxa" w:w="60"/>
              <w:right w:type="dxa" w:w="120"/>
            </w:tcMar>
          </w:tcPr>
          <w:p>
            <w:pPr>
              <w:jc w:val="center"/>
            </w:pPr>
            <w:r>
              <w:rPr>
                <w:rFonts w:ascii="Garamond" w:cs="Garamond" w:eastAsia="Garamond" w:hAnsi="Garamond"/>
                <w:b w:val="false"/>
                <w:bCs w:val="false"/>
                <w:i w:val="false"/>
                <w:iCs w:val="false"/>
                <w:color w:val="1A1A1A"/>
                <w:sz w:val="19"/>
                <w:szCs w:val="19"/>
              </w:rPr>
              <w:t xml:space="preserve">Chunk prefix matches query topic category</w:t>
            </w:r>
          </w:p>
        </w:tc>
      </w:tr>
      <w:tr>
        <w:tc>
          <w:tcPr>
            <w:tcW w:type="dxa" w:w="3200"/>
            <w:tcBorders>
              <w:top w:val="single" w:color="D8DCE3" w:sz="1"/>
              <w:left w:val="single" w:color="D8DCE3" w:sz="1"/>
              <w:bottom w:val="single" w:color="D8DCE3" w:sz="1"/>
              <w:right w:val="single" w:color="D8DCE3" w:sz="1"/>
            </w:tcBorders>
            <w:shd w:fill="F3F5F8" w:val="clear"/>
            <w:tcMar>
              <w:top w:type="dxa" w:w="60"/>
              <w:left w:type="dxa" w:w="120"/>
              <w:bottom w:type="dxa" w:w="60"/>
              <w:right w:type="dxa" w:w="120"/>
            </w:tcMar>
          </w:tcPr>
          <w:p>
            <w:pPr>
              <w:jc w:val="left"/>
            </w:pPr>
            <w:r>
              <w:rPr>
                <w:rFonts w:ascii="Garamond" w:cs="Garamond" w:eastAsia="Garamond" w:hAnsi="Garamond"/>
                <w:b w:val="false"/>
                <w:bCs w:val="false"/>
                <w:i w:val="false"/>
                <w:iCs w:val="false"/>
                <w:color w:val="1A1A1A"/>
                <w:sz w:val="19"/>
                <w:szCs w:val="19"/>
              </w:rPr>
              <w:t xml:space="preserve">Form number match</w:t>
            </w:r>
          </w:p>
        </w:tc>
        <w:tc>
          <w:tcPr>
            <w:tcW w:type="dxa" w:w="1500"/>
            <w:tcBorders>
              <w:top w:val="single" w:color="D8DCE3" w:sz="1"/>
              <w:left w:val="single" w:color="D8DCE3" w:sz="1"/>
              <w:bottom w:val="single" w:color="D8DCE3" w:sz="1"/>
              <w:right w:val="single" w:color="D8DCE3" w:sz="1"/>
            </w:tcBorders>
            <w:shd w:fill="F3F5F8" w:val="clear"/>
            <w:tcMar>
              <w:top w:type="dxa" w:w="60"/>
              <w:left w:type="dxa" w:w="120"/>
              <w:bottom w:type="dxa" w:w="60"/>
              <w:right w:type="dxa" w:w="120"/>
            </w:tcMar>
          </w:tcPr>
          <w:p>
            <w:pPr>
              <w:jc w:val="center"/>
            </w:pPr>
            <w:r>
              <w:rPr>
                <w:rFonts w:ascii="Garamond" w:cs="Garamond" w:eastAsia="Garamond" w:hAnsi="Garamond"/>
                <w:b w:val="false"/>
                <w:bCs w:val="false"/>
                <w:i w:val="false"/>
                <w:iCs w:val="false"/>
                <w:color w:val="1A1A1A"/>
                <w:sz w:val="19"/>
                <w:szCs w:val="19"/>
              </w:rPr>
              <w:t xml:space="preserve">1.3×</w:t>
            </w:r>
          </w:p>
        </w:tc>
        <w:tc>
          <w:tcPr>
            <w:tcW w:type="dxa" w:w="4660"/>
            <w:tcBorders>
              <w:top w:val="single" w:color="D8DCE3" w:sz="1"/>
              <w:left w:val="single" w:color="D8DCE3" w:sz="1"/>
              <w:bottom w:val="single" w:color="D8DCE3" w:sz="1"/>
              <w:right w:val="single" w:color="D8DCE3" w:sz="1"/>
            </w:tcBorders>
            <w:shd w:fill="F3F5F8" w:val="clear"/>
            <w:tcMar>
              <w:top w:type="dxa" w:w="60"/>
              <w:left w:type="dxa" w:w="120"/>
              <w:bottom w:type="dxa" w:w="60"/>
              <w:right w:type="dxa" w:w="120"/>
            </w:tcMar>
          </w:tcPr>
          <w:p>
            <w:pPr>
              <w:jc w:val="center"/>
            </w:pPr>
            <w:r>
              <w:rPr>
                <w:rFonts w:ascii="Garamond" w:cs="Garamond" w:eastAsia="Garamond" w:hAnsi="Garamond"/>
                <w:b w:val="false"/>
                <w:bCs w:val="false"/>
                <w:i w:val="false"/>
                <w:iCs w:val="false"/>
                <w:color w:val="1A1A1A"/>
                <w:sz w:val="19"/>
                <w:szCs w:val="19"/>
              </w:rPr>
              <w:t xml:space="preserve">IRS form number appears in both query and chunk</w:t>
            </w:r>
          </w:p>
        </w:tc>
      </w:tr>
      <w:tr>
        <w:tc>
          <w:tcPr>
            <w:tcW w:type="dxa" w:w="3200"/>
            <w:tcBorders>
              <w:top w:val="single" w:color="D8DCE3" w:sz="1"/>
              <w:left w:val="single" w:color="D8DCE3" w:sz="1"/>
              <w:bottom w:val="single" w:color="D8DCE3" w:sz="1"/>
              <w:right w:val="single" w:color="D8DCE3" w:sz="1"/>
            </w:tcBorders>
            <w:shd w:fill="FFFFFF" w:val="clear"/>
            <w:tcMar>
              <w:top w:type="dxa" w:w="60"/>
              <w:left w:type="dxa" w:w="120"/>
              <w:bottom w:type="dxa" w:w="60"/>
              <w:right w:type="dxa" w:w="120"/>
            </w:tcMar>
          </w:tcPr>
          <w:p>
            <w:pPr>
              <w:jc w:val="left"/>
            </w:pPr>
            <w:r>
              <w:rPr>
                <w:rFonts w:ascii="Garamond" w:cs="Garamond" w:eastAsia="Garamond" w:hAnsi="Garamond"/>
                <w:b w:val="false"/>
                <w:bCs w:val="false"/>
                <w:i w:val="false"/>
                <w:iCs w:val="false"/>
                <w:color w:val="1A1A1A"/>
                <w:sz w:val="19"/>
                <w:szCs w:val="19"/>
              </w:rPr>
              <w:t xml:space="preserve">Header-level content</w:t>
            </w:r>
          </w:p>
        </w:tc>
        <w:tc>
          <w:tcPr>
            <w:tcW w:type="dxa" w:w="1500"/>
            <w:tcBorders>
              <w:top w:val="single" w:color="D8DCE3" w:sz="1"/>
              <w:left w:val="single" w:color="D8DCE3" w:sz="1"/>
              <w:bottom w:val="single" w:color="D8DCE3" w:sz="1"/>
              <w:right w:val="single" w:color="D8DCE3" w:sz="1"/>
            </w:tcBorders>
            <w:shd w:fill="FFFFFF" w:val="clear"/>
            <w:tcMar>
              <w:top w:type="dxa" w:w="60"/>
              <w:left w:type="dxa" w:w="120"/>
              <w:bottom w:type="dxa" w:w="60"/>
              <w:right w:type="dxa" w:w="120"/>
            </w:tcMar>
          </w:tcPr>
          <w:p>
            <w:pPr>
              <w:jc w:val="center"/>
            </w:pPr>
            <w:r>
              <w:rPr>
                <w:rFonts w:ascii="Garamond" w:cs="Garamond" w:eastAsia="Garamond" w:hAnsi="Garamond"/>
                <w:b w:val="false"/>
                <w:bCs w:val="false"/>
                <w:i w:val="false"/>
                <w:iCs w:val="false"/>
                <w:color w:val="1A1A1A"/>
                <w:sz w:val="19"/>
                <w:szCs w:val="19"/>
              </w:rPr>
              <w:t xml:space="preserve">1.2×</w:t>
            </w:r>
          </w:p>
        </w:tc>
        <w:tc>
          <w:tcPr>
            <w:tcW w:type="dxa" w:w="4660"/>
            <w:tcBorders>
              <w:top w:val="single" w:color="D8DCE3" w:sz="1"/>
              <w:left w:val="single" w:color="D8DCE3" w:sz="1"/>
              <w:bottom w:val="single" w:color="D8DCE3" w:sz="1"/>
              <w:right w:val="single" w:color="D8DCE3" w:sz="1"/>
            </w:tcBorders>
            <w:shd w:fill="FFFFFF" w:val="clear"/>
            <w:tcMar>
              <w:top w:type="dxa" w:w="60"/>
              <w:left w:type="dxa" w:w="120"/>
              <w:bottom w:type="dxa" w:w="60"/>
              <w:right w:type="dxa" w:w="120"/>
            </w:tcMar>
          </w:tcPr>
          <w:p>
            <w:pPr>
              <w:jc w:val="center"/>
            </w:pPr>
            <w:r>
              <w:rPr>
                <w:rFonts w:ascii="Garamond" w:cs="Garamond" w:eastAsia="Garamond" w:hAnsi="Garamond"/>
                <w:b w:val="false"/>
                <w:bCs w:val="false"/>
                <w:i w:val="false"/>
                <w:iCs w:val="false"/>
                <w:color w:val="1A1A1A"/>
                <w:sz w:val="19"/>
                <w:szCs w:val="19"/>
              </w:rPr>
              <w:t xml:space="preserve">Chunk originates from a section header</w:t>
            </w:r>
          </w:p>
        </w:tc>
      </w:tr>
      <w:tr>
        <w:tc>
          <w:tcPr>
            <w:tcW w:type="dxa" w:w="3200"/>
            <w:tcBorders>
              <w:top w:val="single" w:color="D8DCE3" w:sz="1"/>
              <w:left w:val="single" w:color="D8DCE3" w:sz="1"/>
              <w:bottom w:val="single" w:color="D8DCE3" w:sz="1"/>
              <w:right w:val="single" w:color="D8DCE3" w:sz="1"/>
            </w:tcBorders>
            <w:shd w:fill="F3F5F8" w:val="clear"/>
            <w:tcMar>
              <w:top w:type="dxa" w:w="60"/>
              <w:left w:type="dxa" w:w="120"/>
              <w:bottom w:type="dxa" w:w="60"/>
              <w:right w:type="dxa" w:w="120"/>
            </w:tcMar>
          </w:tcPr>
          <w:p>
            <w:pPr>
              <w:jc w:val="left"/>
            </w:pPr>
            <w:r>
              <w:rPr>
                <w:rFonts w:ascii="Garamond" w:cs="Garamond" w:eastAsia="Garamond" w:hAnsi="Garamond"/>
                <w:b w:val="false"/>
                <w:bCs w:val="false"/>
                <w:i w:val="false"/>
                <w:iCs w:val="false"/>
                <w:color w:val="1A1A1A"/>
                <w:sz w:val="19"/>
                <w:szCs w:val="19"/>
              </w:rPr>
              <w:t xml:space="preserve">HTML source</w:t>
            </w:r>
          </w:p>
        </w:tc>
        <w:tc>
          <w:tcPr>
            <w:tcW w:type="dxa" w:w="1500"/>
            <w:tcBorders>
              <w:top w:val="single" w:color="D8DCE3" w:sz="1"/>
              <w:left w:val="single" w:color="D8DCE3" w:sz="1"/>
              <w:bottom w:val="single" w:color="D8DCE3" w:sz="1"/>
              <w:right w:val="single" w:color="D8DCE3" w:sz="1"/>
            </w:tcBorders>
            <w:shd w:fill="F3F5F8" w:val="clear"/>
            <w:tcMar>
              <w:top w:type="dxa" w:w="60"/>
              <w:left w:type="dxa" w:w="120"/>
              <w:bottom w:type="dxa" w:w="60"/>
              <w:right w:type="dxa" w:w="120"/>
            </w:tcMar>
          </w:tcPr>
          <w:p>
            <w:pPr>
              <w:jc w:val="center"/>
            </w:pPr>
            <w:r>
              <w:rPr>
                <w:rFonts w:ascii="Garamond" w:cs="Garamond" w:eastAsia="Garamond" w:hAnsi="Garamond"/>
                <w:b w:val="false"/>
                <w:bCs w:val="false"/>
                <w:i w:val="false"/>
                <w:iCs w:val="false"/>
                <w:color w:val="1A1A1A"/>
                <w:sz w:val="19"/>
                <w:szCs w:val="19"/>
              </w:rPr>
              <w:t xml:space="preserve">1.1×</w:t>
            </w:r>
          </w:p>
        </w:tc>
        <w:tc>
          <w:tcPr>
            <w:tcW w:type="dxa" w:w="4660"/>
            <w:tcBorders>
              <w:top w:val="single" w:color="D8DCE3" w:sz="1"/>
              <w:left w:val="single" w:color="D8DCE3" w:sz="1"/>
              <w:bottom w:val="single" w:color="D8DCE3" w:sz="1"/>
              <w:right w:val="single" w:color="D8DCE3" w:sz="1"/>
            </w:tcBorders>
            <w:shd w:fill="F3F5F8" w:val="clear"/>
            <w:tcMar>
              <w:top w:type="dxa" w:w="60"/>
              <w:left w:type="dxa" w:w="120"/>
              <w:bottom w:type="dxa" w:w="60"/>
              <w:right w:type="dxa" w:w="120"/>
            </w:tcMar>
          </w:tcPr>
          <w:p>
            <w:pPr>
              <w:jc w:val="center"/>
            </w:pPr>
            <w:r>
              <w:rPr>
                <w:rFonts w:ascii="Garamond" w:cs="Garamond" w:eastAsia="Garamond" w:hAnsi="Garamond"/>
                <w:b w:val="false"/>
                <w:bCs w:val="false"/>
                <w:i w:val="false"/>
                <w:iCs w:val="false"/>
                <w:color w:val="1A1A1A"/>
                <w:sz w:val="19"/>
                <w:szCs w:val="19"/>
              </w:rPr>
              <w:t xml:space="preserve">Chunk extracted from HTML (higher formatting fidelity)</w:t>
            </w:r>
          </w:p>
        </w:tc>
      </w:tr>
      <w:tr>
        <w:tc>
          <w:tcPr>
            <w:tcW w:type="dxa" w:w="3200"/>
            <w:tcBorders>
              <w:top w:val="single" w:color="D8DCE3" w:sz="1"/>
              <w:left w:val="single" w:color="D8DCE3" w:sz="1"/>
              <w:bottom w:val="single" w:color="D8DCE3" w:sz="1"/>
              <w:right w:val="single" w:color="D8DCE3" w:sz="1"/>
            </w:tcBorders>
            <w:shd w:fill="FFFFFF" w:val="clear"/>
            <w:tcMar>
              <w:top w:type="dxa" w:w="60"/>
              <w:left w:type="dxa" w:w="120"/>
              <w:bottom w:type="dxa" w:w="60"/>
              <w:right w:type="dxa" w:w="120"/>
            </w:tcMar>
          </w:tcPr>
          <w:p>
            <w:pPr>
              <w:jc w:val="left"/>
            </w:pPr>
            <w:r>
              <w:rPr>
                <w:rFonts w:ascii="Garamond" w:cs="Garamond" w:eastAsia="Garamond" w:hAnsi="Garamond"/>
                <w:b w:val="false"/>
                <w:bCs w:val="false"/>
                <w:i w:val="false"/>
                <w:iCs w:val="false"/>
                <w:color w:val="1A1A1A"/>
                <w:sz w:val="19"/>
                <w:szCs w:val="19"/>
              </w:rPr>
              <w:t xml:space="preserve">Recency weight</w:t>
            </w:r>
          </w:p>
        </w:tc>
        <w:tc>
          <w:tcPr>
            <w:tcW w:type="dxa" w:w="1500"/>
            <w:tcBorders>
              <w:top w:val="single" w:color="D8DCE3" w:sz="1"/>
              <w:left w:val="single" w:color="D8DCE3" w:sz="1"/>
              <w:bottom w:val="single" w:color="D8DCE3" w:sz="1"/>
              <w:right w:val="single" w:color="D8DCE3" w:sz="1"/>
            </w:tcBorders>
            <w:shd w:fill="FFFFFF" w:val="clear"/>
            <w:tcMar>
              <w:top w:type="dxa" w:w="60"/>
              <w:left w:type="dxa" w:w="120"/>
              <w:bottom w:type="dxa" w:w="60"/>
              <w:right w:type="dxa" w:w="120"/>
            </w:tcMar>
          </w:tcPr>
          <w:p>
            <w:pPr>
              <w:jc w:val="center"/>
            </w:pPr>
            <w:r>
              <w:rPr>
                <w:rFonts w:ascii="Garamond" w:cs="Garamond" w:eastAsia="Garamond" w:hAnsi="Garamond"/>
                <w:b w:val="false"/>
                <w:bCs w:val="false"/>
                <w:i w:val="false"/>
                <w:iCs w:val="false"/>
                <w:color w:val="1A1A1A"/>
                <w:sz w:val="19"/>
                <w:szCs w:val="19"/>
              </w:rPr>
              <w:t xml:space="preserve">1.1×</w:t>
            </w:r>
          </w:p>
        </w:tc>
        <w:tc>
          <w:tcPr>
            <w:tcW w:type="dxa" w:w="4660"/>
            <w:tcBorders>
              <w:top w:val="single" w:color="D8DCE3" w:sz="1"/>
              <w:left w:val="single" w:color="D8DCE3" w:sz="1"/>
              <w:bottom w:val="single" w:color="D8DCE3" w:sz="1"/>
              <w:right w:val="single" w:color="D8DCE3" w:sz="1"/>
            </w:tcBorders>
            <w:shd w:fill="FFFFFF" w:val="clear"/>
            <w:tcMar>
              <w:top w:type="dxa" w:w="60"/>
              <w:left w:type="dxa" w:w="120"/>
              <w:bottom w:type="dxa" w:w="60"/>
              <w:right w:type="dxa" w:w="120"/>
            </w:tcMar>
          </w:tcPr>
          <w:p>
            <w:pPr>
              <w:jc w:val="center"/>
            </w:pPr>
            <w:r>
              <w:rPr>
                <w:rFonts w:ascii="Garamond" w:cs="Garamond" w:eastAsia="Garamond" w:hAnsi="Garamond"/>
                <w:b w:val="false"/>
                <w:bCs w:val="false"/>
                <w:i w:val="false"/>
                <w:iCs w:val="false"/>
                <w:color w:val="1A1A1A"/>
                <w:sz w:val="19"/>
                <w:szCs w:val="19"/>
              </w:rPr>
              <w:t xml:space="preserve">Chunk from most recently published source</w:t>
            </w:r>
          </w:p>
        </w:tc>
      </w:tr>
      <w:tr>
        <w:tc>
          <w:tcPr>
            <w:tcW w:type="dxa" w:w="3200"/>
            <w:tcBorders>
              <w:top w:val="single" w:color="D8DCE3" w:sz="1"/>
              <w:left w:val="single" w:color="D8DCE3" w:sz="1"/>
              <w:bottom w:val="single" w:color="D8DCE3" w:sz="1"/>
              <w:right w:val="single" w:color="D8DCE3" w:sz="1"/>
            </w:tcBorders>
            <w:shd w:fill="F3F5F8" w:val="clear"/>
            <w:tcMar>
              <w:top w:type="dxa" w:w="60"/>
              <w:left w:type="dxa" w:w="120"/>
              <w:bottom w:type="dxa" w:w="60"/>
              <w:right w:type="dxa" w:w="120"/>
            </w:tcMar>
          </w:tcPr>
          <w:p>
            <w:pPr>
              <w:jc w:val="left"/>
            </w:pPr>
            <w:r>
              <w:rPr>
                <w:rFonts w:ascii="Garamond" w:cs="Garamond" w:eastAsia="Garamond" w:hAnsi="Garamond"/>
                <w:b w:val="false"/>
                <w:bCs w:val="false"/>
                <w:i w:val="false"/>
                <w:iCs w:val="false"/>
                <w:color w:val="1A1A1A"/>
                <w:sz w:val="19"/>
                <w:szCs w:val="19"/>
              </w:rPr>
              <w:t xml:space="preserve">Query term overlap</w:t>
            </w:r>
          </w:p>
        </w:tc>
        <w:tc>
          <w:tcPr>
            <w:tcW w:type="dxa" w:w="1500"/>
            <w:tcBorders>
              <w:top w:val="single" w:color="D8DCE3" w:sz="1"/>
              <w:left w:val="single" w:color="D8DCE3" w:sz="1"/>
              <w:bottom w:val="single" w:color="D8DCE3" w:sz="1"/>
              <w:right w:val="single" w:color="D8DCE3" w:sz="1"/>
            </w:tcBorders>
            <w:shd w:fill="F3F5F8" w:val="clear"/>
            <w:tcMar>
              <w:top w:type="dxa" w:w="60"/>
              <w:left w:type="dxa" w:w="120"/>
              <w:bottom w:type="dxa" w:w="60"/>
              <w:right w:type="dxa" w:w="120"/>
            </w:tcMar>
          </w:tcPr>
          <w:p>
            <w:pPr>
              <w:jc w:val="center"/>
            </w:pPr>
            <w:r>
              <w:rPr>
                <w:rFonts w:ascii="Garamond" w:cs="Garamond" w:eastAsia="Garamond" w:hAnsi="Garamond"/>
                <w:b w:val="false"/>
                <w:bCs w:val="false"/>
                <w:i w:val="false"/>
                <w:iCs w:val="false"/>
                <w:color w:val="1A1A1A"/>
                <w:sz w:val="19"/>
                <w:szCs w:val="19"/>
              </w:rPr>
              <w:t xml:space="preserve">1.2×</w:t>
            </w:r>
          </w:p>
        </w:tc>
        <w:tc>
          <w:tcPr>
            <w:tcW w:type="dxa" w:w="4660"/>
            <w:tcBorders>
              <w:top w:val="single" w:color="D8DCE3" w:sz="1"/>
              <w:left w:val="single" w:color="D8DCE3" w:sz="1"/>
              <w:bottom w:val="single" w:color="D8DCE3" w:sz="1"/>
              <w:right w:val="single" w:color="D8DCE3" w:sz="1"/>
            </w:tcBorders>
            <w:shd w:fill="F3F5F8" w:val="clear"/>
            <w:tcMar>
              <w:top w:type="dxa" w:w="60"/>
              <w:left w:type="dxa" w:w="120"/>
              <w:bottom w:type="dxa" w:w="60"/>
              <w:right w:type="dxa" w:w="120"/>
            </w:tcMar>
          </w:tcPr>
          <w:p>
            <w:pPr>
              <w:jc w:val="center"/>
            </w:pPr>
            <w:r>
              <w:rPr>
                <w:rFonts w:ascii="Garamond" w:cs="Garamond" w:eastAsia="Garamond" w:hAnsi="Garamond"/>
                <w:b w:val="false"/>
                <w:bCs w:val="false"/>
                <w:i w:val="false"/>
                <w:iCs w:val="false"/>
                <w:color w:val="1A1A1A"/>
                <w:sz w:val="19"/>
                <w:szCs w:val="19"/>
              </w:rPr>
              <w:t xml:space="preserve">Lexical overlap between query tokens and chunk</w:t>
            </w:r>
          </w:p>
        </w:tc>
      </w:tr>
      <w:tr>
        <w:tc>
          <w:tcPr>
            <w:tcW w:type="dxa" w:w="3200"/>
            <w:tcBorders>
              <w:top w:val="single" w:color="D8DCE3" w:sz="1"/>
              <w:left w:val="single" w:color="D8DCE3" w:sz="1"/>
              <w:bottom w:val="single" w:color="D8DCE3" w:sz="1"/>
              <w:right w:val="single" w:color="D8DCE3" w:sz="1"/>
            </w:tcBorders>
            <w:shd w:fill="FFFFFF" w:val="clear"/>
            <w:tcMar>
              <w:top w:type="dxa" w:w="60"/>
              <w:left w:type="dxa" w:w="120"/>
              <w:bottom w:type="dxa" w:w="60"/>
              <w:right w:type="dxa" w:w="120"/>
            </w:tcMar>
          </w:tcPr>
          <w:p>
            <w:pPr>
              <w:jc w:val="left"/>
            </w:pPr>
            <w:r>
              <w:rPr>
                <w:rFonts w:ascii="Garamond" w:cs="Garamond" w:eastAsia="Garamond" w:hAnsi="Garamond"/>
                <w:b w:val="false"/>
                <w:bCs w:val="false"/>
                <w:i w:val="false"/>
                <w:iCs w:val="false"/>
                <w:color w:val="1A1A1A"/>
                <w:sz w:val="19"/>
                <w:szCs w:val="19"/>
              </w:rPr>
              <w:t xml:space="preserve">Publication specificity</w:t>
            </w:r>
          </w:p>
        </w:tc>
        <w:tc>
          <w:tcPr>
            <w:tcW w:type="dxa" w:w="1500"/>
            <w:tcBorders>
              <w:top w:val="single" w:color="D8DCE3" w:sz="1"/>
              <w:left w:val="single" w:color="D8DCE3" w:sz="1"/>
              <w:bottom w:val="single" w:color="D8DCE3" w:sz="1"/>
              <w:right w:val="single" w:color="D8DCE3" w:sz="1"/>
            </w:tcBorders>
            <w:shd w:fill="FFFFFF" w:val="clear"/>
            <w:tcMar>
              <w:top w:type="dxa" w:w="60"/>
              <w:left w:type="dxa" w:w="120"/>
              <w:bottom w:type="dxa" w:w="60"/>
              <w:right w:type="dxa" w:w="120"/>
            </w:tcMar>
          </w:tcPr>
          <w:p>
            <w:pPr>
              <w:jc w:val="center"/>
            </w:pPr>
            <w:r>
              <w:rPr>
                <w:rFonts w:ascii="Garamond" w:cs="Garamond" w:eastAsia="Garamond" w:hAnsi="Garamond"/>
                <w:b w:val="false"/>
                <w:bCs w:val="false"/>
                <w:i w:val="false"/>
                <w:iCs w:val="false"/>
                <w:color w:val="1A1A1A"/>
                <w:sz w:val="19"/>
                <w:szCs w:val="19"/>
              </w:rPr>
              <w:t xml:space="preserve">1.3×</w:t>
            </w:r>
          </w:p>
        </w:tc>
        <w:tc>
          <w:tcPr>
            <w:tcW w:type="dxa" w:w="4660"/>
            <w:tcBorders>
              <w:top w:val="single" w:color="D8DCE3" w:sz="1"/>
              <w:left w:val="single" w:color="D8DCE3" w:sz="1"/>
              <w:bottom w:val="single" w:color="D8DCE3" w:sz="1"/>
              <w:right w:val="single" w:color="D8DCE3" w:sz="1"/>
            </w:tcBorders>
            <w:shd w:fill="FFFFFF" w:val="clear"/>
            <w:tcMar>
              <w:top w:type="dxa" w:w="60"/>
              <w:left w:type="dxa" w:w="120"/>
              <w:bottom w:type="dxa" w:w="60"/>
              <w:right w:type="dxa" w:w="120"/>
            </w:tcMar>
          </w:tcPr>
          <w:p>
            <w:pPr>
              <w:jc w:val="center"/>
            </w:pPr>
            <w:r>
              <w:rPr>
                <w:rFonts w:ascii="Garamond" w:cs="Garamond" w:eastAsia="Garamond" w:hAnsi="Garamond"/>
                <w:b w:val="false"/>
                <w:bCs w:val="false"/>
                <w:i w:val="false"/>
                <w:iCs w:val="false"/>
                <w:color w:val="1A1A1A"/>
                <w:sz w:val="19"/>
                <w:szCs w:val="19"/>
              </w:rPr>
              <w:t xml:space="preserve">Chunk from a visa- or treaty-specific publication vs. general</w:t>
            </w:r>
          </w:p>
        </w:tc>
      </w:tr>
    </w:tbl>
    <w:p>
      <w:pPr>
        <w:spacing w:after="200" w:before="80" w:line="276"/>
        <w:jc w:val="center"/>
      </w:pPr>
      <w:r>
        <w:rPr>
          <w:rFonts w:ascii="Garamond" w:cs="Garamond" w:eastAsia="Garamond" w:hAnsi="Garamond"/>
          <w:b w:val="false"/>
          <w:bCs w:val="false"/>
          <w:i/>
          <w:iCs/>
          <w:color w:val="777777"/>
          <w:sz w:val="18"/>
          <w:szCs w:val="18"/>
        </w:rPr>
        <w:t xml:space="preserve">Table 1. Re-ranking signal categories, boost factors, and trigger conditions. Boosts are multiplicative and applied cumulatively. [NEEDS HUMAN REVIEW: confirm these values match implementation.]</w:t>
      </w:r>
    </w:p>
    <w:p>
      <w:pPr>
        <w:pStyle w:val="Heading2"/>
        <w:spacing w:after="120" w:before="300"/>
      </w:pPr>
      <w:r>
        <w:rPr>
          <w:rFonts w:ascii="Arial" w:cs="Arial" w:eastAsia="Arial" w:hAnsi="Arial"/>
          <w:b/>
          <w:bCs/>
          <w:color w:val="2E5D8E"/>
          <w:sz w:val="24"/>
          <w:szCs w:val="24"/>
        </w:rPr>
        <w:t xml:space="preserve">2.4 Generation and Safety Architecture</w:t>
      </w:r>
    </w:p>
    <w:p>
      <w:pPr>
        <w:pStyle w:val="Heading3"/>
        <w:spacing w:after="80" w:before="200"/>
      </w:pPr>
      <w:r>
        <w:rPr>
          <w:rFonts w:ascii="Arial" w:cs="Arial" w:eastAsia="Arial" w:hAnsi="Arial"/>
          <w:b/>
          <w:bCs/>
          <w:i/>
          <w:iCs/>
          <w:color w:val="1B2A4A"/>
          <w:sz w:val="22"/>
          <w:szCs w:val="22"/>
        </w:rPr>
        <w:t xml:space="preserve">2.4.1 Language Model</w:t>
      </w:r>
    </w:p>
    <w:p>
      <w:pPr>
        <w:spacing w:after="160" w:before="0" w:line="300"/>
        <w:jc w:val="left"/>
      </w:pPr>
      <w:r>
        <w:rPr>
          <w:rFonts w:ascii="Garamond" w:cs="Garamond" w:eastAsia="Garamond" w:hAnsi="Garamond"/>
          <w:b w:val="false"/>
          <w:bCs w:val="false"/>
          <w:i w:val="false"/>
          <w:iCs w:val="false"/>
          <w:color w:val="1A1A1A"/>
          <w:sz w:val="22"/>
          <w:szCs w:val="22"/>
        </w:rPr>
        <w:t xml:space="preserve">Response generation used Groq LLaMA 3.1 8B Instant [NEEDS HUMAN REVIEW: confirm exact version string and pin date for replicability]. Inference was configured at temperature = 0.0 to suppress stochastic variation and ensure deterministic responses for a given context window — appropriate for a guidance system where consistency is a safety property.</w:t>
      </w:r>
    </w:p>
    <w:p>
      <w:pPr>
        <w:pStyle w:val="Heading3"/>
        <w:spacing w:after="80" w:before="200"/>
      </w:pPr>
      <w:r>
        <w:rPr>
          <w:rFonts w:ascii="Arial" w:cs="Arial" w:eastAsia="Arial" w:hAnsi="Arial"/>
          <w:b/>
          <w:bCs/>
          <w:i/>
          <w:iCs/>
          <w:color w:val="1B2A4A"/>
          <w:sz w:val="22"/>
          <w:szCs w:val="22"/>
        </w:rPr>
        <w:t xml:space="preserve">2.4.2 Citation-Mandatory Prompt Architecture</w:t>
      </w:r>
    </w:p>
    <w:p>
      <w:pPr>
        <w:spacing w:after="160" w:before="0" w:line="300"/>
        <w:jc w:val="left"/>
      </w:pPr>
      <w:r>
        <w:rPr>
          <w:rFonts w:ascii="Garamond" w:cs="Garamond" w:eastAsia="Garamond" w:hAnsi="Garamond"/>
          <w:b w:val="false"/>
          <w:bCs w:val="false"/>
          <w:i w:val="false"/>
          <w:iCs w:val="false"/>
          <w:color w:val="1A1A1A"/>
          <w:sz w:val="22"/>
          <w:szCs w:val="22"/>
        </w:rPr>
        <w:t xml:space="preserve">The system prompt enforces citation of specific IRS source documents for every substantive claim generated. The instruction template requires the model to: (1) identify the IRS publication and section number supporting each statement, (2) explicitly disclaim the response if no supporting source is available in the retrieved context, and (3) avoid hedged generalizations not anchored to a specific IRS source. Session history comprising the prior three conversational turns was included in the context window to support coherent multi-turn guidance. [NEEDS HUMAN REVIEW: include the full system prompt text in an appendix.]</w:t>
      </w:r>
    </w:p>
    <w:p>
      <w:pPr>
        <w:pStyle w:val="Heading3"/>
        <w:spacing w:after="80" w:before="200"/>
      </w:pPr>
      <w:r>
        <w:rPr>
          <w:rFonts w:ascii="Arial" w:cs="Arial" w:eastAsia="Arial" w:hAnsi="Arial"/>
          <w:b/>
          <w:bCs/>
          <w:i/>
          <w:iCs/>
          <w:color w:val="1B2A4A"/>
          <w:sz w:val="22"/>
          <w:szCs w:val="22"/>
        </w:rPr>
        <w:t xml:space="preserve">2.4.3 CPA Escalation Layer</w:t>
      </w:r>
    </w:p>
    <w:p>
      <w:pPr>
        <w:spacing w:after="160" w:before="0" w:line="300"/>
        <w:jc w:val="left"/>
      </w:pPr>
      <w:r>
        <w:rPr>
          <w:rFonts w:ascii="Garamond" w:cs="Garamond" w:eastAsia="Garamond" w:hAnsi="Garamond"/>
          <w:b w:val="false"/>
          <w:bCs w:val="false"/>
          <w:i w:val="false"/>
          <w:iCs w:val="false"/>
          <w:color w:val="1A1A1A"/>
          <w:sz w:val="22"/>
          <w:szCs w:val="22"/>
        </w:rPr>
        <w:t xml:space="preserve">A 24-keyword trigger list was implemented as a pre-generation screening layer. Queries matching any keyword in the trigger set bypass the generation pipeline entirely and return a standardized CPA referral response. Trigger keywords include terms indicating query types that exceed the system's verified coverage — including state tax obligations, investment income, self-employment, and immigration status changes. [NEEDS HUMAN REVIEW: include complete keyword list in appendix.] This design prioritizes user safety over response completeness: the system prefers referral to a professional over generation of guidance in domains where its knowledge base is incomplete.</w:t>
      </w:r>
    </w:p>
    <w:p>
      <w:pPr>
        <w:pStyle w:val="Heading2"/>
        <w:spacing w:after="120" w:before="300"/>
      </w:pPr>
      <w:r>
        <w:rPr>
          <w:rFonts w:ascii="Arial" w:cs="Arial" w:eastAsia="Arial" w:hAnsi="Arial"/>
          <w:b/>
          <w:bCs/>
          <w:color w:val="2E5D8E"/>
          <w:sz w:val="24"/>
          <w:szCs w:val="24"/>
        </w:rPr>
        <w:t xml:space="preserve">2.5 Evaluation Design</w:t>
      </w:r>
    </w:p>
    <w:p>
      <w:pPr>
        <w:spacing w:after="160" w:before="0" w:line="300"/>
        <w:jc w:val="left"/>
      </w:pPr>
      <w:r>
        <w:rPr>
          <w:rFonts w:ascii="Garamond" w:cs="Garamond" w:eastAsia="Garamond" w:hAnsi="Garamond"/>
          <w:b w:val="false"/>
          <w:bCs w:val="false"/>
          <w:i w:val="false"/>
          <w:iCs w:val="false"/>
          <w:color w:val="1A1A1A"/>
          <w:sz w:val="22"/>
          <w:szCs w:val="22"/>
        </w:rPr>
        <w:t xml:space="preserve">The system was evaluated on three dimensions: retrieval quality, escalation precision, and response quality. Evaluation was conducted as a development probe — a structured set of manually designed test cases intended to characterize system behavior rather than to estimate population-level accuracy. All test cases were designed after system tuning; this design timeline is acknowledged as a limitation and the results are interpreted accordingly.</w:t>
      </w:r>
    </w:p>
    <w:p>
      <w:pPr>
        <w:pStyle w:val="Heading3"/>
        <w:spacing w:after="80" w:before="200"/>
      </w:pPr>
      <w:r>
        <w:rPr>
          <w:rFonts w:ascii="Arial" w:cs="Arial" w:eastAsia="Arial" w:hAnsi="Arial"/>
          <w:b/>
          <w:bCs/>
          <w:i/>
          <w:iCs/>
          <w:color w:val="1B2A4A"/>
          <w:sz w:val="22"/>
          <w:szCs w:val="22"/>
        </w:rPr>
        <w:t xml:space="preserve">2.5.1 Retrieval Evaluation</w:t>
      </w:r>
    </w:p>
    <w:p>
      <w:pPr>
        <w:spacing w:after="160" w:before="0" w:line="300"/>
        <w:jc w:val="left"/>
      </w:pPr>
      <w:r>
        <w:rPr>
          <w:rFonts w:ascii="Garamond" w:cs="Garamond" w:eastAsia="Garamond" w:hAnsi="Garamond"/>
          <w:b w:val="false"/>
          <w:bCs w:val="false"/>
          <w:i w:val="false"/>
          <w:iCs w:val="false"/>
          <w:color w:val="1A1A1A"/>
          <w:sz w:val="22"/>
          <w:szCs w:val="22"/>
        </w:rPr>
        <w:t xml:space="preserve">Ten queries were constructed to span the system's intended coverage: visa-specific FICA exemptions, treaty benefit eligibility, Form 8843 filing requirements, the Substantial Presence Test, and fellowship income treatment. A retrieval was scored as correct if (a) the top-ranked retrieved chunk contained content directly relevant to the query's IRS domain, AND (b) the generated response correctly addressed the query using information from that chunk. Two evaluators independently scored each result; [NEEDS HUMAN REVIEW: if only one evaluator was used, state this and note it as a limitation.] The 10-query probe was administered under two conditions: baseline (cosine similarity only) and re-ranked (nine-signal re-ranking applied).</w:t>
      </w:r>
    </w:p>
    <w:p>
      <w:pPr>
        <w:pStyle w:val="Heading3"/>
        <w:spacing w:after="80" w:before="200"/>
      </w:pPr>
      <w:r>
        <w:rPr>
          <w:rFonts w:ascii="Arial" w:cs="Arial" w:eastAsia="Arial" w:hAnsi="Arial"/>
          <w:b/>
          <w:bCs/>
          <w:i/>
          <w:iCs/>
          <w:color w:val="1B2A4A"/>
          <w:sz w:val="22"/>
          <w:szCs w:val="22"/>
        </w:rPr>
        <w:t xml:space="preserve">2.5.2 Escalation Evaluation</w:t>
      </w:r>
    </w:p>
    <w:p>
      <w:pPr>
        <w:spacing w:after="160" w:before="0" w:line="300"/>
        <w:jc w:val="left"/>
      </w:pPr>
      <w:r>
        <w:rPr>
          <w:rFonts w:ascii="Garamond" w:cs="Garamond" w:eastAsia="Garamond" w:hAnsi="Garamond"/>
          <w:b w:val="false"/>
          <w:bCs w:val="false"/>
          <w:i w:val="false"/>
          <w:iCs w:val="false"/>
          <w:color w:val="1A1A1A"/>
          <w:sz w:val="22"/>
          <w:szCs w:val="22"/>
        </w:rPr>
        <w:t xml:space="preserve">Five queries were constructed to trigger escalation: one each for state tax, investment income, self-employment, immigration status change, and business income. A response was scored as correctly escalated if the CPA referral message was returned without any substantive tax guidance being generated. All five queries were confirmed against the 24-keyword list prior to testing.</w:t>
      </w:r>
    </w:p>
    <w:p>
      <w:pPr>
        <w:pStyle w:val="Heading3"/>
        <w:spacing w:after="80" w:before="200"/>
      </w:pPr>
      <w:r>
        <w:rPr>
          <w:rFonts w:ascii="Arial" w:cs="Arial" w:eastAsia="Arial" w:hAnsi="Arial"/>
          <w:b/>
          <w:bCs/>
          <w:i/>
          <w:iCs/>
          <w:color w:val="1B2A4A"/>
          <w:sz w:val="22"/>
          <w:szCs w:val="22"/>
        </w:rPr>
        <w:t xml:space="preserve">2.5.3 Automated Quality Assessment</w:t>
      </w:r>
    </w:p>
    <w:p>
      <w:pPr>
        <w:spacing w:after="160" w:before="0" w:line="300"/>
        <w:jc w:val="left"/>
      </w:pPr>
      <w:r>
        <w:rPr>
          <w:rFonts w:ascii="Garamond" w:cs="Garamond" w:eastAsia="Garamond" w:hAnsi="Garamond"/>
          <w:b w:val="false"/>
          <w:bCs w:val="false"/>
          <w:i w:val="false"/>
          <w:iCs w:val="false"/>
          <w:color w:val="1A1A1A"/>
          <w:sz w:val="22"/>
          <w:szCs w:val="22"/>
        </w:rPr>
        <w:t xml:space="preserve">Faithfulness and answer relevancy were assessed using an LLM-as-judge protocol. The judge model was a Groq-hosted LLM; [NEEDS HUMAN REVIEW: specify whether the judge model was the same as the generator model. If so, add the following caveat: 'Same-family model judging is a known validity threat — the judge may exhibit systematic leniency toward responses generated by a related model. These scores should be interpreted as preliminary automated quality indicators rather than validated metrics.'] The judge prompt is provided in Appendix [X]. [NEEDS HUMAN REVIEW: append judge prompt before submission.] RAGAS-standard faithfulness and answer relevancy definitions were used, with Groq substituted for OpenAI due to API access constraints.</w:t>
      </w:r>
    </w:p>
    <w:p/>
    <w:p>
      <w:pPr>
        <w:pStyle w:val="Heading1"/>
        <w:pBdr>
          <w:bottom w:val="single" w:color="2E5D8E" w:sz="8" w:space="6"/>
        </w:pBdr>
        <w:spacing w:after="160" w:before="400"/>
      </w:pPr>
      <w:r>
        <w:rPr>
          <w:rFonts w:ascii="Arial" w:cs="Arial" w:eastAsia="Arial" w:hAnsi="Arial"/>
          <w:b/>
          <w:bCs/>
          <w:color w:val="1B2A4A"/>
          <w:sz w:val="28"/>
          <w:szCs w:val="28"/>
        </w:rPr>
        <w:t xml:space="preserve">3. RESULTS</w:t>
      </w:r>
    </w:p>
    <w:p>
      <w:pPr>
        <w:spacing w:after="160" w:before="0" w:line="300"/>
        <w:jc w:val="left"/>
      </w:pPr>
      <w:r>
        <w:rPr>
          <w:rFonts w:ascii="Garamond" w:cs="Garamond" w:eastAsia="Garamond" w:hAnsi="Garamond"/>
          <w:b w:val="false"/>
          <w:bCs w:val="false"/>
          <w:i w:val="false"/>
          <w:iCs w:val="false"/>
          <w:color w:val="1A1A1A"/>
          <w:sz w:val="22"/>
          <w:szCs w:val="22"/>
        </w:rPr>
        <w:t xml:space="preserve">Results are organized in order of evaluation dimension: retrieval quality (the system's ability to surface relevant IRS content), escalation precision (the system's ability to correctly identify and route out-of-scope queries), and automated response quality indicators. These metrics collectively characterize system behavior on the development probe; they do not constitute a validated accuracy estimate for deployment-scale performance.</w:t>
      </w:r>
    </w:p>
    <w:p>
      <w:pPr>
        <w:pStyle w:val="Heading2"/>
        <w:spacing w:after="120" w:before="300"/>
      </w:pPr>
      <w:r>
        <w:rPr>
          <w:rFonts w:ascii="Arial" w:cs="Arial" w:eastAsia="Arial" w:hAnsi="Arial"/>
          <w:b/>
          <w:bCs/>
          <w:color w:val="2E5D8E"/>
          <w:sz w:val="24"/>
          <w:szCs w:val="24"/>
        </w:rPr>
        <w:t xml:space="preserve">3.1 Retrieval Quality</w:t>
      </w:r>
    </w:p>
    <w:p>
      <w:pPr>
        <w:spacing w:after="160" w:before="0" w:line="300"/>
        <w:jc w:val="left"/>
      </w:pPr>
      <w:r>
        <w:rPr>
          <w:rFonts w:ascii="Garamond" w:cs="Garamond" w:eastAsia="Garamond" w:hAnsi="Garamond"/>
          <w:b w:val="false"/>
          <w:bCs w:val="false"/>
          <w:i w:val="false"/>
          <w:iCs w:val="false"/>
          <w:color w:val="1A1A1A"/>
          <w:sz w:val="22"/>
          <w:szCs w:val="22"/>
        </w:rPr>
        <w:t xml:space="preserve">Under baseline cosine-similarity retrieval, 3 of 10 queries returned contextually appropriate chunks as the top result (observed performance: 30%). After application of the nine-signal re-ranking pipeline, 8 of 10 queries returned contextually appropriate results (observed performance: 80%). The two queries that remained unsuccessful after re-ranking were: (1) an SPT calculation query, in which the retrieved chunk addressed SPT rules generally but did not include the specific day-count threshold relevant to the query's scenario; and (2) a fellowship income query, in which no chunk in the knowledge base contained direct guidance on fellowship income tax treatment for the user's country of origin.</w:t>
      </w:r>
    </w:p>
    <w:p>
      <w:pPr>
        <w:spacing w:after="160" w:before="0" w:line="300"/>
        <w:jc w:val="left"/>
      </w:pPr>
      <w:r>
        <w:rPr>
          <w:rFonts w:ascii="Garamond" w:cs="Garamond" w:eastAsia="Garamond" w:hAnsi="Garamond"/>
          <w:b w:val="false"/>
          <w:bCs w:val="false"/>
          <w:i w:val="false"/>
          <w:iCs w:val="false"/>
          <w:color w:val="1A1A1A"/>
          <w:sz w:val="22"/>
          <w:szCs w:val="22"/>
        </w:rPr>
        <w:t xml:space="preserve">The 50-percentage-point improvement between baseline and re-ranked retrieval (30% → 80%, observed on the development probe) demonstrates that signal-aware re-ranking is effective at reducing the retrieval dominance of high-volume general publications. IRS Publication 519, comprising 472 of 3,726 chunks (12.7% of the corpus), appeared as the top result in 7 of 10 baseline queries, falling to 3 of 10 after re-ranking.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900"/>
        <w:gridCol w:w="4060"/>
      </w:tblGrid>
      <w:tr>
        <w:trPr>
          <w:tblHeader/>
        </w:trPr>
        <w:tc>
          <w:tcPr>
            <w:tcW w:type="dxa" w:w="3200"/>
            <w:tcBorders>
              <w:top w:val="single" w:color="D8DCE3" w:sz="1"/>
              <w:left w:val="single" w:color="D8DCE3" w:sz="1"/>
              <w:bottom w:val="single" w:color="D8DCE3" w:sz="1"/>
              <w:right w:val="single" w:color="D8DCE3"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1200"/>
            <w:tcBorders>
              <w:top w:val="single" w:color="D8DCE3" w:sz="1"/>
              <w:left w:val="single" w:color="D8DCE3" w:sz="1"/>
              <w:bottom w:val="single" w:color="D8DCE3" w:sz="1"/>
              <w:right w:val="single" w:color="D8DCE3"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Result</w:t>
            </w:r>
          </w:p>
        </w:tc>
        <w:tc>
          <w:tcPr>
            <w:tcW w:type="dxa" w:w="900"/>
            <w:tcBorders>
              <w:top w:val="single" w:color="D8DCE3" w:sz="1"/>
              <w:left w:val="single" w:color="D8DCE3" w:sz="1"/>
              <w:bottom w:val="single" w:color="D8DCE3" w:sz="1"/>
              <w:right w:val="single" w:color="D8DCE3"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w:t>
            </w:r>
          </w:p>
        </w:tc>
        <w:tc>
          <w:tcPr>
            <w:tcW w:type="dxa" w:w="4060"/>
            <w:tcBorders>
              <w:top w:val="single" w:color="D8DCE3" w:sz="1"/>
              <w:left w:val="single" w:color="D8DCE3" w:sz="1"/>
              <w:bottom w:val="single" w:color="D8DCE3" w:sz="1"/>
              <w:right w:val="single" w:color="D8DCE3"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3200"/>
            <w:tcBorders>
              <w:top w:val="single" w:color="D8DCE3" w:sz="1"/>
              <w:left w:val="single" w:color="D8DCE3" w:sz="1"/>
              <w:bottom w:val="single" w:color="D8DCE3" w:sz="1"/>
              <w:right w:val="single" w:color="D8DCE3" w:sz="1"/>
            </w:tcBorders>
            <w:shd w:fill="FFFFFF" w:val="clear"/>
            <w:tcMar>
              <w:top w:type="dxa" w:w="60"/>
              <w:left w:type="dxa" w:w="120"/>
              <w:bottom w:type="dxa" w:w="60"/>
              <w:right w:type="dxa" w:w="120"/>
            </w:tcMar>
          </w:tcPr>
          <w:p>
            <w:pPr>
              <w:jc w:val="left"/>
            </w:pPr>
            <w:r>
              <w:rPr>
                <w:rFonts w:ascii="Garamond" w:cs="Garamond" w:eastAsia="Garamond" w:hAnsi="Garamond"/>
                <w:b w:val="false"/>
                <w:bCs w:val="false"/>
                <w:i w:val="false"/>
                <w:iCs w:val="false"/>
                <w:color w:val="1A1A1A"/>
                <w:sz w:val="19"/>
                <w:szCs w:val="19"/>
              </w:rPr>
              <w:t xml:space="preserve">Baseline retrieval (cosine only)</w:t>
            </w:r>
          </w:p>
        </w:tc>
        <w:tc>
          <w:tcPr>
            <w:tcW w:type="dxa" w:w="1200"/>
            <w:tcBorders>
              <w:top w:val="single" w:color="D8DCE3" w:sz="1"/>
              <w:left w:val="single" w:color="D8DCE3" w:sz="1"/>
              <w:bottom w:val="single" w:color="D8DCE3" w:sz="1"/>
              <w:right w:val="single" w:color="D8DCE3" w:sz="1"/>
            </w:tcBorders>
            <w:shd w:fill="FFFFFF" w:val="clear"/>
            <w:tcMar>
              <w:top w:type="dxa" w:w="60"/>
              <w:left w:type="dxa" w:w="120"/>
              <w:bottom w:type="dxa" w:w="60"/>
              <w:right w:type="dxa" w:w="120"/>
            </w:tcMar>
          </w:tcPr>
          <w:p>
            <w:pPr>
              <w:jc w:val="center"/>
            </w:pPr>
            <w:r>
              <w:rPr>
                <w:rFonts w:ascii="Garamond" w:cs="Garamond" w:eastAsia="Garamond" w:hAnsi="Garamond"/>
                <w:b w:val="false"/>
                <w:bCs w:val="false"/>
                <w:i w:val="false"/>
                <w:iCs w:val="false"/>
                <w:color w:val="1A1A1A"/>
                <w:sz w:val="19"/>
                <w:szCs w:val="19"/>
              </w:rPr>
              <w:t xml:space="preserve">30%</w:t>
            </w:r>
          </w:p>
        </w:tc>
        <w:tc>
          <w:tcPr>
            <w:tcW w:type="dxa" w:w="900"/>
            <w:tcBorders>
              <w:top w:val="single" w:color="D8DCE3" w:sz="1"/>
              <w:left w:val="single" w:color="D8DCE3" w:sz="1"/>
              <w:bottom w:val="single" w:color="D8DCE3" w:sz="1"/>
              <w:right w:val="single" w:color="D8DCE3" w:sz="1"/>
            </w:tcBorders>
            <w:shd w:fill="FFFFFF" w:val="clear"/>
            <w:tcMar>
              <w:top w:type="dxa" w:w="60"/>
              <w:left w:type="dxa" w:w="120"/>
              <w:bottom w:type="dxa" w:w="60"/>
              <w:right w:type="dxa" w:w="120"/>
            </w:tcMar>
          </w:tcPr>
          <w:p>
            <w:pPr>
              <w:jc w:val="center"/>
            </w:pPr>
            <w:r>
              <w:rPr>
                <w:rFonts w:ascii="Garamond" w:cs="Garamond" w:eastAsia="Garamond" w:hAnsi="Garamond"/>
                <w:b w:val="false"/>
                <w:bCs w:val="false"/>
                <w:i w:val="false"/>
                <w:iCs w:val="false"/>
                <w:color w:val="1A1A1A"/>
                <w:sz w:val="19"/>
                <w:szCs w:val="19"/>
              </w:rPr>
              <w:t xml:space="preserve">10</w:t>
            </w:r>
          </w:p>
        </w:tc>
        <w:tc>
          <w:tcPr>
            <w:tcW w:type="dxa" w:w="4060"/>
            <w:tcBorders>
              <w:top w:val="single" w:color="D8DCE3" w:sz="1"/>
              <w:left w:val="single" w:color="D8DCE3" w:sz="1"/>
              <w:bottom w:val="single" w:color="D8DCE3" w:sz="1"/>
              <w:right w:val="single" w:color="D8DCE3" w:sz="1"/>
            </w:tcBorders>
            <w:shd w:fill="FFFFFF" w:val="clear"/>
            <w:tcMar>
              <w:top w:type="dxa" w:w="60"/>
              <w:left w:type="dxa" w:w="120"/>
              <w:bottom w:type="dxa" w:w="60"/>
              <w:right w:type="dxa" w:w="120"/>
            </w:tcMar>
          </w:tcPr>
          <w:p>
            <w:pPr>
              <w:jc w:val="center"/>
            </w:pPr>
            <w:r>
              <w:rPr>
                <w:rFonts w:ascii="Garamond" w:cs="Garamond" w:eastAsia="Garamond" w:hAnsi="Garamond"/>
                <w:b w:val="false"/>
                <w:bCs w:val="false"/>
                <w:i w:val="false"/>
                <w:iCs w:val="false"/>
                <w:color w:val="1A1A1A"/>
                <w:sz w:val="19"/>
                <w:szCs w:val="19"/>
              </w:rPr>
              <w:t xml:space="preserve">Pre-re-ranking development probe</w:t>
            </w:r>
          </w:p>
        </w:tc>
      </w:tr>
      <w:tr>
        <w:tc>
          <w:tcPr>
            <w:tcW w:type="dxa" w:w="3200"/>
            <w:tcBorders>
              <w:top w:val="single" w:color="D8DCE3" w:sz="1"/>
              <w:left w:val="single" w:color="D8DCE3" w:sz="1"/>
              <w:bottom w:val="single" w:color="D8DCE3" w:sz="1"/>
              <w:right w:val="single" w:color="D8DCE3" w:sz="1"/>
            </w:tcBorders>
            <w:shd w:fill="F3F5F8" w:val="clear"/>
            <w:tcMar>
              <w:top w:type="dxa" w:w="60"/>
              <w:left w:type="dxa" w:w="120"/>
              <w:bottom w:type="dxa" w:w="60"/>
              <w:right w:type="dxa" w:w="120"/>
            </w:tcMar>
          </w:tcPr>
          <w:p>
            <w:pPr>
              <w:jc w:val="left"/>
            </w:pPr>
            <w:r>
              <w:rPr>
                <w:rFonts w:ascii="Garamond" w:cs="Garamond" w:eastAsia="Garamond" w:hAnsi="Garamond"/>
                <w:b w:val="false"/>
                <w:bCs w:val="false"/>
                <w:i w:val="false"/>
                <w:iCs w:val="false"/>
                <w:color w:val="1A1A1A"/>
                <w:sz w:val="19"/>
                <w:szCs w:val="19"/>
              </w:rPr>
              <w:t xml:space="preserve">Re-ranked retrieval</w:t>
            </w:r>
          </w:p>
        </w:tc>
        <w:tc>
          <w:tcPr>
            <w:tcW w:type="dxa" w:w="1200"/>
            <w:tcBorders>
              <w:top w:val="single" w:color="D8DCE3" w:sz="1"/>
              <w:left w:val="single" w:color="D8DCE3" w:sz="1"/>
              <w:bottom w:val="single" w:color="D8DCE3" w:sz="1"/>
              <w:right w:val="single" w:color="D8DCE3" w:sz="1"/>
            </w:tcBorders>
            <w:shd w:fill="F3F5F8" w:val="clear"/>
            <w:tcMar>
              <w:top w:type="dxa" w:w="60"/>
              <w:left w:type="dxa" w:w="120"/>
              <w:bottom w:type="dxa" w:w="60"/>
              <w:right w:type="dxa" w:w="120"/>
            </w:tcMar>
          </w:tcPr>
          <w:p>
            <w:pPr>
              <w:jc w:val="center"/>
            </w:pPr>
            <w:r>
              <w:rPr>
                <w:rFonts w:ascii="Garamond" w:cs="Garamond" w:eastAsia="Garamond" w:hAnsi="Garamond"/>
                <w:b w:val="false"/>
                <w:bCs w:val="false"/>
                <w:i w:val="false"/>
                <w:iCs w:val="false"/>
                <w:color w:val="1A1A1A"/>
                <w:sz w:val="19"/>
                <w:szCs w:val="19"/>
              </w:rPr>
              <w:t xml:space="preserve">80%</w:t>
            </w:r>
          </w:p>
        </w:tc>
        <w:tc>
          <w:tcPr>
            <w:tcW w:type="dxa" w:w="900"/>
            <w:tcBorders>
              <w:top w:val="single" w:color="D8DCE3" w:sz="1"/>
              <w:left w:val="single" w:color="D8DCE3" w:sz="1"/>
              <w:bottom w:val="single" w:color="D8DCE3" w:sz="1"/>
              <w:right w:val="single" w:color="D8DCE3" w:sz="1"/>
            </w:tcBorders>
            <w:shd w:fill="F3F5F8" w:val="clear"/>
            <w:tcMar>
              <w:top w:type="dxa" w:w="60"/>
              <w:left w:type="dxa" w:w="120"/>
              <w:bottom w:type="dxa" w:w="60"/>
              <w:right w:type="dxa" w:w="120"/>
            </w:tcMar>
          </w:tcPr>
          <w:p>
            <w:pPr>
              <w:jc w:val="center"/>
            </w:pPr>
            <w:r>
              <w:rPr>
                <w:rFonts w:ascii="Garamond" w:cs="Garamond" w:eastAsia="Garamond" w:hAnsi="Garamond"/>
                <w:b w:val="false"/>
                <w:bCs w:val="false"/>
                <w:i w:val="false"/>
                <w:iCs w:val="false"/>
                <w:color w:val="1A1A1A"/>
                <w:sz w:val="19"/>
                <w:szCs w:val="19"/>
              </w:rPr>
              <w:t xml:space="preserve">10</w:t>
            </w:r>
          </w:p>
        </w:tc>
        <w:tc>
          <w:tcPr>
            <w:tcW w:type="dxa" w:w="4060"/>
            <w:tcBorders>
              <w:top w:val="single" w:color="D8DCE3" w:sz="1"/>
              <w:left w:val="single" w:color="D8DCE3" w:sz="1"/>
              <w:bottom w:val="single" w:color="D8DCE3" w:sz="1"/>
              <w:right w:val="single" w:color="D8DCE3" w:sz="1"/>
            </w:tcBorders>
            <w:shd w:fill="F3F5F8" w:val="clear"/>
            <w:tcMar>
              <w:top w:type="dxa" w:w="60"/>
              <w:left w:type="dxa" w:w="120"/>
              <w:bottom w:type="dxa" w:w="60"/>
              <w:right w:type="dxa" w:w="120"/>
            </w:tcMar>
          </w:tcPr>
          <w:p>
            <w:pPr>
              <w:jc w:val="center"/>
            </w:pPr>
            <w:r>
              <w:rPr>
                <w:rFonts w:ascii="Garamond" w:cs="Garamond" w:eastAsia="Garamond" w:hAnsi="Garamond"/>
                <w:b w:val="false"/>
                <w:bCs w:val="false"/>
                <w:i w:val="false"/>
                <w:iCs w:val="false"/>
                <w:color w:val="1A1A1A"/>
                <w:sz w:val="19"/>
                <w:szCs w:val="19"/>
              </w:rPr>
              <w:t xml:space="preserve">Post-re-ranking development probe</w:t>
            </w:r>
          </w:p>
        </w:tc>
      </w:tr>
      <w:tr>
        <w:tc>
          <w:tcPr>
            <w:tcW w:type="dxa" w:w="3200"/>
            <w:tcBorders>
              <w:top w:val="single" w:color="D8DCE3" w:sz="1"/>
              <w:left w:val="single" w:color="D8DCE3" w:sz="1"/>
              <w:bottom w:val="single" w:color="D8DCE3" w:sz="1"/>
              <w:right w:val="single" w:color="D8DCE3" w:sz="1"/>
            </w:tcBorders>
            <w:shd w:fill="FFFFFF" w:val="clear"/>
            <w:tcMar>
              <w:top w:type="dxa" w:w="60"/>
              <w:left w:type="dxa" w:w="120"/>
              <w:bottom w:type="dxa" w:w="60"/>
              <w:right w:type="dxa" w:w="120"/>
            </w:tcMar>
          </w:tcPr>
          <w:p>
            <w:pPr>
              <w:jc w:val="left"/>
            </w:pPr>
            <w:r>
              <w:rPr>
                <w:rFonts w:ascii="Garamond" w:cs="Garamond" w:eastAsia="Garamond" w:hAnsi="Garamond"/>
                <w:b w:val="false"/>
                <w:bCs w:val="false"/>
                <w:i w:val="false"/>
                <w:iCs w:val="false"/>
                <w:color w:val="1A1A1A"/>
                <w:sz w:val="19"/>
                <w:szCs w:val="19"/>
              </w:rPr>
              <w:t xml:space="preserve">CPA escalation precision</w:t>
            </w:r>
          </w:p>
        </w:tc>
        <w:tc>
          <w:tcPr>
            <w:tcW w:type="dxa" w:w="1200"/>
            <w:tcBorders>
              <w:top w:val="single" w:color="D8DCE3" w:sz="1"/>
              <w:left w:val="single" w:color="D8DCE3" w:sz="1"/>
              <w:bottom w:val="single" w:color="D8DCE3" w:sz="1"/>
              <w:right w:val="single" w:color="D8DCE3" w:sz="1"/>
            </w:tcBorders>
            <w:shd w:fill="FFFFFF" w:val="clear"/>
            <w:tcMar>
              <w:top w:type="dxa" w:w="60"/>
              <w:left w:type="dxa" w:w="120"/>
              <w:bottom w:type="dxa" w:w="60"/>
              <w:right w:type="dxa" w:w="120"/>
            </w:tcMar>
          </w:tcPr>
          <w:p>
            <w:pPr>
              <w:jc w:val="center"/>
            </w:pPr>
            <w:r>
              <w:rPr>
                <w:rFonts w:ascii="Garamond" w:cs="Garamond" w:eastAsia="Garamond" w:hAnsi="Garamond"/>
                <w:b w:val="false"/>
                <w:bCs w:val="false"/>
                <w:i w:val="false"/>
                <w:iCs w:val="false"/>
                <w:color w:val="1A1A1A"/>
                <w:sz w:val="19"/>
                <w:szCs w:val="19"/>
              </w:rPr>
              <w:t xml:space="preserve">100%</w:t>
            </w:r>
          </w:p>
        </w:tc>
        <w:tc>
          <w:tcPr>
            <w:tcW w:type="dxa" w:w="900"/>
            <w:tcBorders>
              <w:top w:val="single" w:color="D8DCE3" w:sz="1"/>
              <w:left w:val="single" w:color="D8DCE3" w:sz="1"/>
              <w:bottom w:val="single" w:color="D8DCE3" w:sz="1"/>
              <w:right w:val="single" w:color="D8DCE3" w:sz="1"/>
            </w:tcBorders>
            <w:shd w:fill="FFFFFF" w:val="clear"/>
            <w:tcMar>
              <w:top w:type="dxa" w:w="60"/>
              <w:left w:type="dxa" w:w="120"/>
              <w:bottom w:type="dxa" w:w="60"/>
              <w:right w:type="dxa" w:w="120"/>
            </w:tcMar>
          </w:tcPr>
          <w:p>
            <w:pPr>
              <w:jc w:val="center"/>
            </w:pPr>
            <w:r>
              <w:rPr>
                <w:rFonts w:ascii="Garamond" w:cs="Garamond" w:eastAsia="Garamond" w:hAnsi="Garamond"/>
                <w:b w:val="false"/>
                <w:bCs w:val="false"/>
                <w:i w:val="false"/>
                <w:iCs w:val="false"/>
                <w:color w:val="1A1A1A"/>
                <w:sz w:val="19"/>
                <w:szCs w:val="19"/>
              </w:rPr>
              <w:t xml:space="preserve">5</w:t>
            </w:r>
          </w:p>
        </w:tc>
        <w:tc>
          <w:tcPr>
            <w:tcW w:type="dxa" w:w="4060"/>
            <w:tcBorders>
              <w:top w:val="single" w:color="D8DCE3" w:sz="1"/>
              <w:left w:val="single" w:color="D8DCE3" w:sz="1"/>
              <w:bottom w:val="single" w:color="D8DCE3" w:sz="1"/>
              <w:right w:val="single" w:color="D8DCE3" w:sz="1"/>
            </w:tcBorders>
            <w:shd w:fill="FFFFFF" w:val="clear"/>
            <w:tcMar>
              <w:top w:type="dxa" w:w="60"/>
              <w:left w:type="dxa" w:w="120"/>
              <w:bottom w:type="dxa" w:w="60"/>
              <w:right w:type="dxa" w:w="120"/>
            </w:tcMar>
          </w:tcPr>
          <w:p>
            <w:pPr>
              <w:jc w:val="center"/>
            </w:pPr>
            <w:r>
              <w:rPr>
                <w:rFonts w:ascii="Garamond" w:cs="Garamond" w:eastAsia="Garamond" w:hAnsi="Garamond"/>
                <w:b w:val="false"/>
                <w:bCs w:val="false"/>
                <w:i w:val="false"/>
                <w:iCs w:val="false"/>
                <w:color w:val="1A1A1A"/>
                <w:sz w:val="19"/>
                <w:szCs w:val="19"/>
              </w:rPr>
              <w:t xml:space="preserve">All 5 trigger queries correctly routed</w:t>
            </w:r>
          </w:p>
        </w:tc>
      </w:tr>
      <w:tr>
        <w:tc>
          <w:tcPr>
            <w:tcW w:type="dxa" w:w="3200"/>
            <w:tcBorders>
              <w:top w:val="single" w:color="D8DCE3" w:sz="1"/>
              <w:left w:val="single" w:color="D8DCE3" w:sz="1"/>
              <w:bottom w:val="single" w:color="D8DCE3" w:sz="1"/>
              <w:right w:val="single" w:color="D8DCE3" w:sz="1"/>
            </w:tcBorders>
            <w:shd w:fill="F3F5F8" w:val="clear"/>
            <w:tcMar>
              <w:top w:type="dxa" w:w="60"/>
              <w:left w:type="dxa" w:w="120"/>
              <w:bottom w:type="dxa" w:w="60"/>
              <w:right w:type="dxa" w:w="120"/>
            </w:tcMar>
          </w:tcPr>
          <w:p>
            <w:pPr>
              <w:jc w:val="left"/>
            </w:pPr>
            <w:r>
              <w:rPr>
                <w:rFonts w:ascii="Garamond" w:cs="Garamond" w:eastAsia="Garamond" w:hAnsi="Garamond"/>
                <w:b w:val="false"/>
                <w:bCs w:val="false"/>
                <w:i w:val="false"/>
                <w:iCs w:val="false"/>
                <w:color w:val="1A1A1A"/>
                <w:sz w:val="19"/>
                <w:szCs w:val="19"/>
              </w:rPr>
              <w:t xml:space="preserve">SPT calculator accuracy</w:t>
            </w:r>
          </w:p>
        </w:tc>
        <w:tc>
          <w:tcPr>
            <w:tcW w:type="dxa" w:w="1200"/>
            <w:tcBorders>
              <w:top w:val="single" w:color="D8DCE3" w:sz="1"/>
              <w:left w:val="single" w:color="D8DCE3" w:sz="1"/>
              <w:bottom w:val="single" w:color="D8DCE3" w:sz="1"/>
              <w:right w:val="single" w:color="D8DCE3" w:sz="1"/>
            </w:tcBorders>
            <w:shd w:fill="F3F5F8" w:val="clear"/>
            <w:tcMar>
              <w:top w:type="dxa" w:w="60"/>
              <w:left w:type="dxa" w:w="120"/>
              <w:bottom w:type="dxa" w:w="60"/>
              <w:right w:type="dxa" w:w="120"/>
            </w:tcMar>
          </w:tcPr>
          <w:p>
            <w:pPr>
              <w:jc w:val="center"/>
            </w:pPr>
            <w:r>
              <w:rPr>
                <w:rFonts w:ascii="Garamond" w:cs="Garamond" w:eastAsia="Garamond" w:hAnsi="Garamond"/>
                <w:b w:val="false"/>
                <w:bCs w:val="false"/>
                <w:i w:val="false"/>
                <w:iCs w:val="false"/>
                <w:color w:val="1A1A1A"/>
                <w:sz w:val="19"/>
                <w:szCs w:val="19"/>
              </w:rPr>
              <w:t xml:space="preserve">100%</w:t>
            </w:r>
          </w:p>
        </w:tc>
        <w:tc>
          <w:tcPr>
            <w:tcW w:type="dxa" w:w="900"/>
            <w:tcBorders>
              <w:top w:val="single" w:color="D8DCE3" w:sz="1"/>
              <w:left w:val="single" w:color="D8DCE3" w:sz="1"/>
              <w:bottom w:val="single" w:color="D8DCE3" w:sz="1"/>
              <w:right w:val="single" w:color="D8DCE3" w:sz="1"/>
            </w:tcBorders>
            <w:shd w:fill="F3F5F8" w:val="clear"/>
            <w:tcMar>
              <w:top w:type="dxa" w:w="60"/>
              <w:left w:type="dxa" w:w="120"/>
              <w:bottom w:type="dxa" w:w="60"/>
              <w:right w:type="dxa" w:w="120"/>
            </w:tcMar>
          </w:tcPr>
          <w:p>
            <w:pPr>
              <w:jc w:val="center"/>
            </w:pPr>
            <w:r>
              <w:rPr>
                <w:rFonts w:ascii="Garamond" w:cs="Garamond" w:eastAsia="Garamond" w:hAnsi="Garamond"/>
                <w:b w:val="false"/>
                <w:bCs w:val="false"/>
                <w:i w:val="false"/>
                <w:iCs w:val="false"/>
                <w:color w:val="1A1A1A"/>
                <w:sz w:val="19"/>
                <w:szCs w:val="19"/>
              </w:rPr>
              <w:t xml:space="preserve">3</w:t>
            </w:r>
          </w:p>
        </w:tc>
        <w:tc>
          <w:tcPr>
            <w:tcW w:type="dxa" w:w="4060"/>
            <w:tcBorders>
              <w:top w:val="single" w:color="D8DCE3" w:sz="1"/>
              <w:left w:val="single" w:color="D8DCE3" w:sz="1"/>
              <w:bottom w:val="single" w:color="D8DCE3" w:sz="1"/>
              <w:right w:val="single" w:color="D8DCE3" w:sz="1"/>
            </w:tcBorders>
            <w:shd w:fill="F3F5F8" w:val="clear"/>
            <w:tcMar>
              <w:top w:type="dxa" w:w="60"/>
              <w:left w:type="dxa" w:w="120"/>
              <w:bottom w:type="dxa" w:w="60"/>
              <w:right w:type="dxa" w:w="120"/>
            </w:tcMar>
          </w:tcPr>
          <w:p>
            <w:pPr>
              <w:jc w:val="center"/>
            </w:pPr>
            <w:r>
              <w:rPr>
                <w:rFonts w:ascii="Garamond" w:cs="Garamond" w:eastAsia="Garamond" w:hAnsi="Garamond"/>
                <w:b w:val="false"/>
                <w:bCs w:val="false"/>
                <w:i w:val="false"/>
                <w:iCs w:val="false"/>
                <w:color w:val="1A1A1A"/>
                <w:sz w:val="19"/>
                <w:szCs w:val="19"/>
              </w:rPr>
              <w:t xml:space="preserve">Deterministic logic; all 3 test cases correct</w:t>
            </w:r>
          </w:p>
        </w:tc>
      </w:tr>
      <w:tr>
        <w:tc>
          <w:tcPr>
            <w:tcW w:type="dxa" w:w="3200"/>
            <w:tcBorders>
              <w:top w:val="single" w:color="D8DCE3" w:sz="1"/>
              <w:left w:val="single" w:color="D8DCE3" w:sz="1"/>
              <w:bottom w:val="single" w:color="D8DCE3" w:sz="1"/>
              <w:right w:val="single" w:color="D8DCE3" w:sz="1"/>
            </w:tcBorders>
            <w:shd w:fill="FFFFFF" w:val="clear"/>
            <w:tcMar>
              <w:top w:type="dxa" w:w="60"/>
              <w:left w:type="dxa" w:w="120"/>
              <w:bottom w:type="dxa" w:w="60"/>
              <w:right w:type="dxa" w:w="120"/>
            </w:tcMar>
          </w:tcPr>
          <w:p>
            <w:pPr>
              <w:jc w:val="left"/>
            </w:pPr>
            <w:r>
              <w:rPr>
                <w:rFonts w:ascii="Garamond" w:cs="Garamond" w:eastAsia="Garamond" w:hAnsi="Garamond"/>
                <w:b w:val="false"/>
                <w:bCs w:val="false"/>
                <w:i w:val="false"/>
                <w:iCs w:val="false"/>
                <w:color w:val="1A1A1A"/>
                <w:sz w:val="19"/>
                <w:szCs w:val="19"/>
              </w:rPr>
              <w:t xml:space="preserve">Faithfulness (LLM-as-judge)</w:t>
            </w:r>
          </w:p>
        </w:tc>
        <w:tc>
          <w:tcPr>
            <w:tcW w:type="dxa" w:w="1200"/>
            <w:tcBorders>
              <w:top w:val="single" w:color="D8DCE3" w:sz="1"/>
              <w:left w:val="single" w:color="D8DCE3" w:sz="1"/>
              <w:bottom w:val="single" w:color="D8DCE3" w:sz="1"/>
              <w:right w:val="single" w:color="D8DCE3" w:sz="1"/>
            </w:tcBorders>
            <w:shd w:fill="FFFFFF" w:val="clear"/>
            <w:tcMar>
              <w:top w:type="dxa" w:w="60"/>
              <w:left w:type="dxa" w:w="120"/>
              <w:bottom w:type="dxa" w:w="60"/>
              <w:right w:type="dxa" w:w="120"/>
            </w:tcMar>
          </w:tcPr>
          <w:p>
            <w:pPr>
              <w:jc w:val="center"/>
            </w:pPr>
            <w:r>
              <w:rPr>
                <w:rFonts w:ascii="Garamond" w:cs="Garamond" w:eastAsia="Garamond" w:hAnsi="Garamond"/>
                <w:b w:val="false"/>
                <w:bCs w:val="false"/>
                <w:i w:val="false"/>
                <w:iCs w:val="false"/>
                <w:color w:val="1A1A1A"/>
                <w:sz w:val="19"/>
                <w:szCs w:val="19"/>
              </w:rPr>
              <w:t xml:space="preserve">0.92</w:t>
            </w:r>
          </w:p>
        </w:tc>
        <w:tc>
          <w:tcPr>
            <w:tcW w:type="dxa" w:w="900"/>
            <w:tcBorders>
              <w:top w:val="single" w:color="D8DCE3" w:sz="1"/>
              <w:left w:val="single" w:color="D8DCE3" w:sz="1"/>
              <w:bottom w:val="single" w:color="D8DCE3" w:sz="1"/>
              <w:right w:val="single" w:color="D8DCE3" w:sz="1"/>
            </w:tcBorders>
            <w:shd w:fill="FFFFFF" w:val="clear"/>
            <w:tcMar>
              <w:top w:type="dxa" w:w="60"/>
              <w:left w:type="dxa" w:w="120"/>
              <w:bottom w:type="dxa" w:w="60"/>
              <w:right w:type="dxa" w:w="120"/>
            </w:tcMar>
          </w:tcPr>
          <w:p>
            <w:pPr>
              <w:jc w:val="center"/>
            </w:pPr>
            <w:r>
              <w:rPr>
                <w:rFonts w:ascii="Garamond" w:cs="Garamond" w:eastAsia="Garamond" w:hAnsi="Garamond"/>
                <w:b w:val="false"/>
                <w:bCs w:val="false"/>
                <w:i w:val="false"/>
                <w:iCs w:val="false"/>
                <w:color w:val="1A1A1A"/>
                <w:sz w:val="19"/>
                <w:szCs w:val="19"/>
              </w:rPr>
              <w:t xml:space="preserve">—</w:t>
            </w:r>
          </w:p>
        </w:tc>
        <w:tc>
          <w:tcPr>
            <w:tcW w:type="dxa" w:w="4060"/>
            <w:tcBorders>
              <w:top w:val="single" w:color="D8DCE3" w:sz="1"/>
              <w:left w:val="single" w:color="D8DCE3" w:sz="1"/>
              <w:bottom w:val="single" w:color="D8DCE3" w:sz="1"/>
              <w:right w:val="single" w:color="D8DCE3" w:sz="1"/>
            </w:tcBorders>
            <w:shd w:fill="FFFFFF" w:val="clear"/>
            <w:tcMar>
              <w:top w:type="dxa" w:w="60"/>
              <w:left w:type="dxa" w:w="120"/>
              <w:bottom w:type="dxa" w:w="60"/>
              <w:right w:type="dxa" w:w="120"/>
            </w:tcMar>
          </w:tcPr>
          <w:p>
            <w:pPr>
              <w:jc w:val="center"/>
            </w:pPr>
            <w:r>
              <w:rPr>
                <w:rFonts w:ascii="Garamond" w:cs="Garamond" w:eastAsia="Garamond" w:hAnsi="Garamond"/>
                <w:b w:val="false"/>
                <w:bCs w:val="false"/>
                <w:i w:val="false"/>
                <w:iCs w:val="false"/>
                <w:color w:val="1A1A1A"/>
                <w:sz w:val="19"/>
                <w:szCs w:val="19"/>
              </w:rPr>
              <w:t xml:space="preserve">Automated indicator; see §2.5.3 for caveats</w:t>
            </w:r>
          </w:p>
        </w:tc>
      </w:tr>
      <w:tr>
        <w:tc>
          <w:tcPr>
            <w:tcW w:type="dxa" w:w="3200"/>
            <w:tcBorders>
              <w:top w:val="single" w:color="D8DCE3" w:sz="1"/>
              <w:left w:val="single" w:color="D8DCE3" w:sz="1"/>
              <w:bottom w:val="single" w:color="D8DCE3" w:sz="1"/>
              <w:right w:val="single" w:color="D8DCE3" w:sz="1"/>
            </w:tcBorders>
            <w:shd w:fill="F3F5F8" w:val="clear"/>
            <w:tcMar>
              <w:top w:type="dxa" w:w="60"/>
              <w:left w:type="dxa" w:w="120"/>
              <w:bottom w:type="dxa" w:w="60"/>
              <w:right w:type="dxa" w:w="120"/>
            </w:tcMar>
          </w:tcPr>
          <w:p>
            <w:pPr>
              <w:jc w:val="left"/>
            </w:pPr>
            <w:r>
              <w:rPr>
                <w:rFonts w:ascii="Garamond" w:cs="Garamond" w:eastAsia="Garamond" w:hAnsi="Garamond"/>
                <w:b w:val="false"/>
                <w:bCs w:val="false"/>
                <w:i w:val="false"/>
                <w:iCs w:val="false"/>
                <w:color w:val="1A1A1A"/>
                <w:sz w:val="19"/>
                <w:szCs w:val="19"/>
              </w:rPr>
              <w:t xml:space="preserve">Answer relevancy (LLM-as-judge)</w:t>
            </w:r>
          </w:p>
        </w:tc>
        <w:tc>
          <w:tcPr>
            <w:tcW w:type="dxa" w:w="1200"/>
            <w:tcBorders>
              <w:top w:val="single" w:color="D8DCE3" w:sz="1"/>
              <w:left w:val="single" w:color="D8DCE3" w:sz="1"/>
              <w:bottom w:val="single" w:color="D8DCE3" w:sz="1"/>
              <w:right w:val="single" w:color="D8DCE3" w:sz="1"/>
            </w:tcBorders>
            <w:shd w:fill="F3F5F8" w:val="clear"/>
            <w:tcMar>
              <w:top w:type="dxa" w:w="60"/>
              <w:left w:type="dxa" w:w="120"/>
              <w:bottom w:type="dxa" w:w="60"/>
              <w:right w:type="dxa" w:w="120"/>
            </w:tcMar>
          </w:tcPr>
          <w:p>
            <w:pPr>
              <w:jc w:val="center"/>
            </w:pPr>
            <w:r>
              <w:rPr>
                <w:rFonts w:ascii="Garamond" w:cs="Garamond" w:eastAsia="Garamond" w:hAnsi="Garamond"/>
                <w:b w:val="false"/>
                <w:bCs w:val="false"/>
                <w:i w:val="false"/>
                <w:iCs w:val="false"/>
                <w:color w:val="1A1A1A"/>
                <w:sz w:val="19"/>
                <w:szCs w:val="19"/>
              </w:rPr>
              <w:t xml:space="preserve">0.89</w:t>
            </w:r>
          </w:p>
        </w:tc>
        <w:tc>
          <w:tcPr>
            <w:tcW w:type="dxa" w:w="900"/>
            <w:tcBorders>
              <w:top w:val="single" w:color="D8DCE3" w:sz="1"/>
              <w:left w:val="single" w:color="D8DCE3" w:sz="1"/>
              <w:bottom w:val="single" w:color="D8DCE3" w:sz="1"/>
              <w:right w:val="single" w:color="D8DCE3" w:sz="1"/>
            </w:tcBorders>
            <w:shd w:fill="F3F5F8" w:val="clear"/>
            <w:tcMar>
              <w:top w:type="dxa" w:w="60"/>
              <w:left w:type="dxa" w:w="120"/>
              <w:bottom w:type="dxa" w:w="60"/>
              <w:right w:type="dxa" w:w="120"/>
            </w:tcMar>
          </w:tcPr>
          <w:p>
            <w:pPr>
              <w:jc w:val="center"/>
            </w:pPr>
            <w:r>
              <w:rPr>
                <w:rFonts w:ascii="Garamond" w:cs="Garamond" w:eastAsia="Garamond" w:hAnsi="Garamond"/>
                <w:b w:val="false"/>
                <w:bCs w:val="false"/>
                <w:i w:val="false"/>
                <w:iCs w:val="false"/>
                <w:color w:val="1A1A1A"/>
                <w:sz w:val="19"/>
                <w:szCs w:val="19"/>
              </w:rPr>
              <w:t xml:space="preserve">—</w:t>
            </w:r>
          </w:p>
        </w:tc>
        <w:tc>
          <w:tcPr>
            <w:tcW w:type="dxa" w:w="4060"/>
            <w:tcBorders>
              <w:top w:val="single" w:color="D8DCE3" w:sz="1"/>
              <w:left w:val="single" w:color="D8DCE3" w:sz="1"/>
              <w:bottom w:val="single" w:color="D8DCE3" w:sz="1"/>
              <w:right w:val="single" w:color="D8DCE3" w:sz="1"/>
            </w:tcBorders>
            <w:shd w:fill="F3F5F8" w:val="clear"/>
            <w:tcMar>
              <w:top w:type="dxa" w:w="60"/>
              <w:left w:type="dxa" w:w="120"/>
              <w:bottom w:type="dxa" w:w="60"/>
              <w:right w:type="dxa" w:w="120"/>
            </w:tcMar>
          </w:tcPr>
          <w:p>
            <w:pPr>
              <w:jc w:val="center"/>
            </w:pPr>
            <w:r>
              <w:rPr>
                <w:rFonts w:ascii="Garamond" w:cs="Garamond" w:eastAsia="Garamond" w:hAnsi="Garamond"/>
                <w:b w:val="false"/>
                <w:bCs w:val="false"/>
                <w:i w:val="false"/>
                <w:iCs w:val="false"/>
                <w:color w:val="1A1A1A"/>
                <w:sz w:val="19"/>
                <w:szCs w:val="19"/>
              </w:rPr>
              <w:t xml:space="preserve">Automated indicator; see §2.5.3 for caveats</w:t>
            </w:r>
          </w:p>
        </w:tc>
      </w:tr>
    </w:tbl>
    <w:p>
      <w:pPr>
        <w:spacing w:after="200" w:before="80" w:line="276"/>
        <w:jc w:val="center"/>
      </w:pPr>
      <w:r>
        <w:rPr>
          <w:rFonts w:ascii="Garamond" w:cs="Garamond" w:eastAsia="Garamond" w:hAnsi="Garamond"/>
          <w:b w:val="false"/>
          <w:bCs w:val="false"/>
          <w:i/>
          <w:iCs/>
          <w:color w:val="777777"/>
          <w:sz w:val="18"/>
          <w:szCs w:val="18"/>
        </w:rPr>
        <w:t xml:space="preserve">Table 2. Development probe results. All metrics are observed performance on small-n test sets designed after system tuning; they should not be interpreted as population-level accuracy estimates.</w:t>
      </w:r>
    </w:p>
    <w:p>
      <w:pPr>
        <w:pStyle w:val="Heading2"/>
        <w:spacing w:after="120" w:before="300"/>
      </w:pPr>
      <w:r>
        <w:rPr>
          <w:rFonts w:ascii="Arial" w:cs="Arial" w:eastAsia="Arial" w:hAnsi="Arial"/>
          <w:b/>
          <w:bCs/>
          <w:color w:val="2E5D8E"/>
          <w:sz w:val="24"/>
          <w:szCs w:val="24"/>
        </w:rPr>
        <w:t xml:space="preserve">3.2 Escalation Precision</w:t>
      </w:r>
    </w:p>
    <w:p>
      <w:pPr>
        <w:spacing w:after="160" w:before="0" w:line="300"/>
        <w:jc w:val="left"/>
      </w:pPr>
      <w:r>
        <w:rPr>
          <w:rFonts w:ascii="Garamond" w:cs="Garamond" w:eastAsia="Garamond" w:hAnsi="Garamond"/>
          <w:b w:val="false"/>
          <w:bCs w:val="false"/>
          <w:i w:val="false"/>
          <w:iCs w:val="false"/>
          <w:color w:val="1A1A1A"/>
          <w:sz w:val="22"/>
          <w:szCs w:val="22"/>
        </w:rPr>
        <w:t xml:space="preserve">All five escalation trigger queries correctly activated the CPA referral layer without generating substantive tax guidance (5/5). No false negatives (missed escalations) were observed in the test set. False positive rate was not evaluated — a query set of non-escalation queries was not tested for spurious escalation triggering. This is noted as a gap in the evaluation design.</w:t>
      </w:r>
    </w:p>
    <w:p>
      <w:pPr>
        <w:pStyle w:val="Heading2"/>
        <w:spacing w:after="120" w:before="300"/>
      </w:pPr>
      <w:r>
        <w:rPr>
          <w:rFonts w:ascii="Arial" w:cs="Arial" w:eastAsia="Arial" w:hAnsi="Arial"/>
          <w:b/>
          <w:bCs/>
          <w:color w:val="2E5D8E"/>
          <w:sz w:val="24"/>
          <w:szCs w:val="24"/>
        </w:rPr>
        <w:t xml:space="preserve">3.3 SPT Calculator</w:t>
      </w:r>
    </w:p>
    <w:p>
      <w:pPr>
        <w:spacing w:after="160" w:before="0" w:line="300"/>
        <w:jc w:val="left"/>
      </w:pPr>
      <w:r>
        <w:rPr>
          <w:rFonts w:ascii="Garamond" w:cs="Garamond" w:eastAsia="Garamond" w:hAnsi="Garamond"/>
          <w:b w:val="false"/>
          <w:bCs w:val="false"/>
          <w:i w:val="false"/>
          <w:iCs w:val="false"/>
          <w:color w:val="1A1A1A"/>
          <w:sz w:val="22"/>
          <w:szCs w:val="22"/>
        </w:rPr>
        <w:t xml:space="preserve">The Substantial Presence Test calculator returned correct results on all three test cases (3/3). The SPT calculation is implemented as deterministic logic (day-count threshold rules applied directly from IRS Publication 519) rather than as LLM inference; the 100% result reflects correct implementation of a rule-based component, not LLM reasoning performance.</w:t>
      </w:r>
    </w:p>
    <w:p>
      <w:pPr>
        <w:pStyle w:val="Heading2"/>
        <w:spacing w:after="120" w:before="300"/>
      </w:pPr>
      <w:r>
        <w:rPr>
          <w:rFonts w:ascii="Arial" w:cs="Arial" w:eastAsia="Arial" w:hAnsi="Arial"/>
          <w:b/>
          <w:bCs/>
          <w:color w:val="2E5D8E"/>
          <w:sz w:val="24"/>
          <w:szCs w:val="24"/>
        </w:rPr>
        <w:t xml:space="preserve">3.4 Automated Quality Indicators</w:t>
      </w:r>
    </w:p>
    <w:p>
      <w:pPr>
        <w:spacing w:after="160" w:before="0" w:line="300"/>
        <w:jc w:val="left"/>
      </w:pPr>
      <w:r>
        <w:rPr>
          <w:rFonts w:ascii="Garamond" w:cs="Garamond" w:eastAsia="Garamond" w:hAnsi="Garamond"/>
          <w:b w:val="false"/>
          <w:bCs w:val="false"/>
          <w:i w:val="false"/>
          <w:iCs w:val="false"/>
          <w:color w:val="1A1A1A"/>
          <w:sz w:val="22"/>
          <w:szCs w:val="22"/>
        </w:rPr>
        <w:t xml:space="preserve">The LLM-as-judge protocol yielded a faithfulness score of 0.92 and an answer relevancy score of 0.89. These scores indicate that generated responses were largely grounded in retrieved content (faithfulness) and addressed the stated query (relevancy) as assessed by the automated judge. Given the limitations described in Section 2.5.3 — undisclosed judge-generator relationship, undisclosed judge prompt — these scores are reported as preliminary quality indicators. They are consistent with correct citation behavior enforced by the prompt architecture but cannot be interpreted independently of that caveat.</w:t>
      </w:r>
    </w:p>
    <w:p/>
    <w:p>
      <w:pPr>
        <w:pStyle w:val="Heading1"/>
        <w:pBdr>
          <w:bottom w:val="single" w:color="2E5D8E" w:sz="8" w:space="6"/>
        </w:pBdr>
        <w:spacing w:after="160" w:before="400"/>
      </w:pPr>
      <w:r>
        <w:rPr>
          <w:rFonts w:ascii="Arial" w:cs="Arial" w:eastAsia="Arial" w:hAnsi="Arial"/>
          <w:b/>
          <w:bCs/>
          <w:color w:val="1B2A4A"/>
          <w:sz w:val="28"/>
          <w:szCs w:val="28"/>
        </w:rPr>
        <w:t xml:space="preserve">4. DISCUSSION</w:t>
      </w:r>
    </w:p>
    <w:p>
      <w:pPr>
        <w:pStyle w:val="Heading2"/>
        <w:spacing w:after="120" w:before="300"/>
      </w:pPr>
      <w:r>
        <w:rPr>
          <w:rFonts w:ascii="Arial" w:cs="Arial" w:eastAsia="Arial" w:hAnsi="Arial"/>
          <w:b/>
          <w:bCs/>
          <w:color w:val="2E5D8E"/>
          <w:sz w:val="24"/>
          <w:szCs w:val="24"/>
        </w:rPr>
        <w:t xml:space="preserve">4.1 Lead Finding</w:t>
      </w:r>
    </w:p>
    <w:p>
      <w:pPr>
        <w:spacing w:after="160" w:before="0" w:line="300"/>
        <w:jc w:val="left"/>
      </w:pPr>
      <w:r>
        <w:rPr>
          <w:rFonts w:ascii="Garamond" w:cs="Garamond" w:eastAsia="Garamond" w:hAnsi="Garamond"/>
          <w:b w:val="false"/>
          <w:bCs w:val="false"/>
          <w:i w:val="false"/>
          <w:iCs w:val="false"/>
          <w:color w:val="1A1A1A"/>
          <w:sz w:val="22"/>
          <w:szCs w:val="22"/>
        </w:rPr>
        <w:t xml:space="preserve">The central finding is that a nine-signal re-ranking pipeline, combined with citation-mandatory prompt architecture and a topic-enrichment chunking strategy, is sufficient to substantially improve retrieval precision in a domain characterized by a severe semantic gap between user query language and regulatory document register. The improvement from 30% to 80% observed performance on the development probe is attributable primarily to re-ranking: without it, IRS Publication 519's volume (472 chunks) consistently dominated similarity-based retrieval regardless of query topic specificity.</w:t>
      </w:r>
    </w:p>
    <w:p>
      <w:pPr>
        <w:pStyle w:val="Heading2"/>
        <w:spacing w:after="120" w:before="300"/>
      </w:pPr>
      <w:r>
        <w:rPr>
          <w:rFonts w:ascii="Arial" w:cs="Arial" w:eastAsia="Arial" w:hAnsi="Arial"/>
          <w:b/>
          <w:bCs/>
          <w:color w:val="2E5D8E"/>
          <w:sz w:val="24"/>
          <w:szCs w:val="24"/>
        </w:rPr>
        <w:t xml:space="preserve">4.2 The Semantic Gap as Central Technical Problem</w:t>
      </w:r>
    </w:p>
    <w:p>
      <w:pPr>
        <w:spacing w:after="160" w:before="0" w:line="300"/>
        <w:jc w:val="left"/>
      </w:pPr>
      <w:r>
        <w:rPr>
          <w:rFonts w:ascii="Garamond" w:cs="Garamond" w:eastAsia="Garamond" w:hAnsi="Garamond"/>
          <w:b w:val="false"/>
          <w:bCs w:val="false"/>
          <w:i w:val="false"/>
          <w:iCs w:val="false"/>
          <w:color w:val="1A1A1A"/>
          <w:sz w:val="22"/>
          <w:szCs w:val="22"/>
        </w:rPr>
        <w:t xml:space="preserve">The two retrieval failures after re-ranking — SPT calculation and fellowship income — share a common structure: both involve query terms with colloquial usage ('days in the US,' 'scholarship money') that map imperfectly to the IRS legal vocabulary ('substantial presence,' 'qualified scholarship exclusion'). Topic enrichment prefixes partially address this gap by prepending controlled vocabulary terms to chunks at index time, but the gap is not fully closed. Future work on query expansion — rewriting user queries into IRS register before embedding — may close this gap without requiring additional corpus coverage.</w:t>
      </w:r>
    </w:p>
    <w:p>
      <w:pPr>
        <w:pStyle w:val="Heading2"/>
        <w:spacing w:after="120" w:before="300"/>
      </w:pPr>
      <w:r>
        <w:rPr>
          <w:rFonts w:ascii="Arial" w:cs="Arial" w:eastAsia="Arial" w:hAnsi="Arial"/>
          <w:b/>
          <w:bCs/>
          <w:color w:val="2E5D8E"/>
          <w:sz w:val="24"/>
          <w:szCs w:val="24"/>
        </w:rPr>
        <w:t xml:space="preserve">4.3 Safety Architecture</w:t>
      </w:r>
    </w:p>
    <w:p>
      <w:pPr>
        <w:spacing w:after="160" w:before="0" w:line="300"/>
        <w:jc w:val="left"/>
      </w:pPr>
      <w:r>
        <w:rPr>
          <w:rFonts w:ascii="Garamond" w:cs="Garamond" w:eastAsia="Garamond" w:hAnsi="Garamond"/>
          <w:b w:val="false"/>
          <w:bCs w:val="false"/>
          <w:i w:val="false"/>
          <w:iCs w:val="false"/>
          <w:color w:val="1A1A1A"/>
          <w:sz w:val="22"/>
          <w:szCs w:val="22"/>
        </w:rPr>
        <w:t xml:space="preserve">The CPA escalation layer functions as a coverage boundary enforcement mechanism: the system routes queries outside its verified knowledge base to professional referral rather than generating responses with uncertain accuracy. This design choice reflects a deliberate trade-off between recall and safety — the system accepts lower response coverage in exchange for higher confidence that responses it does provide are grounded. This trade-off is appropriate for a guidance system operating in a high-stakes regulatory domain. Future work should evaluate the false positive rate of the escalation layer (spurious triggering on queries the system could correctly answer) to characterize the cost of this trade-off.</w:t>
      </w:r>
    </w:p>
    <w:p>
      <w:pPr>
        <w:pStyle w:val="Heading2"/>
        <w:spacing w:after="120" w:before="300"/>
      </w:pPr>
      <w:r>
        <w:rPr>
          <w:rFonts w:ascii="Arial" w:cs="Arial" w:eastAsia="Arial" w:hAnsi="Arial"/>
          <w:b/>
          <w:bCs/>
          <w:color w:val="2E5D8E"/>
          <w:sz w:val="24"/>
          <w:szCs w:val="24"/>
        </w:rPr>
        <w:t xml:space="preserve">4.4 Limitations</w:t>
      </w:r>
    </w:p>
    <w:p>
      <w:pPr>
        <w:spacing w:after="160" w:before="0" w:line="300"/>
        <w:jc w:val="left"/>
      </w:pPr>
      <w:r>
        <w:rPr>
          <w:rFonts w:ascii="Garamond" w:cs="Garamond" w:eastAsia="Garamond" w:hAnsi="Garamond"/>
          <w:b w:val="false"/>
          <w:bCs w:val="false"/>
          <w:i w:val="false"/>
          <w:iCs w:val="false"/>
          <w:color w:val="1A1A1A"/>
          <w:sz w:val="22"/>
          <w:szCs w:val="22"/>
        </w:rPr>
        <w:t xml:space="preserve">This system and its evaluation have several important limitations. First, the evaluation was conducted on a 10-query development probe designed after system tuning, creating a risk of evaluation contamination — the system may have been implicitly optimized toward test-case behavior during development. The 80% observed performance figure should not be generalized beyond this probe. Second, the LLM-as-judge faithfulness and relevancy scores were generated with an undocumented judge prompt and an undisclosed judge-generator model relationship, limiting their interpretability. Third, the knowledge base covers tax treaty guidance for 7 countries only (China, India, South Korea, Canada, Mexico, Japan, Germany); the United Kingdom is absent due to a source retrieval error. Fourth, the system provides no state tax guidance, limiting its utility for users whose total tax liability depends on state-level obligations. Fifth, the knowledge base does not incorporate real-time IRS updates; guidance accuracy degrades with the age of the corpus.</w:t>
      </w:r>
    </w:p>
    <w:p>
      <w:pPr>
        <w:spacing w:after="160" w:before="0" w:line="300"/>
        <w:jc w:val="left"/>
      </w:pPr>
      <w:r>
        <w:rPr>
          <w:rFonts w:ascii="Garamond" w:cs="Garamond" w:eastAsia="Garamond" w:hAnsi="Garamond"/>
          <w:b w:val="false"/>
          <w:bCs w:val="false"/>
          <w:i w:val="false"/>
          <w:iCs w:val="false"/>
          <w:color w:val="1A1A1A"/>
          <w:sz w:val="22"/>
          <w:szCs w:val="22"/>
        </w:rPr>
        <w:t xml:space="preserve">No user study was conducted. The system's usability, the comprehensibility of its responses to non-expert users, and its performance on naturalistic (rather than researcher-designed) queries remain untested.</w:t>
      </w:r>
    </w:p>
    <w:p>
      <w:pPr>
        <w:pStyle w:val="Heading2"/>
        <w:spacing w:after="120" w:before="300"/>
      </w:pPr>
      <w:r>
        <w:rPr>
          <w:rFonts w:ascii="Arial" w:cs="Arial" w:eastAsia="Arial" w:hAnsi="Arial"/>
          <w:b/>
          <w:bCs/>
          <w:color w:val="2E5D8E"/>
          <w:sz w:val="24"/>
          <w:szCs w:val="24"/>
        </w:rPr>
        <w:t xml:space="preserve">4.5 Future Work</w:t>
      </w:r>
    </w:p>
    <w:p>
      <w:pPr>
        <w:spacing w:after="160" w:before="0" w:line="300"/>
        <w:jc w:val="left"/>
      </w:pPr>
      <w:r>
        <w:rPr>
          <w:rFonts w:ascii="Garamond" w:cs="Garamond" w:eastAsia="Garamond" w:hAnsi="Garamond"/>
          <w:b w:val="false"/>
          <w:bCs w:val="false"/>
          <w:i w:val="false"/>
          <w:iCs w:val="false"/>
          <w:color w:val="1A1A1A"/>
          <w:sz w:val="22"/>
          <w:szCs w:val="22"/>
        </w:rPr>
        <w:t xml:space="preserve">Five directions are identified for future development. First, expansion to 50+ country treaty coverage would substantially broaden the system's utility and address the current geographic equity limitation. Second, automated annual IRS corpus scraping would maintain guidance currency without manual update cycles. Third, query expansion using LLM-based rewriting of user queries into IRS register could address the semantic gap identified as the primary source of retrieval failure. Fourth, multi-language support would reduce the language barrier for NRA filers whose primary language is not English. Fifth, a prospective user study with international students would provide the human-subjects evaluation currently absent from this work, enabling rigorous assessment of response comprehensibility and task completion rates.</w:t>
      </w:r>
    </w:p>
    <w:p>
      <w:pPr>
        <w:pStyle w:val="Heading2"/>
        <w:spacing w:after="120" w:before="300"/>
      </w:pPr>
      <w:r>
        <w:rPr>
          <w:rFonts w:ascii="Arial" w:cs="Arial" w:eastAsia="Arial" w:hAnsi="Arial"/>
          <w:b/>
          <w:bCs/>
          <w:color w:val="2E5D8E"/>
          <w:sz w:val="24"/>
          <w:szCs w:val="24"/>
        </w:rPr>
        <w:t xml:space="preserve">4.6 Conclusion</w:t>
      </w:r>
    </w:p>
    <w:p>
      <w:pPr>
        <w:spacing w:after="160" w:before="0" w:line="300"/>
        <w:jc w:val="left"/>
      </w:pPr>
      <w:r>
        <w:rPr>
          <w:rFonts w:ascii="Garamond" w:cs="Garamond" w:eastAsia="Garamond" w:hAnsi="Garamond"/>
          <w:b w:val="false"/>
          <w:bCs w:val="false"/>
          <w:i w:val="false"/>
          <w:iCs w:val="false"/>
          <w:color w:val="1A1A1A"/>
          <w:sz w:val="22"/>
          <w:szCs w:val="22"/>
        </w:rPr>
        <w:t xml:space="preserve">This paper presents a proof-of-concept RAG system for nonresident alien tax guidance that demonstrates three design principles applicable to AI-mediated regulatory guidance more broadly: (1) metadata-filtered, signal-aware re-ranking substantially improves retrieval precision in corpus environments dominated by high-volume general documents; (2) citation-mandatory prompt architecture is a feasible mechanism for enforcing response grounding in an authoritative source corpus; and (3) keyword-triggered escalation routing is an effective safety mechanism for bounding a system's response scope to its verified coverage. These contributions are preliminary, demonstrated on a small development probe, and require prospective user evaluation before deployment claims can be made. The system is made publicly available at HuggingFace Spaces to support replication and extension. [NEEDS HUMAN REVIEW: insert public URL.]</w:t>
      </w:r>
    </w:p>
    <w:p/>
    <w:p>
      <w:pPr>
        <w:pStyle w:val="Heading1"/>
        <w:pBdr>
          <w:bottom w:val="single" w:color="2E5D8E" w:sz="8" w:space="6"/>
        </w:pBdr>
        <w:spacing w:after="160" w:before="400"/>
      </w:pPr>
      <w:r>
        <w:rPr>
          <w:rFonts w:ascii="Arial" w:cs="Arial" w:eastAsia="Arial" w:hAnsi="Arial"/>
          <w:b/>
          <w:bCs/>
          <w:color w:val="1B2A4A"/>
          <w:sz w:val="28"/>
          <w:szCs w:val="28"/>
        </w:rPr>
        <w:t xml:space="preserve">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B00020" w:val="clear"/>
          </w:tcPr>
          <w:p/>
        </w:tc>
        <w:tc>
          <w:tcPr>
            <w:tcW w:type="dxa" w:w="9160"/>
            <w:tcBorders>
              <w:top w:val="single" w:color="D8DCE3" w:sz="1"/>
              <w:left w:val="none" w:color="FFFFFF" w:sz="0"/>
              <w:bottom w:val="single" w:color="D8DCE3" w:sz="1"/>
              <w:right w:val="single" w:color="D8DCE3" w:sz="1"/>
            </w:tcBorders>
            <w:shd w:fill="FFF0F0" w:val="clear"/>
            <w:tcMar>
              <w:top w:type="dxa" w:w="120"/>
              <w:left w:type="dxa" w:w="180"/>
              <w:bottom w:type="dxa" w:w="120"/>
              <w:right w:type="dxa" w:w="180"/>
            </w:tcMar>
          </w:tcPr>
          <w:p>
            <w:pPr>
              <w:spacing w:after="60"/>
            </w:pPr>
            <w:r>
              <w:rPr>
                <w:rFonts w:ascii="Arial" w:cs="Arial" w:eastAsia="Arial" w:hAnsi="Arial"/>
                <w:b/>
                <w:bCs/>
                <w:color w:val="B00020"/>
                <w:sz w:val="20"/>
                <w:szCs w:val="20"/>
              </w:rPr>
              <w:t xml:space="preserve">[NEEDS HUMAN REVIEW — COMPLETE BEFORE SUBMISSION]</w:t>
            </w:r>
          </w:p>
          <w:p>
            <w:pPr>
              <w:spacing w:after="0"/>
              <w:jc w:val="left"/>
            </w:pPr>
            <w:r>
              <w:rPr>
                <w:rFonts w:ascii="Garamond" w:cs="Garamond" w:eastAsia="Garamond" w:hAnsi="Garamond"/>
                <w:b w:val="false"/>
                <w:bCs w:val="false"/>
                <w:i w:val="false"/>
                <w:iCs w:val="false"/>
                <w:color w:val="1A1A1A"/>
                <w:sz w:val="20"/>
                <w:szCs w:val="20"/>
              </w:rPr>
              <w:t xml:space="preserve">References must be added in the target journal's citation format. Required categories: (1) IRS Publications cited in the text (519, 901, 515, 8843 instructions); (2) Technical references for all-MiniLM-L6-v2, FAISS, LLaMA 3.1, Groq, Gradio; (3) Related work on RAG in legal/regulatory domains (search: 'retrieval augmented generation legal domain'); (4) Related work on tax chatbots or tax NLP; (5) One citation on LLM-as-judge validity. Do not fabricate citations. All references must be verified before submission.</w:t>
            </w:r>
          </w:p>
        </w:tc>
      </w:tr>
    </w:tbl>
    <w:p/>
    <w:p>
      <w:pPr>
        <w:pStyle w:val="Heading1"/>
        <w:pBdr>
          <w:bottom w:val="single" w:color="2E5D8E" w:sz="8" w:space="6"/>
        </w:pBdr>
        <w:spacing w:after="160" w:before="400"/>
      </w:pPr>
      <w:r>
        <w:rPr>
          <w:rFonts w:ascii="Arial" w:cs="Arial" w:eastAsia="Arial" w:hAnsi="Arial"/>
          <w:b/>
          <w:bCs/>
          <w:color w:val="1B2A4A"/>
          <w:sz w:val="28"/>
          <w:szCs w:val="28"/>
        </w:rPr>
        <w:t xml:space="preserve">APPENDIX</w:t>
      </w:r>
    </w:p>
    <w:p>
      <w:pPr>
        <w:pStyle w:val="Heading2"/>
        <w:spacing w:after="120" w:before="300"/>
      </w:pPr>
      <w:r>
        <w:rPr>
          <w:rFonts w:ascii="Arial" w:cs="Arial" w:eastAsia="Arial" w:hAnsi="Arial"/>
          <w:b/>
          <w:bCs/>
          <w:color w:val="2E5D8E"/>
          <w:sz w:val="24"/>
          <w:szCs w:val="24"/>
        </w:rPr>
        <w:t xml:space="preserve">Appendix A: Re-Ranking Signal Specification</w:t>
      </w:r>
    </w:p>
    <w:p>
      <w:pPr>
        <w:spacing w:after="160" w:before="0" w:line="300"/>
        <w:jc w:val="left"/>
      </w:pPr>
      <w:r>
        <w:rPr>
          <w:rFonts w:ascii="Garamond" w:cs="Garamond" w:eastAsia="Garamond" w:hAnsi="Garamond"/>
          <w:b w:val="false"/>
          <w:bCs w:val="false"/>
          <w:i w:val="false"/>
          <w:iCs w:val="false"/>
          <w:color w:val="1A1A1A"/>
          <w:sz w:val="22"/>
          <w:szCs w:val="22"/>
        </w:rPr>
        <w:t xml:space="preserve">[NEEDS HUMAN REVIEW: Provide the exact re-ranking formula, including how multiple signals are combined (additive? multiplicative? capped?), and confirm the boost factor values in Table 1 match the implementation.]</w:t>
      </w:r>
    </w:p>
    <w:p>
      <w:pPr>
        <w:pStyle w:val="Heading2"/>
        <w:spacing w:after="120" w:before="300"/>
      </w:pPr>
      <w:r>
        <w:rPr>
          <w:rFonts w:ascii="Arial" w:cs="Arial" w:eastAsia="Arial" w:hAnsi="Arial"/>
          <w:b/>
          <w:bCs/>
          <w:color w:val="2E5D8E"/>
          <w:sz w:val="24"/>
          <w:szCs w:val="24"/>
        </w:rPr>
        <w:t xml:space="preserve">Appendix B: CPA Escalation Keyword List</w:t>
      </w:r>
    </w:p>
    <w:p>
      <w:pPr>
        <w:spacing w:after="160" w:before="0" w:line="300"/>
        <w:jc w:val="left"/>
      </w:pPr>
      <w:r>
        <w:rPr>
          <w:rFonts w:ascii="Garamond" w:cs="Garamond" w:eastAsia="Garamond" w:hAnsi="Garamond"/>
          <w:b w:val="false"/>
          <w:bCs w:val="false"/>
          <w:i w:val="false"/>
          <w:iCs w:val="false"/>
          <w:color w:val="1A1A1A"/>
          <w:sz w:val="22"/>
          <w:szCs w:val="22"/>
        </w:rPr>
        <w:t xml:space="preserve">[NEEDS HUMAN REVIEW: List all 24 CPA escalation trigger keywords. This is required for the escalation precision claim to be verifiable by a reviewer.]</w:t>
      </w:r>
    </w:p>
    <w:p>
      <w:pPr>
        <w:pStyle w:val="Heading2"/>
        <w:spacing w:after="120" w:before="300"/>
      </w:pPr>
      <w:r>
        <w:rPr>
          <w:rFonts w:ascii="Arial" w:cs="Arial" w:eastAsia="Arial" w:hAnsi="Arial"/>
          <w:b/>
          <w:bCs/>
          <w:color w:val="2E5D8E"/>
          <w:sz w:val="24"/>
          <w:szCs w:val="24"/>
        </w:rPr>
        <w:t xml:space="preserve">Appendix C: System Prompt</w:t>
      </w:r>
    </w:p>
    <w:p>
      <w:pPr>
        <w:spacing w:after="160" w:before="0" w:line="300"/>
        <w:jc w:val="left"/>
      </w:pPr>
      <w:r>
        <w:rPr>
          <w:rFonts w:ascii="Garamond" w:cs="Garamond" w:eastAsia="Garamond" w:hAnsi="Garamond"/>
          <w:b w:val="false"/>
          <w:bCs w:val="false"/>
          <w:i w:val="false"/>
          <w:iCs w:val="false"/>
          <w:color w:val="1A1A1A"/>
          <w:sz w:val="22"/>
          <w:szCs w:val="22"/>
        </w:rPr>
        <w:t xml:space="preserve">[NEEDS HUMAN REVIEW: Include the full citation-mandatory system prompt used for generation. Redact any API keys or environment-specific strings.]</w:t>
      </w:r>
    </w:p>
    <w:p>
      <w:pPr>
        <w:pStyle w:val="Heading2"/>
        <w:spacing w:after="120" w:before="300"/>
      </w:pPr>
      <w:r>
        <w:rPr>
          <w:rFonts w:ascii="Arial" w:cs="Arial" w:eastAsia="Arial" w:hAnsi="Arial"/>
          <w:b/>
          <w:bCs/>
          <w:color w:val="2E5D8E"/>
          <w:sz w:val="24"/>
          <w:szCs w:val="24"/>
        </w:rPr>
        <w:t xml:space="preserve">Appendix D: LLM-as-Judge Prompt</w:t>
      </w:r>
    </w:p>
    <w:p>
      <w:pPr>
        <w:spacing w:after="160" w:before="0" w:line="300"/>
        <w:jc w:val="left"/>
      </w:pPr>
      <w:r>
        <w:rPr>
          <w:rFonts w:ascii="Garamond" w:cs="Garamond" w:eastAsia="Garamond" w:hAnsi="Garamond"/>
          <w:b w:val="false"/>
          <w:bCs w:val="false"/>
          <w:i w:val="false"/>
          <w:iCs w:val="false"/>
          <w:color w:val="1A1A1A"/>
          <w:sz w:val="22"/>
          <w:szCs w:val="22"/>
        </w:rPr>
        <w:t xml:space="preserve">[NEEDS HUMAN REVIEW: Include the full judge prompt used for faithfulness and answer relevancy scoring, and identify the exact judge model version. If the judge model is in the same family as the generator, add the caveat from Section 2.5.3.]</w:t>
      </w:r>
    </w:p>
    <w:p>
      <w:pPr>
        <w:pStyle w:val="Heading2"/>
        <w:spacing w:after="120" w:before="300"/>
      </w:pPr>
      <w:r>
        <w:rPr>
          <w:rFonts w:ascii="Arial" w:cs="Arial" w:eastAsia="Arial" w:hAnsi="Arial"/>
          <w:b/>
          <w:bCs/>
          <w:color w:val="2E5D8E"/>
          <w:sz w:val="24"/>
          <w:szCs w:val="24"/>
        </w:rPr>
        <w:t xml:space="preserve">Appendix E: Knowledge Base Source List</w:t>
      </w:r>
    </w:p>
    <w:p>
      <w:pPr>
        <w:spacing w:after="160" w:before="0" w:line="300"/>
        <w:jc w:val="left"/>
      </w:pPr>
      <w:r>
        <w:rPr>
          <w:rFonts w:ascii="Garamond" w:cs="Garamond" w:eastAsia="Garamond" w:hAnsi="Garamond"/>
          <w:b w:val="false"/>
          <w:bCs w:val="false"/>
          <w:i w:val="false"/>
          <w:iCs w:val="false"/>
          <w:color w:val="1A1A1A"/>
          <w:sz w:val="22"/>
          <w:szCs w:val="22"/>
        </w:rPr>
        <w:t xml:space="preserve">[NEEDS HUMAN REVIEW: List all 27 source documents (23 PDFs + 4 HTML pages) with IRS document numbers, titles, publication dates, and retrieval dates. This is required for replicability.]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2A4A" w:val="clear"/>
          </w:tcPr>
          <w:p/>
        </w:tc>
        <w:tc>
          <w:tcPr>
            <w:tcW w:type="dxa" w:w="9160"/>
            <w:tcBorders>
              <w:top w:val="single" w:color="D8DCE3" w:sz="1"/>
              <w:left w:val="none" w:color="FFFFFF" w:sz="0"/>
              <w:bottom w:val="single" w:color="D8DCE3" w:sz="1"/>
              <w:right w:val="single" w:color="D8DCE3" w:sz="1"/>
            </w:tcBorders>
            <w:shd w:fill="F3F5F8" w:val="clear"/>
            <w:tcMar>
              <w:top w:type="dxa" w:w="120"/>
              <w:left w:type="dxa" w:w="180"/>
              <w:bottom w:type="dxa" w:w="120"/>
              <w:right w:type="dxa" w:w="180"/>
            </w:tcMar>
          </w:tcPr>
          <w:p>
            <w:pPr>
              <w:spacing w:after="60"/>
            </w:pPr>
            <w:r>
              <w:rPr>
                <w:rFonts w:ascii="Arial" w:cs="Arial" w:eastAsia="Arial" w:hAnsi="Arial"/>
                <w:b/>
                <w:bCs/>
                <w:color w:val="1B2A4A"/>
                <w:sz w:val="20"/>
                <w:szCs w:val="20"/>
              </w:rPr>
              <w:t xml:space="preserve">SUBMISSION CHECKLIST — COMPLETE ALL BEFORE SUBMITTING</w:t>
            </w:r>
          </w:p>
          <w:p>
            <w:pPr>
              <w:spacing w:after="0"/>
              <w:jc w:val="left"/>
            </w:pPr>
            <w:r>
              <w:rPr>
                <w:rFonts w:ascii="Garamond" w:cs="Garamond" w:eastAsia="Garamond" w:hAnsi="Garamond"/>
                <w:b w:val="false"/>
                <w:bCs w:val="false"/>
                <w:i w:val="false"/>
                <w:iCs w:val="false"/>
                <w:color w:val="1A1A1A"/>
                <w:sz w:val="20"/>
                <w:szCs w:val="20"/>
              </w:rPr>
              <w:t xml:space="preserve">□ Abstract matches manuscript findings
□ Related Work section added with verified citations
□ Re-ranking formula documented in Appendix A
□ CPA keyword list in Appendix B
□ System prompt in Appendix C
□ Judge prompt + model version in Appendix D
□ Source document list in Appendix E
□ IRB waiver statement added to Methods
□ Legal disclaimer added
□ LLaMA version string pinned with date
□ CPA cost estimate citation added to Introduction
□ All [NEEDS HUMAN REVIEW] flags resolved
□ References formatted to target journal style
□ Word count within journal limits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A4A"/>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5D8E"/>
      <w:sz w:val="24"/>
      <w:szCs w:val="24"/>
    </w:rPr>
  </w:style>
  <w:style w:type="paragraph" w:styleId="Heading3">
    <w:name w:val="Heading 3"/>
    <w:basedOn w:val="Normal"/>
    <w:next w:val="Normal"/>
    <w:qFormat/>
    <w:pPr>
      <w:spacing w:after="80" w:before="200"/>
      <w:outlineLvl w:val="2"/>
    </w:pPr>
    <w:rPr>
      <w:rFonts w:ascii="Arial" w:cs="Arial" w:eastAsia="Arial" w:hAnsi="Arial"/>
      <w:b/>
      <w:bCs/>
      <w:i/>
      <w:i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2026-04-24T23:15:11.684Z</dcterms:created>
  <dcterms:modified xsi:type="dcterms:W3CDTF">2026-04-24T23:15:11.685Z</dcterms:modified>
</cp:coreProperties>
</file>

<file path=docProps/custom.xml><?xml version="1.0" encoding="utf-8"?>
<Properties xmlns="http://schemas.openxmlformats.org/officeDocument/2006/custom-properties" xmlns:vt="http://schemas.openxmlformats.org/officeDocument/2006/docPropsVTypes"/>
</file>