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500"/>
              <w:left w:type="dxa" w:w="400"/>
              <w:bottom w:type="dxa" w:w="500"/>
              <w:right w:type="dxa" w:w="400"/>
            </w:tcMar>
          </w:tcPr>
          <w:p>
            <w:pPr>
              <w:spacing w:after="120"/>
              <w:jc w:val="center"/>
            </w:pPr>
            <w:r>
              <w:rPr>
                <w:rFonts w:ascii="Arial" w:cs="Arial" w:eastAsia="Arial" w:hAnsi="Arial"/>
                <w:b/>
                <w:bCs/>
                <w:color w:val="94A3B8"/>
                <w:spacing w:val="200"/>
                <w:sz w:val="24"/>
                <w:szCs w:val="24"/>
              </w:rPr>
              <w:t xml:space="preserve">TECHNICAL REPORT</w:t>
            </w:r>
          </w:p>
          <w:p>
            <w:pPr>
              <w:spacing w:after="120"/>
              <w:jc w:val="center"/>
            </w:pPr>
            <w:r>
              <w:rPr>
                <w:rFonts w:ascii="Arial" w:cs="Arial" w:eastAsia="Arial" w:hAnsi="Arial"/>
                <w:b/>
                <w:bCs/>
                <w:color w:val="FFFFFF"/>
                <w:sz w:val="56"/>
                <w:szCs w:val="56"/>
              </w:rPr>
              <w:t xml:space="preserve">Immigrant Tax Filing Assistant</w:t>
            </w:r>
          </w:p>
          <w:p>
            <w:pPr>
              <w:spacing w:after="400"/>
              <w:jc w:val="center"/>
            </w:pPr>
            <w:r>
              <w:rPr>
                <w:rFonts w:ascii="Arial" w:cs="Arial" w:eastAsia="Arial" w:hAnsi="Arial"/>
                <w:i/>
                <w:iCs/>
                <w:color w:val="BFDBFE"/>
                <w:sz w:val="26"/>
                <w:szCs w:val="26"/>
              </w:rPr>
              <w:t xml:space="preserve">A Profile-Aware RAG System for Nonresident Alien Tax Guidance</w:t>
            </w:r>
          </w:p>
          <w:p>
            <w:pPr>
              <w:spacing w:after="80"/>
              <w:jc w:val="center"/>
            </w:pPr>
            <w:r>
              <w:rPr>
                <w:rFonts w:ascii="Arial" w:cs="Arial" w:eastAsia="Arial" w:hAnsi="Arial"/>
                <w:color w:val="94A3B8"/>
                <w:sz w:val="22"/>
                <w:szCs w:val="22"/>
              </w:rPr>
              <w:t xml:space="preserve">Param Shah</w:t>
            </w:r>
          </w:p>
          <w:p>
            <w:pPr>
              <w:spacing w:after="400"/>
              <w:jc w:val="center"/>
            </w:pPr>
            <w:r>
              <w:rPr>
                <w:rFonts w:ascii="Arial" w:cs="Arial" w:eastAsia="Arial" w:hAnsi="Arial"/>
                <w:color w:val="94A3B8"/>
                <w:sz w:val="22"/>
                <w:szCs w:val="22"/>
              </w:rPr>
              <w:t xml:space="preserve">Spring 2026</w:t>
            </w:r>
          </w:p>
          <w:p>
            <w:pPr>
              <w:spacing w:after="60"/>
              <w:jc w:val="center"/>
            </w:pPr>
            <w:r>
              <w:rPr>
                <w:rFonts w:ascii="Arial" w:cs="Arial" w:eastAsia="Arial" w:hAnsi="Arial"/>
                <w:color w:val="60A5FA"/>
                <w:sz w:val="20"/>
                <w:szCs w:val="20"/>
              </w:rPr>
              <w:t xml:space="preserve">Live Demo: huggingface.co/spaces/pshah8011/immigrant-tax-assistant</w:t>
            </w:r>
          </w:p>
          <w:p>
            <w:pPr>
              <w:jc w:val="center"/>
            </w:pPr>
            <w:r>
              <w:rPr>
                <w:rFonts w:ascii="Arial" w:cs="Arial" w:eastAsia="Arial" w:hAnsi="Arial"/>
                <w:color w:val="60A5FA"/>
                <w:sz w:val="20"/>
                <w:szCs w:val="20"/>
              </w:rPr>
              <w:t xml:space="preserve">GitHub: github.com/shahparamk/immigrant-tax-assistant</w:t>
            </w:r>
          </w:p>
        </w:tc>
      </w:tr>
    </w:tbl>
    <w:p>
      <w:r>
        <w:br w:type="page"/>
      </w:r>
    </w:p>
    <w:p>
      <w:pPr>
        <w:pStyle w:val="Heading1"/>
        <w:pBdr>
          <w:bottom w:val="single" w:color="1A56DB" w:sz="8" w:space="4"/>
        </w:pBdr>
        <w:spacing w:after="160" w:before="360"/>
      </w:pPr>
      <w:r>
        <w:rPr>
          <w:rFonts w:ascii="Arial" w:cs="Arial" w:eastAsia="Arial" w:hAnsi="Arial"/>
          <w:b/>
          <w:bCs/>
          <w:color w:val="0F2044"/>
          <w:sz w:val="36"/>
          <w:szCs w:val="36"/>
        </w:rPr>
        <w:t xml:space="preserve">Abstract</w:t>
      </w:r>
    </w:p>
    <w:p>
      <w:pPr>
        <w:spacing w:after="80" w:before="60"/>
        <w:jc w:val="both"/>
      </w:pPr>
      <w:r>
        <w:rPr>
          <w:rFonts w:ascii="Arial" w:cs="Arial" w:eastAsia="Arial" w:hAnsi="Arial"/>
          <w:color w:val="1E293B"/>
          <w:sz w:val="22"/>
          <w:szCs w:val="22"/>
        </w:rPr>
        <w:t xml:space="preserve">This paper presents the Immigrant Tax Filing Assistant, a production-grade Retrieval-Augmented Generation (RAG) system designed to provide accurate, citation-mandatory tax guidance for non-resident aliens in the United States. The system targets international students and workers on F-1, OPT, H-1B, and J-1 visas — a population of over one million individuals annually who face unique tax obligations not addressed by mainstream tax software. The system implements two core generative AI components: (1) a dual-source RAG pipeline combining 23 IRS PDFs and 4 IRS.gov HTML pages (3,726 total chunks) with FAISS-based semantic retrieval and a 9-category smart re-ranking layer; and (2) a prompt engineering framework enforcing citation-mandatory responses, deterministic output via temperature=0.0, and a 24-keyword CPA escalation layer. Evaluation on a manual test battery demonstrates 80% retrieval accuracy, 100% escalation precision, and 0.92 faithfulness score using LLM-as-judge evaluation. The system is deployed live on HuggingFace Spaces using Groq LLaMA 3.1 8B Instant as the generation model.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EFF6FF" w:val="clear"/>
            <w:tcMar>
              <w:top w:type="dxa" w:w="120"/>
              <w:left w:type="dxa" w:w="180"/>
              <w:bottom w:type="dxa" w:w="120"/>
              <w:right w:type="dxa" w:w="180"/>
            </w:tcMar>
          </w:tcPr>
          <w:p>
            <w:pPr>
              <w:spacing w:after="60"/>
            </w:pPr>
            <w:r>
              <w:rPr>
                <w:rFonts w:ascii="Arial" w:cs="Arial" w:eastAsia="Arial" w:hAnsi="Arial"/>
                <w:b/>
                <w:bCs/>
                <w:color w:val="1A56DB"/>
                <w:sz w:val="22"/>
                <w:szCs w:val="22"/>
              </w:rPr>
              <w:t xml:space="preserve">Keywords</w:t>
            </w:r>
          </w:p>
          <w:p>
            <w:pPr>
              <w:jc w:val="both"/>
            </w:pPr>
            <w:r>
              <w:rPr>
                <w:rFonts w:ascii="Arial" w:cs="Arial" w:eastAsia="Arial" w:hAnsi="Arial"/>
                <w:color w:val="1E293B"/>
                <w:sz w:val="20"/>
                <w:szCs w:val="20"/>
              </w:rPr>
              <w:t xml:space="preserve">Retrieval-Augmented Generation, Prompt Engineering, Nonresident Alien, Tax Guidance, FAISS, LLaMA, CPA Escalation, International Students</w:t>
            </w:r>
          </w:p>
        </w:tc>
      </w:tr>
    </w:tbl>
    <w:p>
      <w:r>
        <w:br w:type="page"/>
      </w:r>
    </w:p>
    <w:p>
      <w:pPr>
        <w:pStyle w:val="Heading1"/>
        <w:pBdr>
          <w:bottom w:val="single" w:color="1A56DB" w:sz="8" w:space="4"/>
        </w:pBdr>
        <w:spacing w:after="160" w:before="360"/>
      </w:pPr>
      <w:r>
        <w:rPr>
          <w:rFonts w:ascii="Arial" w:cs="Arial" w:eastAsia="Arial" w:hAnsi="Arial"/>
          <w:b/>
          <w:bCs/>
          <w:color w:val="0F2044"/>
          <w:sz w:val="36"/>
          <w:szCs w:val="36"/>
        </w:rPr>
        <w:t xml:space="preserve">1. Introduction</w:t>
      </w:r>
    </w:p>
    <w:p>
      <w:pPr>
        <w:spacing w:after="80" w:before="60"/>
        <w:jc w:val="both"/>
      </w:pPr>
      <w:r>
        <w:rPr>
          <w:rFonts w:ascii="Arial" w:cs="Arial" w:eastAsia="Arial" w:hAnsi="Arial"/>
          <w:color w:val="1E293B"/>
          <w:sz w:val="22"/>
          <w:szCs w:val="22"/>
        </w:rPr>
        <w:t xml:space="preserve">The United States tax system distinguishes between resident and nonresident aliens through the Substantial Presence Test (SPT), creating a bifurcated tax regime that applies different rules, forms, and treaty benefits depending on immigration status. Over 1.1 million international students and approximately 500,000 H-1B workers are annually required to navigate this system, yet face a significant information asymmetry: generic tax preparation software (TurboTax, H&amp;R Block) does not support Form 1040-NR filings, and specialized professional assistance from CPAs who understand nonresident alien taxation costs between $200 and $500 per session.</w:t>
      </w:r>
    </w:p>
    <w:p>
      <w:pPr>
        <w:spacing w:after="80" w:before="0"/>
      </w:pPr>
      <w:r>
        <w:t xml:space="preserve"/>
      </w:r>
    </w:p>
    <w:p>
      <w:pPr>
        <w:spacing w:after="80" w:before="60"/>
        <w:jc w:val="both"/>
      </w:pPr>
      <w:r>
        <w:rPr>
          <w:rFonts w:ascii="Arial" w:cs="Arial" w:eastAsia="Arial" w:hAnsi="Arial"/>
          <w:color w:val="1E293B"/>
          <w:sz w:val="22"/>
          <w:szCs w:val="22"/>
        </w:rPr>
        <w:t xml:space="preserve">This paper presents a system that addresses this gap through the combination of Retrieval-Augmented Generation and systematic prompt engineering. Rather than attempting to train a model on tax law — which changes annually — we construct a retrieval-first architecture that grounds every generated response in specific IRS publications. The system operates under a strict design principle: every factual claim must cite an IRS source, and any question that exceeds the system's reliable scope is refused and redirected to licensed professionals.</w:t>
      </w:r>
    </w:p>
    <w:p>
      <w:pPr>
        <w:spacing w:after="80" w:before="0"/>
      </w:pPr>
      <w:r>
        <w:t xml:space="preserve"/>
      </w:r>
    </w:p>
    <w:p>
      <w:pPr>
        <w:pStyle w:val="Heading2"/>
        <w:spacing w:after="120" w:before="240"/>
      </w:pPr>
      <w:r>
        <w:rPr>
          <w:rFonts w:ascii="Arial" w:cs="Arial" w:eastAsia="Arial" w:hAnsi="Arial"/>
          <w:b/>
          <w:bCs/>
          <w:color w:val="1A56DB"/>
          <w:sz w:val="28"/>
          <w:szCs w:val="28"/>
        </w:rPr>
        <w:t xml:space="preserve">1.1 Research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EFF6FF" w:val="clear"/>
            <w:tcMar>
              <w:top w:type="dxa" w:w="120"/>
              <w:left w:type="dxa" w:w="180"/>
              <w:bottom w:type="dxa" w:w="120"/>
              <w:right w:type="dxa" w:w="180"/>
            </w:tcMar>
          </w:tcPr>
          <w:p>
            <w:pPr>
              <w:spacing w:after="60"/>
            </w:pPr>
            <w:r>
              <w:rPr>
                <w:rFonts w:ascii="Arial" w:cs="Arial" w:eastAsia="Arial" w:hAnsi="Arial"/>
                <w:b/>
                <w:bCs/>
                <w:color w:val="1A56DB"/>
                <w:sz w:val="22"/>
                <w:szCs w:val="22"/>
              </w:rPr>
              <w:t xml:space="preserve">Primary Research Question</w:t>
            </w:r>
          </w:p>
          <w:p>
            <w:pPr>
              <w:jc w:val="both"/>
            </w:pPr>
            <w:r>
              <w:rPr>
                <w:rFonts w:ascii="Arial" w:cs="Arial" w:eastAsia="Arial" w:hAnsi="Arial"/>
                <w:color w:val="1E293B"/>
                <w:sz w:val="20"/>
                <w:szCs w:val="20"/>
              </w:rPr>
              <w:t xml:space="preserve">Can a Retrieval-Augmented Generation system with citation-mandatory prompt engineering provide accurate, grounded tax guidance for international students and workers, while maintaining safety through automatic escalation of out-of-scope queries?</w:t>
            </w:r>
          </w:p>
        </w:tc>
      </w:tr>
    </w:tbl>
    <w:p>
      <w:pPr>
        <w:spacing w:after="80" w:before="0"/>
      </w:pPr>
      <w:r>
        <w:t xml:space="preserve"/>
      </w:r>
    </w:p>
    <w:p>
      <w:pPr>
        <w:pStyle w:val="Heading2"/>
        <w:spacing w:after="120" w:before="240"/>
      </w:pPr>
      <w:r>
        <w:rPr>
          <w:rFonts w:ascii="Arial" w:cs="Arial" w:eastAsia="Arial" w:hAnsi="Arial"/>
          <w:b/>
          <w:bCs/>
          <w:color w:val="1A56DB"/>
          <w:sz w:val="28"/>
          <w:szCs w:val="28"/>
        </w:rPr>
        <w:t xml:space="preserve">1.2 Contributions</w:t>
      </w:r>
    </w:p>
    <w:p>
      <w:pPr>
        <w:pStyle w:val="ListParagraph"/>
        <w:numPr>
          <w:ilvl w:val="0"/>
          <w:numId w:val="2"/>
        </w:numPr>
        <w:spacing w:after="40" w:before="40"/>
      </w:pPr>
      <w:r>
        <w:rPr>
          <w:rFonts w:ascii="Arial" w:cs="Arial" w:eastAsia="Arial" w:hAnsi="Arial"/>
          <w:color w:val="1E293B"/>
          <w:sz w:val="22"/>
          <w:szCs w:val="22"/>
        </w:rPr>
        <w:t xml:space="preserve">A dual-source knowledge base combining IRS PDFs and HTML pages with topic enrichment for vocabulary gap bridging</w:t>
      </w:r>
    </w:p>
    <w:p>
      <w:pPr>
        <w:pStyle w:val="ListParagraph"/>
        <w:numPr>
          <w:ilvl w:val="0"/>
          <w:numId w:val="2"/>
        </w:numPr>
        <w:spacing w:after="40" w:before="40"/>
      </w:pPr>
      <w:r>
        <w:rPr>
          <w:rFonts w:ascii="Arial" w:cs="Arial" w:eastAsia="Arial" w:hAnsi="Arial"/>
          <w:color w:val="1E293B"/>
          <w:sz w:val="22"/>
          <w:szCs w:val="22"/>
        </w:rPr>
        <w:t xml:space="preserve">A 9-category signal-aware re-ranking layer that improved retrieval accuracy from 40% to 80%</w:t>
      </w:r>
    </w:p>
    <w:p>
      <w:pPr>
        <w:pStyle w:val="ListParagraph"/>
        <w:numPr>
          <w:ilvl w:val="0"/>
          <w:numId w:val="2"/>
        </w:numPr>
        <w:spacing w:after="40" w:before="40"/>
      </w:pPr>
      <w:r>
        <w:rPr>
          <w:rFonts w:ascii="Arial" w:cs="Arial" w:eastAsia="Arial" w:hAnsi="Arial"/>
          <w:color w:val="1E293B"/>
          <w:sz w:val="22"/>
          <w:szCs w:val="22"/>
        </w:rPr>
        <w:t xml:space="preserve">A deterministic CPA escalation architecture achieving 100% precision on out-of-scope query detection</w:t>
      </w:r>
    </w:p>
    <w:p>
      <w:pPr>
        <w:pStyle w:val="ListParagraph"/>
        <w:numPr>
          <w:ilvl w:val="0"/>
          <w:numId w:val="2"/>
        </w:numPr>
        <w:spacing w:after="40" w:before="40"/>
      </w:pPr>
      <w:r>
        <w:rPr>
          <w:rFonts w:ascii="Arial" w:cs="Arial" w:eastAsia="Arial" w:hAnsi="Arial"/>
          <w:color w:val="1E293B"/>
          <w:sz w:val="22"/>
          <w:szCs w:val="22"/>
        </w:rPr>
        <w:t xml:space="preserve">A deterministic SPT calculator component that eliminates LLM involvement from mathematical tax status determination</w:t>
      </w:r>
    </w:p>
    <w:p>
      <w:pPr>
        <w:pStyle w:val="ListParagraph"/>
        <w:numPr>
          <w:ilvl w:val="0"/>
          <w:numId w:val="2"/>
        </w:numPr>
        <w:spacing w:after="40" w:before="40"/>
      </w:pPr>
      <w:r>
        <w:rPr>
          <w:rFonts w:ascii="Arial" w:cs="Arial" w:eastAsia="Arial" w:hAnsi="Arial"/>
          <w:color w:val="1E293B"/>
          <w:sz w:val="22"/>
          <w:szCs w:val="22"/>
        </w:rPr>
        <w:t xml:space="preserve">An LLM-as-judge evaluation methodology for RAG systems without OpenAI dependency</w:t>
      </w:r>
    </w:p>
    <w:p>
      <w:r>
        <w:br w:type="page"/>
      </w:r>
    </w:p>
    <w:p>
      <w:pPr>
        <w:pStyle w:val="Heading1"/>
        <w:pBdr>
          <w:bottom w:val="single" w:color="1A56DB" w:sz="8" w:space="4"/>
        </w:pBdr>
        <w:spacing w:after="160" w:before="360"/>
      </w:pPr>
      <w:r>
        <w:rPr>
          <w:rFonts w:ascii="Arial" w:cs="Arial" w:eastAsia="Arial" w:hAnsi="Arial"/>
          <w:b/>
          <w:bCs/>
          <w:color w:val="0F2044"/>
          <w:sz w:val="36"/>
          <w:szCs w:val="36"/>
        </w:rPr>
        <w:t xml:space="preserve">2. Related Work</w:t>
      </w:r>
    </w:p>
    <w:p>
      <w:pPr>
        <w:pStyle w:val="Heading2"/>
        <w:spacing w:after="120" w:before="240"/>
      </w:pPr>
      <w:r>
        <w:rPr>
          <w:rFonts w:ascii="Arial" w:cs="Arial" w:eastAsia="Arial" w:hAnsi="Arial"/>
          <w:b/>
          <w:bCs/>
          <w:color w:val="1A56DB"/>
          <w:sz w:val="28"/>
          <w:szCs w:val="28"/>
        </w:rPr>
        <w:t xml:space="preserve">2.1 Retrieval-Augmented Generation</w:t>
      </w:r>
    </w:p>
    <w:p>
      <w:pPr>
        <w:spacing w:after="80" w:before="60"/>
        <w:jc w:val="both"/>
      </w:pPr>
      <w:r>
        <w:rPr>
          <w:rFonts w:ascii="Arial" w:cs="Arial" w:eastAsia="Arial" w:hAnsi="Arial"/>
          <w:color w:val="1E293B"/>
          <w:sz w:val="22"/>
          <w:szCs w:val="22"/>
        </w:rPr>
        <w:t xml:space="preserve">Lewis et al. (2020) introduced RAG as a method for grounding language model outputs in external knowledge sources, demonstrating significant improvements in factual accuracy on knowledge-intensive tasks. Subsequent work by Guu et al. (2020) on REALM and Izacard &amp; Grave (2021) on Fusion-in-Decoder established dense retrieval as the preferred approach over sparse BM25 methods for open-domain question answering. Our work applies these principles to a constrained, high-stakes domain where citation accuracy is a primary requirement rather than a secondary consideration.</w:t>
      </w:r>
    </w:p>
    <w:p>
      <w:pPr>
        <w:spacing w:after="80" w:before="0"/>
      </w:pPr>
      <w:r>
        <w:t xml:space="preserve"/>
      </w:r>
    </w:p>
    <w:p>
      <w:pPr>
        <w:pStyle w:val="Heading2"/>
        <w:spacing w:after="120" w:before="240"/>
      </w:pPr>
      <w:r>
        <w:rPr>
          <w:rFonts w:ascii="Arial" w:cs="Arial" w:eastAsia="Arial" w:hAnsi="Arial"/>
          <w:b/>
          <w:bCs/>
          <w:color w:val="1A56DB"/>
          <w:sz w:val="28"/>
          <w:szCs w:val="28"/>
        </w:rPr>
        <w:t xml:space="preserve">2.2 Domain-Specific RAG Systems</w:t>
      </w:r>
    </w:p>
    <w:p>
      <w:pPr>
        <w:spacing w:after="80" w:before="60"/>
        <w:jc w:val="both"/>
      </w:pPr>
      <w:r>
        <w:rPr>
          <w:rFonts w:ascii="Arial" w:cs="Arial" w:eastAsia="Arial" w:hAnsi="Arial"/>
          <w:color w:val="1E293B"/>
          <w:sz w:val="22"/>
          <w:szCs w:val="22"/>
        </w:rPr>
        <w:t xml:space="preserve">Recent work has applied RAG to legal and regulatory domains with notable success. Cui et al. (2023) demonstrated that domain-specific chunking strategies — particularly section-aware splitting aligned with document structure — substantially outperform fixed-length chunking for structured documents such as legal codes and regulatory publications. Our chunking strategy follows this approach, using IRS section header detection rather than fixed-length splits. The challenge of vocabulary mismatch between user queries and formal regulatory language has been addressed through query expansion techniques (Wang et al., 2023); we address the same problem through topic enrichment applied at indexing time rather than query time.</w:t>
      </w:r>
    </w:p>
    <w:p>
      <w:pPr>
        <w:spacing w:after="80" w:before="0"/>
      </w:pPr>
      <w:r>
        <w:t xml:space="preserve"/>
      </w:r>
    </w:p>
    <w:p>
      <w:pPr>
        <w:pStyle w:val="Heading2"/>
        <w:spacing w:after="120" w:before="240"/>
      </w:pPr>
      <w:r>
        <w:rPr>
          <w:rFonts w:ascii="Arial" w:cs="Arial" w:eastAsia="Arial" w:hAnsi="Arial"/>
          <w:b/>
          <w:bCs/>
          <w:color w:val="1A56DB"/>
          <w:sz w:val="28"/>
          <w:szCs w:val="28"/>
        </w:rPr>
        <w:t xml:space="preserve">2.3 Safety and Escalation in AI Systems</w:t>
      </w:r>
    </w:p>
    <w:p>
      <w:pPr>
        <w:spacing w:after="80" w:before="60"/>
        <w:jc w:val="both"/>
      </w:pPr>
      <w:r>
        <w:rPr>
          <w:rFonts w:ascii="Arial" w:cs="Arial" w:eastAsia="Arial" w:hAnsi="Arial"/>
          <w:color w:val="1E293B"/>
          <w:sz w:val="22"/>
          <w:szCs w:val="22"/>
        </w:rPr>
        <w:t xml:space="preserve">The problem of scope limitation in AI advisory systems has been addressed primarily through classifier-based approaches (Hendrycks et al., 2021) and constitutional AI methods (Bai et al., 2022). Our escalation architecture takes a simpler but more reliable approach: deterministic keyword matching against a curated list of 24 out-of-scope topics. This choice prioritizes precision over recall — we prefer to escalate a borderline query than to answer it incorrectly. This approach is consistent with the conservative design philosophy recommended for high-stakes domains by Weidinger et al. (2022).</w:t>
      </w:r>
    </w:p>
    <w:p>
      <w:r>
        <w:br w:type="page"/>
      </w:r>
    </w:p>
    <w:p>
      <w:pPr>
        <w:pStyle w:val="Heading1"/>
        <w:pBdr>
          <w:bottom w:val="single" w:color="1A56DB" w:sz="8" w:space="4"/>
        </w:pBdr>
        <w:spacing w:after="160" w:before="360"/>
      </w:pPr>
      <w:r>
        <w:rPr>
          <w:rFonts w:ascii="Arial" w:cs="Arial" w:eastAsia="Arial" w:hAnsi="Arial"/>
          <w:b/>
          <w:bCs/>
          <w:color w:val="0F2044"/>
          <w:sz w:val="36"/>
          <w:szCs w:val="36"/>
        </w:rPr>
        <w:t xml:space="preserve">3. Methodology</w:t>
      </w:r>
    </w:p>
    <w:p>
      <w:pPr>
        <w:pStyle w:val="Heading2"/>
        <w:spacing w:after="120" w:before="240"/>
      </w:pPr>
      <w:r>
        <w:rPr>
          <w:rFonts w:ascii="Arial" w:cs="Arial" w:eastAsia="Arial" w:hAnsi="Arial"/>
          <w:b/>
          <w:bCs/>
          <w:color w:val="1A56DB"/>
          <w:sz w:val="28"/>
          <w:szCs w:val="28"/>
        </w:rPr>
        <w:t xml:space="preserve">3.1 System Architecture</w:t>
      </w:r>
    </w:p>
    <w:p>
      <w:pPr>
        <w:spacing w:after="80" w:before="60"/>
        <w:jc w:val="both"/>
      </w:pPr>
      <w:r>
        <w:rPr>
          <w:rFonts w:ascii="Arial" w:cs="Arial" w:eastAsia="Arial" w:hAnsi="Arial"/>
          <w:color w:val="1E293B"/>
          <w:sz w:val="22"/>
          <w:szCs w:val="22"/>
        </w:rPr>
        <w:t xml:space="preserve">The system implements a seven-layer pipeline architecture. Figure 1 presents the complete pipeline from user query to generated response.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jc w:val="center"/>
            </w:pPr>
            <w:r>
              <w:rPr>
                <w:rFonts w:ascii="Arial" w:cs="Arial" w:eastAsia="Arial" w:hAnsi="Arial"/>
                <w:b/>
                <w:bCs/>
                <w:color w:val="0F2044"/>
                <w:sz w:val="24"/>
                <w:szCs w:val="24"/>
              </w:rPr>
              <w:t xml:space="preserve">Layer 1 — User Query</w:t>
            </w:r>
          </w:p>
          <w:p>
            <w:pPr>
              <w:spacing w:before="20"/>
              <w:jc w:val="center"/>
            </w:pPr>
            <w:r>
              <w:rPr>
                <w:rFonts w:ascii="Arial" w:cs="Arial" w:eastAsia="Arial" w:hAnsi="Arial"/>
                <w:color w:val="0F2044"/>
                <w:sz w:val="18"/>
                <w:szCs w:val="18"/>
              </w:rPr>
              <w:t xml:space="preserve">Visa type + country + question via Gradio interface</w:t>
            </w:r>
          </w:p>
        </w:tc>
      </w:tr>
      <w:tr>
        <w:tc>
          <w:tcPr>
            <w:tcW w:type="dxa" w:w="9360"/>
            <w:tcBorders>
              <w:top w:val="none" w:color="FFFFFF" w:sz="0"/>
              <w:left w:val="none" w:color="FFFFFF" w:sz="0"/>
              <w:bottom w:val="none" w:color="FFFFFF" w:sz="0"/>
              <w:right w:val="none" w:color="FFFFFF" w:sz="0"/>
            </w:tcBorders>
            <w:tcMar>
              <w:top w:type="dxa" w:w="20"/>
              <w:bottom w:type="dxa" w:w="20"/>
            </w:tcMar>
          </w:tcPr>
          <w:p>
            <w:pPr>
              <w:jc w:val="center"/>
            </w:pPr>
            <w:r>
              <w:rPr>
                <w:rFonts w:ascii="Arial" w:cs="Arial" w:eastAsia="Arial" w:hAnsi="Arial"/>
                <w:b/>
                <w:bCs/>
                <w:color w:val="1A56DB"/>
                <w:sz w:val="28"/>
                <w:szCs w:val="28"/>
              </w:rPr>
              <w:t xml:space="preserve">↓</w:t>
            </w:r>
          </w:p>
        </w:tc>
      </w:tr>
      <w:tr>
        <w:tc>
          <w:tcPr>
            <w:tcW w:type="dxa" w:w="9360"/>
            <w:tcBorders>
              <w:top w:val="single" w:color="CBD5E1" w:sz="4"/>
              <w:left w:val="single" w:color="CBD5E1" w:sz="4"/>
              <w:bottom w:val="single" w:color="CBD5E1" w:sz="4"/>
              <w:right w:val="single" w:color="CBD5E1" w:sz="4"/>
            </w:tcBorders>
            <w:shd w:fill="FEF3C7" w:val="clear"/>
            <w:tcMar>
              <w:top w:type="dxa" w:w="100"/>
              <w:left w:type="dxa" w:w="200"/>
              <w:bottom w:type="dxa" w:w="100"/>
              <w:right w:type="dxa" w:w="200"/>
            </w:tcMar>
          </w:tcPr>
          <w:p>
            <w:pPr>
              <w:jc w:val="center"/>
            </w:pPr>
            <w:r>
              <w:rPr>
                <w:rFonts w:ascii="Arial" w:cs="Arial" w:eastAsia="Arial" w:hAnsi="Arial"/>
                <w:b/>
                <w:bCs/>
                <w:color w:val="B45309"/>
                <w:sz w:val="24"/>
                <w:szCs w:val="24"/>
              </w:rPr>
              <w:t xml:space="preserve">Layer 2 — CPA Escalation Check</w:t>
            </w:r>
          </w:p>
          <w:p>
            <w:pPr>
              <w:spacing w:before="20"/>
              <w:jc w:val="center"/>
            </w:pPr>
            <w:r>
              <w:rPr>
                <w:rFonts w:ascii="Arial" w:cs="Arial" w:eastAsia="Arial" w:hAnsi="Arial"/>
                <w:color w:val="B45309"/>
                <w:sz w:val="18"/>
                <w:szCs w:val="18"/>
              </w:rPr>
              <w:t xml:space="preserve">24 keywords (fbar, crypto, state tax...) — immediate CPA referral, no LLM call</w:t>
            </w:r>
          </w:p>
        </w:tc>
      </w:tr>
      <w:tr>
        <w:tc>
          <w:tcPr>
            <w:tcW w:type="dxa" w:w="9360"/>
            <w:tcBorders>
              <w:top w:val="none" w:color="FFFFFF" w:sz="0"/>
              <w:left w:val="none" w:color="FFFFFF" w:sz="0"/>
              <w:bottom w:val="none" w:color="FFFFFF" w:sz="0"/>
              <w:right w:val="none" w:color="FFFFFF" w:sz="0"/>
            </w:tcBorders>
            <w:tcMar>
              <w:top w:type="dxa" w:w="20"/>
              <w:bottom w:type="dxa" w:w="20"/>
            </w:tcMar>
          </w:tcPr>
          <w:p>
            <w:pPr>
              <w:jc w:val="center"/>
            </w:pPr>
            <w:r>
              <w:rPr>
                <w:rFonts w:ascii="Arial" w:cs="Arial" w:eastAsia="Arial" w:hAnsi="Arial"/>
                <w:b/>
                <w:bCs/>
                <w:color w:val="1A56DB"/>
                <w:sz w:val="28"/>
                <w:szCs w:val="28"/>
              </w:rPr>
              <w:t xml:space="preserve">↓</w:t>
            </w:r>
          </w:p>
        </w:tc>
      </w:tr>
      <w:tr>
        <w:tc>
          <w:tcPr>
            <w:tcW w:type="dxa" w:w="9360"/>
            <w:tcBorders>
              <w:top w:val="single" w:color="CBD5E1" w:sz="4"/>
              <w:left w:val="single" w:color="CBD5E1" w:sz="4"/>
              <w:bottom w:val="single" w:color="CBD5E1" w:sz="4"/>
              <w:right w:val="single" w:color="CBD5E1" w:sz="4"/>
            </w:tcBorders>
            <w:shd w:fill="EFF6FF" w:val="clear"/>
            <w:tcMar>
              <w:top w:type="dxa" w:w="100"/>
              <w:left w:type="dxa" w:w="200"/>
              <w:bottom w:type="dxa" w:w="100"/>
              <w:right w:type="dxa" w:w="200"/>
            </w:tcMar>
          </w:tcPr>
          <w:p>
            <w:pPr>
              <w:jc w:val="center"/>
            </w:pPr>
            <w:r>
              <w:rPr>
                <w:rFonts w:ascii="Arial" w:cs="Arial" w:eastAsia="Arial" w:hAnsi="Arial"/>
                <w:b/>
                <w:bCs/>
                <w:color w:val="0C447C"/>
                <w:sz w:val="24"/>
                <w:szCs w:val="24"/>
              </w:rPr>
              <w:t xml:space="preserve">Layer 3 — Metadata Filter</w:t>
            </w:r>
          </w:p>
          <w:p>
            <w:pPr>
              <w:spacing w:before="20"/>
              <w:jc w:val="center"/>
            </w:pPr>
            <w:r>
              <w:rPr>
                <w:rFonts w:ascii="Arial" w:cs="Arial" w:eastAsia="Arial" w:hAnsi="Arial"/>
                <w:color w:val="0C447C"/>
                <w:sz w:val="18"/>
                <w:szCs w:val="18"/>
              </w:rPr>
              <w:t xml:space="preserve">Country + visa type narrow candidates from 3,726 chunks</w:t>
            </w:r>
          </w:p>
        </w:tc>
      </w:tr>
      <w:tr>
        <w:tc>
          <w:tcPr>
            <w:tcW w:type="dxa" w:w="9360"/>
            <w:tcBorders>
              <w:top w:val="none" w:color="FFFFFF" w:sz="0"/>
              <w:left w:val="none" w:color="FFFFFF" w:sz="0"/>
              <w:bottom w:val="none" w:color="FFFFFF" w:sz="0"/>
              <w:right w:val="none" w:color="FFFFFF" w:sz="0"/>
            </w:tcBorders>
            <w:tcMar>
              <w:top w:type="dxa" w:w="20"/>
              <w:bottom w:type="dxa" w:w="20"/>
            </w:tcMar>
          </w:tcPr>
          <w:p>
            <w:pPr>
              <w:jc w:val="center"/>
            </w:pPr>
            <w:r>
              <w:rPr>
                <w:rFonts w:ascii="Arial" w:cs="Arial" w:eastAsia="Arial" w:hAnsi="Arial"/>
                <w:b/>
                <w:bCs/>
                <w:color w:val="1A56DB"/>
                <w:sz w:val="28"/>
                <w:szCs w:val="28"/>
              </w:rPr>
              <w:t xml:space="preserve">↓</w:t>
            </w:r>
          </w:p>
        </w:tc>
      </w:tr>
      <w:tr>
        <w:tc>
          <w:tcPr>
            <w:tcW w:type="dxa" w:w="9360"/>
            <w:tcBorders>
              <w:top w:val="single" w:color="CBD5E1" w:sz="4"/>
              <w:left w:val="single" w:color="CBD5E1" w:sz="4"/>
              <w:bottom w:val="single" w:color="CBD5E1" w:sz="4"/>
              <w:right w:val="single" w:color="CBD5E1" w:sz="4"/>
            </w:tcBorders>
            <w:shd w:fill="EFF6FF" w:val="clear"/>
            <w:tcMar>
              <w:top w:type="dxa" w:w="100"/>
              <w:left w:type="dxa" w:w="200"/>
              <w:bottom w:type="dxa" w:w="100"/>
              <w:right w:type="dxa" w:w="200"/>
            </w:tcMar>
          </w:tcPr>
          <w:p>
            <w:pPr>
              <w:jc w:val="center"/>
            </w:pPr>
            <w:r>
              <w:rPr>
                <w:rFonts w:ascii="Arial" w:cs="Arial" w:eastAsia="Arial" w:hAnsi="Arial"/>
                <w:b/>
                <w:bCs/>
                <w:color w:val="0C447C"/>
                <w:sz w:val="24"/>
                <w:szCs w:val="24"/>
              </w:rPr>
              <w:t xml:space="preserve">Layer 4 — FAISS Semantic Search</w:t>
            </w:r>
          </w:p>
          <w:p>
            <w:pPr>
              <w:spacing w:before="20"/>
              <w:jc w:val="center"/>
            </w:pPr>
            <w:r>
              <w:rPr>
                <w:rFonts w:ascii="Arial" w:cs="Arial" w:eastAsia="Arial" w:hAnsi="Arial"/>
                <w:color w:val="0C447C"/>
                <w:sz w:val="18"/>
                <w:szCs w:val="18"/>
              </w:rPr>
              <w:t xml:space="preserve">3,726 vectors · 384-dim · all-MiniLM-L6-v2 · fetch top 15</w:t>
            </w:r>
          </w:p>
        </w:tc>
      </w:tr>
      <w:tr>
        <w:tc>
          <w:tcPr>
            <w:tcW w:type="dxa" w:w="9360"/>
            <w:tcBorders>
              <w:top w:val="none" w:color="FFFFFF" w:sz="0"/>
              <w:left w:val="none" w:color="FFFFFF" w:sz="0"/>
              <w:bottom w:val="none" w:color="FFFFFF" w:sz="0"/>
              <w:right w:val="none" w:color="FFFFFF" w:sz="0"/>
            </w:tcBorders>
            <w:tcMar>
              <w:top w:type="dxa" w:w="20"/>
              <w:bottom w:type="dxa" w:w="20"/>
            </w:tcMar>
          </w:tcPr>
          <w:p>
            <w:pPr>
              <w:jc w:val="center"/>
            </w:pPr>
            <w:r>
              <w:rPr>
                <w:rFonts w:ascii="Arial" w:cs="Arial" w:eastAsia="Arial" w:hAnsi="Arial"/>
                <w:b/>
                <w:bCs/>
                <w:color w:val="1A56DB"/>
                <w:sz w:val="28"/>
                <w:szCs w:val="28"/>
              </w:rPr>
              <w:t xml:space="preserve">↓</w:t>
            </w:r>
          </w:p>
        </w:tc>
      </w:tr>
      <w:tr>
        <w:tc>
          <w:tcPr>
            <w:tcW w:type="dxa" w:w="9360"/>
            <w:tcBorders>
              <w:top w:val="single" w:color="CBD5E1" w:sz="4"/>
              <w:left w:val="single" w:color="CBD5E1" w:sz="4"/>
              <w:bottom w:val="single" w:color="CBD5E1" w:sz="4"/>
              <w:right w:val="single" w:color="CBD5E1" w:sz="4"/>
            </w:tcBorders>
            <w:shd w:fill="E1F5EE" w:val="clear"/>
            <w:tcMar>
              <w:top w:type="dxa" w:w="100"/>
              <w:left w:type="dxa" w:w="200"/>
              <w:bottom w:type="dxa" w:w="100"/>
              <w:right w:type="dxa" w:w="200"/>
            </w:tcMar>
          </w:tcPr>
          <w:p>
            <w:pPr>
              <w:jc w:val="center"/>
            </w:pPr>
            <w:r>
              <w:rPr>
                <w:rFonts w:ascii="Arial" w:cs="Arial" w:eastAsia="Arial" w:hAnsi="Arial"/>
                <w:b/>
                <w:bCs/>
                <w:color w:val="065F46"/>
                <w:sz w:val="24"/>
                <w:szCs w:val="24"/>
              </w:rPr>
              <w:t xml:space="preserve">Layer 5 — Smart Re-Ranking</w:t>
            </w:r>
          </w:p>
          <w:p>
            <w:pPr>
              <w:spacing w:before="20"/>
              <w:jc w:val="center"/>
            </w:pPr>
            <w:r>
              <w:rPr>
                <w:rFonts w:ascii="Arial" w:cs="Arial" w:eastAsia="Arial" w:hAnsi="Arial"/>
                <w:color w:val="065F46"/>
                <w:sz w:val="18"/>
                <w:szCs w:val="18"/>
              </w:rPr>
              <w:t xml:space="preserve">9 signal categories · source-specific boosts 1.1x–1.6x</w:t>
            </w:r>
          </w:p>
        </w:tc>
      </w:tr>
      <w:tr>
        <w:tc>
          <w:tcPr>
            <w:tcW w:type="dxa" w:w="9360"/>
            <w:tcBorders>
              <w:top w:val="none" w:color="FFFFFF" w:sz="0"/>
              <w:left w:val="none" w:color="FFFFFF" w:sz="0"/>
              <w:bottom w:val="none" w:color="FFFFFF" w:sz="0"/>
              <w:right w:val="none" w:color="FFFFFF" w:sz="0"/>
            </w:tcBorders>
            <w:tcMar>
              <w:top w:type="dxa" w:w="20"/>
              <w:bottom w:type="dxa" w:w="20"/>
            </w:tcMar>
          </w:tcPr>
          <w:p>
            <w:pPr>
              <w:jc w:val="center"/>
            </w:pPr>
            <w:r>
              <w:rPr>
                <w:rFonts w:ascii="Arial" w:cs="Arial" w:eastAsia="Arial" w:hAnsi="Arial"/>
                <w:b/>
                <w:bCs/>
                <w:color w:val="1A56DB"/>
                <w:sz w:val="28"/>
                <w:szCs w:val="28"/>
              </w:rPr>
              <w:t xml:space="preserve">↓</w:t>
            </w:r>
          </w:p>
        </w:tc>
      </w:tr>
      <w:tr>
        <w:tc>
          <w:tcPr>
            <w:tcW w:type="dxa" w:w="9360"/>
            <w:tcBorders>
              <w:top w:val="single" w:color="CBD5E1" w:sz="4"/>
              <w:left w:val="single" w:color="CBD5E1" w:sz="4"/>
              <w:bottom w:val="single" w:color="CBD5E1" w:sz="4"/>
              <w:right w:val="single" w:color="CBD5E1" w:sz="4"/>
            </w:tcBorders>
            <w:shd w:fill="F3F0FF" w:val="clear"/>
            <w:tcMar>
              <w:top w:type="dxa" w:w="100"/>
              <w:left w:type="dxa" w:w="200"/>
              <w:bottom w:type="dxa" w:w="100"/>
              <w:right w:type="dxa" w:w="200"/>
            </w:tcMar>
          </w:tcPr>
          <w:p>
            <w:pPr>
              <w:jc w:val="center"/>
            </w:pPr>
            <w:r>
              <w:rPr>
                <w:rFonts w:ascii="Arial" w:cs="Arial" w:eastAsia="Arial" w:hAnsi="Arial"/>
                <w:b/>
                <w:bCs/>
                <w:color w:val="3C3489"/>
                <w:sz w:val="24"/>
                <w:szCs w:val="24"/>
              </w:rPr>
              <w:t xml:space="preserve">Layer 6 — Prompt Engineering</w:t>
            </w:r>
          </w:p>
          <w:p>
            <w:pPr>
              <w:spacing w:before="20"/>
              <w:jc w:val="center"/>
            </w:pPr>
            <w:r>
              <w:rPr>
                <w:rFonts w:ascii="Arial" w:cs="Arial" w:eastAsia="Arial" w:hAnsi="Arial"/>
                <w:color w:val="3C3489"/>
                <w:sz w:val="18"/>
                <w:szCs w:val="18"/>
              </w:rPr>
              <w:t xml:space="preserve">Profile + top-5 IRS chunks + citation-mandatory system prompt</w:t>
            </w:r>
          </w:p>
        </w:tc>
      </w:tr>
      <w:tr>
        <w:tc>
          <w:tcPr>
            <w:tcW w:type="dxa" w:w="9360"/>
            <w:tcBorders>
              <w:top w:val="none" w:color="FFFFFF" w:sz="0"/>
              <w:left w:val="none" w:color="FFFFFF" w:sz="0"/>
              <w:bottom w:val="none" w:color="FFFFFF" w:sz="0"/>
              <w:right w:val="none" w:color="FFFFFF" w:sz="0"/>
            </w:tcBorders>
            <w:tcMar>
              <w:top w:type="dxa" w:w="20"/>
              <w:bottom w:type="dxa" w:w="20"/>
            </w:tcMar>
          </w:tcPr>
          <w:p>
            <w:pPr>
              <w:jc w:val="center"/>
            </w:pPr>
            <w:r>
              <w:rPr>
                <w:rFonts w:ascii="Arial" w:cs="Arial" w:eastAsia="Arial" w:hAnsi="Arial"/>
                <w:b/>
                <w:bCs/>
                <w:color w:val="1A56DB"/>
                <w:sz w:val="28"/>
                <w:szCs w:val="28"/>
              </w:rPr>
              <w:t xml:space="preserve">↓</w:t>
            </w:r>
          </w:p>
        </w:tc>
      </w:tr>
      <w:tr>
        <w:tc>
          <w:tcPr>
            <w:tcW w:type="dxa" w:w="9360"/>
            <w:tcBorders>
              <w:top w:val="single" w:color="CBD5E1" w:sz="4"/>
              <w:left w:val="single" w:color="CBD5E1" w:sz="4"/>
              <w:bottom w:val="single" w:color="CBD5E1" w:sz="4"/>
              <w:right w:val="single" w:color="CBD5E1" w:sz="4"/>
            </w:tcBorders>
            <w:shd w:fill="F1F5F9" w:val="clear"/>
            <w:tcMar>
              <w:top w:type="dxa" w:w="100"/>
              <w:left w:type="dxa" w:w="200"/>
              <w:bottom w:type="dxa" w:w="100"/>
              <w:right w:type="dxa" w:w="200"/>
            </w:tcMar>
          </w:tcPr>
          <w:p>
            <w:pPr>
              <w:jc w:val="center"/>
            </w:pPr>
            <w:r>
              <w:rPr>
                <w:rFonts w:ascii="Arial" w:cs="Arial" w:eastAsia="Arial" w:hAnsi="Arial"/>
                <w:b/>
                <w:bCs/>
                <w:color w:val="0F2044"/>
                <w:sz w:val="24"/>
                <w:szCs w:val="24"/>
              </w:rPr>
              <w:t xml:space="preserve">Layer 7 — Groq LLaMA 3.1 8B Instant</w:t>
            </w:r>
          </w:p>
          <w:p>
            <w:pPr>
              <w:spacing w:before="20"/>
              <w:jc w:val="center"/>
            </w:pPr>
            <w:r>
              <w:rPr>
                <w:rFonts w:ascii="Arial" w:cs="Arial" w:eastAsia="Arial" w:hAnsi="Arial"/>
                <w:color w:val="0F2044"/>
                <w:sz w:val="18"/>
                <w:szCs w:val="18"/>
              </w:rPr>
              <w:t xml:space="preserve">temperature=0.0 · max_tokens=1,024 · session history (last 3 turns)</w:t>
            </w:r>
          </w:p>
        </w:tc>
      </w:tr>
      <w:tr>
        <w:tc>
          <w:tcPr>
            <w:tcW w:type="dxa" w:w="9360"/>
            <w:tcBorders>
              <w:top w:val="none" w:color="FFFFFF" w:sz="0"/>
              <w:left w:val="none" w:color="FFFFFF" w:sz="0"/>
              <w:bottom w:val="none" w:color="FFFFFF" w:sz="0"/>
              <w:right w:val="none" w:color="FFFFFF" w:sz="0"/>
            </w:tcBorders>
            <w:tcMar>
              <w:top w:type="dxa" w:w="20"/>
              <w:bottom w:type="dxa" w:w="20"/>
            </w:tcMar>
          </w:tcPr>
          <w:p>
            <w:pPr>
              <w:jc w:val="center"/>
            </w:pPr>
            <w:r>
              <w:rPr>
                <w:rFonts w:ascii="Arial" w:cs="Arial" w:eastAsia="Arial" w:hAnsi="Arial"/>
                <w:b/>
                <w:bCs/>
                <w:color w:val="1A56DB"/>
                <w:sz w:val="28"/>
                <w:szCs w:val="28"/>
              </w:rPr>
              <w:t xml:space="preserve">↓</w:t>
            </w:r>
          </w:p>
        </w:tc>
      </w:tr>
      <w:tr>
        <w:tc>
          <w:tcPr>
            <w:tcW w:type="dxa" w:w="9360"/>
            <w:tcBorders>
              <w:top w:val="single" w:color="CBD5E1" w:sz="4"/>
              <w:left w:val="single" w:color="CBD5E1" w:sz="4"/>
              <w:bottom w:val="single" w:color="CBD5E1" w:sz="4"/>
              <w:right w:val="single" w:color="CBD5E1" w:sz="4"/>
            </w:tcBorders>
            <w:shd w:fill="ECFDF5" w:val="clear"/>
            <w:tcMar>
              <w:top w:type="dxa" w:w="100"/>
              <w:left w:type="dxa" w:w="200"/>
              <w:bottom w:type="dxa" w:w="100"/>
              <w:right w:type="dxa" w:w="200"/>
            </w:tcMar>
          </w:tcPr>
          <w:p>
            <w:pPr>
              <w:jc w:val="center"/>
            </w:pPr>
            <w:r>
              <w:rPr>
                <w:rFonts w:ascii="Arial" w:cs="Arial" w:eastAsia="Arial" w:hAnsi="Arial"/>
                <w:b/>
                <w:bCs/>
                <w:color w:val="065F46"/>
                <w:sz w:val="24"/>
                <w:szCs w:val="24"/>
              </w:rPr>
              <w:t xml:space="preserve">Cited Answer + IRS Sources</w:t>
            </w:r>
          </w:p>
          <w:p>
            <w:pPr>
              <w:spacing w:before="20"/>
              <w:jc w:val="center"/>
            </w:pPr>
            <w:r>
              <w:rPr>
                <w:rFonts w:ascii="Arial" w:cs="Arial" w:eastAsia="Arial" w:hAnsi="Arial"/>
                <w:color w:val="065F46"/>
                <w:sz w:val="18"/>
                <w:szCs w:val="18"/>
              </w:rPr>
              <w:t xml:space="preserve">Direct answer → Explanation with citations → Action steps</w:t>
            </w:r>
          </w:p>
        </w:tc>
      </w:tr>
    </w:tbl>
    <w:p>
      <w:pPr>
        <w:spacing w:after="120" w:before="40"/>
        <w:jc w:val="center"/>
      </w:pPr>
      <w:r>
        <w:rPr>
          <w:rFonts w:ascii="Arial" w:cs="Arial" w:eastAsia="Arial" w:hAnsi="Arial"/>
          <w:i/>
          <w:iCs/>
          <w:color w:val="64748B"/>
          <w:sz w:val="18"/>
          <w:szCs w:val="18"/>
        </w:rPr>
        <w:t xml:space="preserve">Figure 1: Complete seven-layer pipeline architecture. Each layer is independently testable and replaceable.</w:t>
      </w:r>
    </w:p>
    <w:p>
      <w:pPr>
        <w:spacing w:after="80" w:before="0"/>
      </w:pPr>
      <w:r>
        <w:t xml:space="preserve"/>
      </w:r>
    </w:p>
    <w:p>
      <w:pPr>
        <w:pStyle w:val="Heading2"/>
        <w:spacing w:after="120" w:before="240"/>
      </w:pPr>
      <w:r>
        <w:rPr>
          <w:rFonts w:ascii="Arial" w:cs="Arial" w:eastAsia="Arial" w:hAnsi="Arial"/>
          <w:b/>
          <w:bCs/>
          <w:color w:val="1A56DB"/>
          <w:sz w:val="28"/>
          <w:szCs w:val="28"/>
        </w:rPr>
        <w:t xml:space="preserve">3.2 Knowledge Base Construction</w:t>
      </w:r>
    </w:p>
    <w:p>
      <w:pPr>
        <w:pStyle w:val="Heading3"/>
        <w:spacing w:after="80" w:before="180"/>
      </w:pPr>
      <w:r>
        <w:rPr>
          <w:rFonts w:ascii="Arial" w:cs="Arial" w:eastAsia="Arial" w:hAnsi="Arial"/>
          <w:b/>
          <w:bCs/>
          <w:color w:val="0F2044"/>
          <w:sz w:val="24"/>
          <w:szCs w:val="24"/>
        </w:rPr>
        <w:t xml:space="preserve">3.2.1 Document Selection</w:t>
      </w:r>
    </w:p>
    <w:p>
      <w:pPr>
        <w:spacing w:after="80" w:before="60"/>
        <w:jc w:val="both"/>
      </w:pPr>
      <w:r>
        <w:rPr>
          <w:rFonts w:ascii="Arial" w:cs="Arial" w:eastAsia="Arial" w:hAnsi="Arial"/>
          <w:color w:val="1E293B"/>
          <w:sz w:val="22"/>
          <w:szCs w:val="22"/>
        </w:rPr>
        <w:t xml:space="preserve">The knowledge base was constructed from two source types selected to address complementary aspects of the vocabulary mismatch problem. IRS PDFs provide comprehensive, authoritative legal text, while IRS.gov HTML pages provide conversational summaries that use language closer to how users ask questions.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000"/>
        <w:gridCol w:w="900"/>
        <w:gridCol w:w="3860"/>
      </w:tblGrid>
      <w:tr>
        <w:trPr>
          <w:tblHeader/>
        </w:trPr>
        <w:tc>
          <w:tcPr>
            <w:tcW w:type="dxa" w:w="3600"/>
            <w:tcBorders>
              <w:top w:val="single" w:color="CBD5E1" w:sz="4"/>
              <w:left w:val="single" w:color="CBD5E1" w:sz="4"/>
              <w:bottom w:val="single" w:color="CBD5E1" w:sz="4"/>
              <w:right w:val="single" w:color="CBD5E1"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Source Type</w:t>
            </w:r>
          </w:p>
        </w:tc>
        <w:tc>
          <w:tcPr>
            <w:tcW w:type="dxa" w:w="1000"/>
            <w:tcBorders>
              <w:top w:val="single" w:color="CBD5E1" w:sz="4"/>
              <w:left w:val="single" w:color="CBD5E1" w:sz="4"/>
              <w:bottom w:val="single" w:color="CBD5E1" w:sz="4"/>
              <w:right w:val="single" w:color="CBD5E1"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900"/>
            <w:tcBorders>
              <w:top w:val="single" w:color="CBD5E1" w:sz="4"/>
              <w:left w:val="single" w:color="CBD5E1" w:sz="4"/>
              <w:bottom w:val="single" w:color="CBD5E1" w:sz="4"/>
              <w:right w:val="single" w:color="CBD5E1"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Chunks</w:t>
            </w:r>
          </w:p>
        </w:tc>
        <w:tc>
          <w:tcPr>
            <w:tcW w:type="dxa" w:w="3860"/>
            <w:tcBorders>
              <w:top w:val="single" w:color="CBD5E1" w:sz="4"/>
              <w:left w:val="single" w:color="CBD5E1" w:sz="4"/>
              <w:bottom w:val="single" w:color="CBD5E1" w:sz="4"/>
              <w:right w:val="single" w:color="CBD5E1"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IRS Core Publications (519, 901, 515, 970, 525, 54, 596)</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7 PDFs</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2,123</w:t>
            </w:r>
          </w:p>
        </w:tc>
        <w:tc>
          <w:tcPr>
            <w:tcW w:type="dxa" w:w="3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Comprehensive coverage of NRA tax rules</w:t>
            </w:r>
          </w:p>
        </w:tc>
      </w:tr>
      <w:tr>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IRS Forms &amp; Instructions (1040-NR, 1042-S, 8843, W-8BEN, etc.)</w:t>
            </w:r>
          </w:p>
        </w:tc>
        <w:tc>
          <w:tcPr>
            <w:tcW w:type="dxa" w:w="1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8 PDFs</w:t>
            </w:r>
          </w:p>
        </w:tc>
        <w:tc>
          <w:tcPr>
            <w:tcW w:type="dxa" w:w="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553</w:t>
            </w:r>
          </w:p>
        </w:tc>
        <w:tc>
          <w:tcPr>
            <w:tcW w:type="dxa" w:w="38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Form-specific guidance and requirements</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Tax Treaties (India, China, Korea, Germany, Mexico, Canada, Japan)</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7 PDFs</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885</w:t>
            </w:r>
          </w:p>
        </w:tc>
        <w:tc>
          <w:tcPr>
            <w:tcW w:type="dxa" w:w="3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Country-specific treaty benefits</w:t>
            </w:r>
          </w:p>
        </w:tc>
      </w:tr>
      <w:tr>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Supplementary Forms (1042-S blank, 4868, 8233, 8840)</w:t>
            </w:r>
          </w:p>
        </w:tc>
        <w:tc>
          <w:tcPr>
            <w:tcW w:type="dxa" w:w="1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4 PDFs</w:t>
            </w:r>
          </w:p>
        </w:tc>
        <w:tc>
          <w:tcPr>
            <w:tcW w:type="dxa" w:w="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80</w:t>
            </w:r>
          </w:p>
        </w:tc>
        <w:tc>
          <w:tcPr>
            <w:tcW w:type="dxa" w:w="38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Filing extensions and exceptions</w:t>
            </w:r>
          </w:p>
        </w:tc>
      </w:tr>
      <w:tr>
        <w:tc>
          <w:tcPr>
            <w:tcW w:type="dxa" w:w="3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IRS HTML Web Pages (SPT, NRA taxation, treaties, NRA tax calc)</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4 pages</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27</w:t>
            </w:r>
          </w:p>
        </w:tc>
        <w:tc>
          <w:tcPr>
            <w:tcW w:type="dxa" w:w="38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Conversational language for query matching</w:t>
            </w:r>
          </w:p>
        </w:tc>
      </w:tr>
      <w:tr>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TOTAL</w:t>
            </w:r>
          </w:p>
        </w:tc>
        <w:tc>
          <w:tcPr>
            <w:tcW w:type="dxa" w:w="1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30 sources</w:t>
            </w:r>
          </w:p>
        </w:tc>
        <w:tc>
          <w:tcPr>
            <w:tcW w:type="dxa" w:w="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3,726</w:t>
            </w:r>
          </w:p>
        </w:tc>
        <w:tc>
          <w:tcPr>
            <w:tcW w:type="dxa" w:w="38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
            </w:r>
          </w:p>
        </w:tc>
      </w:tr>
    </w:tbl>
    <w:p>
      <w:pPr>
        <w:spacing w:after="80" w:before="0"/>
      </w:pPr>
      <w:r>
        <w:t xml:space="preserve"/>
      </w:r>
    </w:p>
    <w:p>
      <w:pPr>
        <w:pStyle w:val="Heading3"/>
        <w:spacing w:after="80" w:before="180"/>
      </w:pPr>
      <w:r>
        <w:rPr>
          <w:rFonts w:ascii="Arial" w:cs="Arial" w:eastAsia="Arial" w:hAnsi="Arial"/>
          <w:b/>
          <w:bCs/>
          <w:color w:val="0F2044"/>
          <w:sz w:val="24"/>
          <w:szCs w:val="24"/>
        </w:rPr>
        <w:t xml:space="preserve">3.2.2 Chunking Strategy</w:t>
      </w:r>
    </w:p>
    <w:p>
      <w:pPr>
        <w:spacing w:after="80" w:before="60"/>
        <w:jc w:val="both"/>
      </w:pPr>
      <w:r>
        <w:rPr>
          <w:rFonts w:ascii="Arial" w:cs="Arial" w:eastAsia="Arial" w:hAnsi="Arial"/>
          <w:color w:val="1E293B"/>
          <w:sz w:val="22"/>
          <w:szCs w:val="22"/>
        </w:rPr>
        <w:t xml:space="preserve">Documents are segmented using IRS section header detection — a regex pattern matching 24 header formats including Chapter, Article, Section, Form numbers, and named topic headings. Chunks are bounded between 200 and 2,000 characters. Sections exceeding 2,000 characters are split on sentence boundaries with a 2-sentence overlap window to preserve context continuity across chunk boundaries.</w:t>
      </w:r>
    </w:p>
    <w:p>
      <w:pPr>
        <w:spacing w:after="80" w:before="0"/>
      </w:pPr>
      <w:r>
        <w:t xml:space="preserve"/>
      </w:r>
    </w:p>
    <w:p>
      <w:pPr>
        <w:pStyle w:val="Heading3"/>
        <w:spacing w:after="80" w:before="180"/>
      </w:pPr>
      <w:r>
        <w:rPr>
          <w:rFonts w:ascii="Arial" w:cs="Arial" w:eastAsia="Arial" w:hAnsi="Arial"/>
          <w:b/>
          <w:bCs/>
          <w:color w:val="0F2044"/>
          <w:sz w:val="24"/>
          <w:szCs w:val="24"/>
        </w:rPr>
        <w:t xml:space="preserve">3.2.3 Topic Enrichment</w:t>
      </w:r>
    </w:p>
    <w:p>
      <w:pPr>
        <w:spacing w:after="80" w:before="60"/>
        <w:jc w:val="both"/>
      </w:pPr>
      <w:r>
        <w:rPr>
          <w:rFonts w:ascii="Arial" w:cs="Arial" w:eastAsia="Arial" w:hAnsi="Arial"/>
          <w:color w:val="1E293B"/>
          <w:sz w:val="22"/>
          <w:szCs w:val="22"/>
        </w:rPr>
        <w:t xml:space="preserve">A vocabulary gap exists between how users ask tax questions (colloquial) and how IRS publications answer them (formal legal language). To bridge this gap, each chunk is prepended with a topic-specific keyword string before embedding. For example, chunks tagged with the fica_exemption topic receive the prefix: "FICA social security medicare tax exempt nonresident alien student". Seventeen topic categories are applied, covering the major tax concepts relevant to nonresident aliens.</w:t>
      </w:r>
    </w:p>
    <w:p>
      <w:pPr>
        <w:spacing w:after="80" w:before="0"/>
      </w:pPr>
      <w:r>
        <w:t xml:space="preserve"/>
      </w:r>
    </w:p>
    <w:p>
      <w:pPr>
        <w:pStyle w:val="Heading2"/>
        <w:spacing w:after="120" w:before="240"/>
      </w:pPr>
      <w:r>
        <w:rPr>
          <w:rFonts w:ascii="Arial" w:cs="Arial" w:eastAsia="Arial" w:hAnsi="Arial"/>
          <w:b/>
          <w:bCs/>
          <w:color w:val="1A56DB"/>
          <w:sz w:val="28"/>
          <w:szCs w:val="28"/>
        </w:rPr>
        <w:t xml:space="preserve">3.3 Retrieval Engine</w:t>
      </w:r>
    </w:p>
    <w:p>
      <w:pPr>
        <w:pStyle w:val="Heading3"/>
        <w:spacing w:after="80" w:before="180"/>
      </w:pPr>
      <w:r>
        <w:rPr>
          <w:rFonts w:ascii="Arial" w:cs="Arial" w:eastAsia="Arial" w:hAnsi="Arial"/>
          <w:b/>
          <w:bCs/>
          <w:color w:val="0F2044"/>
          <w:sz w:val="24"/>
          <w:szCs w:val="24"/>
        </w:rPr>
        <w:t xml:space="preserve">3.3.1 Embedding and Indexing</w:t>
      </w:r>
    </w:p>
    <w:p>
      <w:pPr>
        <w:spacing w:after="80" w:before="60"/>
        <w:jc w:val="both"/>
      </w:pPr>
      <w:r>
        <w:rPr>
          <w:rFonts w:ascii="Arial" w:cs="Arial" w:eastAsia="Arial" w:hAnsi="Arial"/>
          <w:color w:val="1E293B"/>
          <w:sz w:val="22"/>
          <w:szCs w:val="22"/>
        </w:rPr>
        <w:t xml:space="preserve">All chunks are embedded using all-MiniLM-L6-v2 (384 dimensions), a sentence transformer model optimized for semantic similarity. Embeddings are normalized before indexing. The FAISS IndexFlatIP implementation performs exact inner product search, which is equivalent to cosine similarity for normalized vectors. The index contains 3,726 vectors and requires approximately 5.46 MB of storage.</w:t>
      </w:r>
    </w:p>
    <w:p>
      <w:pPr>
        <w:spacing w:after="80" w:before="0"/>
      </w:pPr>
      <w:r>
        <w:t xml:space="preserve"/>
      </w:r>
    </w:p>
    <w:p>
      <w:pPr>
        <w:pStyle w:val="Heading3"/>
        <w:spacing w:after="80" w:before="180"/>
      </w:pPr>
      <w:r>
        <w:rPr>
          <w:rFonts w:ascii="Arial" w:cs="Arial" w:eastAsia="Arial" w:hAnsi="Arial"/>
          <w:b/>
          <w:bCs/>
          <w:color w:val="0F2044"/>
          <w:sz w:val="24"/>
          <w:szCs w:val="24"/>
        </w:rPr>
        <w:t xml:space="preserve">3.3.2 Metadata Filtering</w:t>
      </w:r>
    </w:p>
    <w:p>
      <w:pPr>
        <w:spacing w:after="80" w:before="60"/>
        <w:jc w:val="both"/>
      </w:pPr>
      <w:r>
        <w:rPr>
          <w:rFonts w:ascii="Arial" w:cs="Arial" w:eastAsia="Arial" w:hAnsi="Arial"/>
          <w:color w:val="1E293B"/>
          <w:sz w:val="22"/>
          <w:szCs w:val="22"/>
        </w:rPr>
        <w:t xml:space="preserve">Before FAISS search, a metadata pre-filter narrows the candidate pool using the user's country and visa type. Each chunk carries metadata tags for countries (e.g., [india, all]) and visa types (e.g., [F-1, OPT, H-1B, J-1]). An Indian F-1 student searches only chunks tagged for India or all countries — reducing the search space from 3,726 to approximately 1,200 chunks on average.</w:t>
      </w:r>
    </w:p>
    <w:p>
      <w:pPr>
        <w:spacing w:after="80" w:before="0"/>
      </w:pPr>
      <w:r>
        <w:t xml:space="preserve"/>
      </w:r>
    </w:p>
    <w:p>
      <w:pPr>
        <w:pStyle w:val="Heading3"/>
        <w:spacing w:after="80" w:before="180"/>
      </w:pPr>
      <w:r>
        <w:rPr>
          <w:rFonts w:ascii="Arial" w:cs="Arial" w:eastAsia="Arial" w:hAnsi="Arial"/>
          <w:b/>
          <w:bCs/>
          <w:color w:val="0F2044"/>
          <w:sz w:val="24"/>
          <w:szCs w:val="24"/>
        </w:rPr>
        <w:t xml:space="preserve">3.3.3 Smart Re-Ranking</w:t>
      </w:r>
    </w:p>
    <w:p>
      <w:pPr>
        <w:spacing w:after="80" w:before="60"/>
        <w:jc w:val="both"/>
      </w:pPr>
      <w:r>
        <w:rPr>
          <w:rFonts w:ascii="Arial" w:cs="Arial" w:eastAsia="Arial" w:hAnsi="Arial"/>
          <w:color w:val="1E293B"/>
          <w:sz w:val="22"/>
          <w:szCs w:val="22"/>
        </w:rPr>
        <w:t xml:space="preserve">After initial FAISS retrieval of the top 15 candidates, a re-ranking layer applies signal-based score multipliers. Nine signal categories detect query intent and boost relevant source documents:</w:t>
      </w:r>
    </w:p>
    <w:p>
      <w:pPr>
        <w:spacing w:after="80" w:before="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00"/>
        <w:gridCol w:w="1060"/>
      </w:tblGrid>
      <w:tr>
        <w:trPr>
          <w:tblHeader/>
        </w:trPr>
        <w:tc>
          <w:tcPr>
            <w:tcW w:type="dxa" w:w="2200"/>
            <w:tcBorders>
              <w:top w:val="single" w:color="CBD5E1" w:sz="4"/>
              <w:left w:val="single" w:color="CBD5E1" w:sz="4"/>
              <w:bottom w:val="single" w:color="CBD5E1" w:sz="4"/>
              <w:right w:val="single" w:color="CBD5E1"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Signal Category</w:t>
            </w:r>
          </w:p>
        </w:tc>
        <w:tc>
          <w:tcPr>
            <w:tcW w:type="dxa" w:w="2400"/>
            <w:tcBorders>
              <w:top w:val="single" w:color="CBD5E1" w:sz="4"/>
              <w:left w:val="single" w:color="CBD5E1" w:sz="4"/>
              <w:bottom w:val="single" w:color="CBD5E1" w:sz="4"/>
              <w:right w:val="single" w:color="CBD5E1"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Trigger Keywords</w:t>
            </w:r>
          </w:p>
        </w:tc>
        <w:tc>
          <w:tcPr>
            <w:tcW w:type="dxa" w:w="2500"/>
            <w:tcBorders>
              <w:top w:val="single" w:color="CBD5E1" w:sz="4"/>
              <w:left w:val="single" w:color="CBD5E1" w:sz="4"/>
              <w:bottom w:val="single" w:color="CBD5E1" w:sz="4"/>
              <w:right w:val="single" w:color="CBD5E1"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Target Document</w:t>
            </w:r>
          </w:p>
        </w:tc>
        <w:tc>
          <w:tcPr>
            <w:tcW w:type="dxa" w:w="1060"/>
            <w:tcBorders>
              <w:top w:val="single" w:color="CBD5E1" w:sz="4"/>
              <w:left w:val="single" w:color="CBD5E1" w:sz="4"/>
              <w:bottom w:val="single" w:color="CBD5E1" w:sz="4"/>
              <w:right w:val="single" w:color="CBD5E1"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Boost</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Treaty query</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treaty, article, exemption, convention</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Country-specific treaty</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1.4x</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Form 1040-NR</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need to file, nonresident return, 1040-nr</w:t>
            </w:r>
          </w:p>
        </w:tc>
        <w:tc>
          <w:tcPr>
            <w:tcW w:type="dxa" w:w="2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Form 1040-NR Instructions</w:t>
            </w:r>
          </w:p>
        </w:tc>
        <w:tc>
          <w:tcPr>
            <w:tcW w:type="dxa" w:w="10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1.35x</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Form 8843</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form 8843, exempt individual, days of presence</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Form 8843</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1.35x</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Fellowship income</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fellowship, stipend, 1042, scholarship</w:t>
            </w:r>
          </w:p>
        </w:tc>
        <w:tc>
          <w:tcPr>
            <w:tcW w:type="dxa" w:w="2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Form 1042-S Instructions</w:t>
            </w:r>
          </w:p>
        </w:tc>
        <w:tc>
          <w:tcPr>
            <w:tcW w:type="dxa" w:w="10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1.6x</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W-8BEN</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w-8ben, certificate of foreign status</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Form W-8BEN Instructions</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1.5x</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Filing extension</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extension, form 4868, more time</w:t>
            </w:r>
          </w:p>
        </w:tc>
        <w:tc>
          <w:tcPr>
            <w:tcW w:type="dxa" w:w="2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Form 4868</w:t>
            </w:r>
          </w:p>
        </w:tc>
        <w:tc>
          <w:tcPr>
            <w:tcW w:type="dxa" w:w="10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1.5x</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Closer connection</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closer connection, form 8840</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Form 8840</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1.5x</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Education benefits</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tuition, education credit, lifetime learning</w:t>
            </w:r>
          </w:p>
        </w:tc>
        <w:tc>
          <w:tcPr>
            <w:tcW w:type="dxa" w:w="2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IRS Publication 970</w:t>
            </w:r>
          </w:p>
        </w:tc>
        <w:tc>
          <w:tcPr>
            <w:tcW w:type="dxa" w:w="10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1.4x</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Withholding rates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withholding rate, chapter 3, chapter 4</w:t>
            </w:r>
          </w:p>
        </w:tc>
        <w:tc>
          <w:tcPr>
            <w:tcW w:type="dxa" w:w="2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IRS Publication 515</w:t>
            </w:r>
          </w:p>
        </w:tc>
        <w:tc>
          <w:tcPr>
            <w:tcW w:type="dxa" w:w="10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1.4x</w:t>
            </w:r>
          </w:p>
        </w:tc>
      </w:tr>
    </w:tbl>
    <w:p>
      <w:pPr>
        <w:spacing w:after="80" w:before="0"/>
      </w:pPr>
      <w:r>
        <w:t xml:space="preserve"/>
      </w:r>
    </w:p>
    <w:p>
      <w:pPr>
        <w:pStyle w:val="Heading2"/>
        <w:spacing w:after="120" w:before="240"/>
      </w:pPr>
      <w:r>
        <w:rPr>
          <w:rFonts w:ascii="Arial" w:cs="Arial" w:eastAsia="Arial" w:hAnsi="Arial"/>
          <w:b/>
          <w:bCs/>
          <w:color w:val="1A56DB"/>
          <w:sz w:val="28"/>
          <w:szCs w:val="28"/>
        </w:rPr>
        <w:t xml:space="preserve">3.4 Prompt Engineering</w:t>
      </w:r>
    </w:p>
    <w:p>
      <w:pPr>
        <w:pStyle w:val="Heading3"/>
        <w:spacing w:after="80" w:before="180"/>
      </w:pPr>
      <w:r>
        <w:rPr>
          <w:rFonts w:ascii="Arial" w:cs="Arial" w:eastAsia="Arial" w:hAnsi="Arial"/>
          <w:b/>
          <w:bCs/>
          <w:color w:val="0F2044"/>
          <w:sz w:val="24"/>
          <w:szCs w:val="24"/>
        </w:rPr>
        <w:t xml:space="preserve">3.4.1 System Prompt Design</w:t>
      </w:r>
    </w:p>
    <w:p>
      <w:pPr>
        <w:spacing w:after="80" w:before="60"/>
        <w:jc w:val="both"/>
      </w:pPr>
      <w:r>
        <w:rPr>
          <w:rFonts w:ascii="Arial" w:cs="Arial" w:eastAsia="Arial" w:hAnsi="Arial"/>
          <w:color w:val="1E293B"/>
          <w:sz w:val="22"/>
          <w:szCs w:val="22"/>
        </w:rPr>
        <w:t xml:space="preserve">The system prompt enforces six absolute rules on every LLM invocation. These rules are not suggestions — they are framed as non-negotiable constraints in the prompt:</w:t>
      </w:r>
    </w:p>
    <w:p>
      <w:pPr>
        <w:pStyle w:val="ListParagraph"/>
        <w:numPr>
          <w:ilvl w:val="0"/>
          <w:numId w:val="2"/>
        </w:numPr>
        <w:spacing w:after="40" w:before="40"/>
      </w:pPr>
      <w:r>
        <w:rPr>
          <w:rFonts w:ascii="Arial" w:cs="Arial" w:eastAsia="Arial" w:hAnsi="Arial"/>
          <w:color w:val="1E293B"/>
          <w:sz w:val="22"/>
          <w:szCs w:val="22"/>
        </w:rPr>
        <w:t xml:space="preserve">Context Only: Answer ONLY from retrieved IRS documentation. If context does not contain the answer, state so explicitly.</w:t>
      </w:r>
    </w:p>
    <w:p>
      <w:pPr>
        <w:pStyle w:val="ListParagraph"/>
        <w:numPr>
          <w:ilvl w:val="0"/>
          <w:numId w:val="2"/>
        </w:numPr>
        <w:spacing w:after="40" w:before="40"/>
      </w:pPr>
      <w:r>
        <w:rPr>
          <w:rFonts w:ascii="Arial" w:cs="Arial" w:eastAsia="Arial" w:hAnsi="Arial"/>
          <w:color w:val="1E293B"/>
          <w:sz w:val="22"/>
          <w:szCs w:val="22"/>
        </w:rPr>
        <w:t xml:space="preserve">Citation Mandatory: Every specific fact, number, threshold, or deadline MUST cite: [Source: IRS Publication 519, Chapter X]</w:t>
      </w:r>
    </w:p>
    <w:p>
      <w:pPr>
        <w:pStyle w:val="ListParagraph"/>
        <w:numPr>
          <w:ilvl w:val="0"/>
          <w:numId w:val="2"/>
        </w:numPr>
        <w:spacing w:after="40" w:before="40"/>
      </w:pPr>
      <w:r>
        <w:rPr>
          <w:rFonts w:ascii="Arial" w:cs="Arial" w:eastAsia="Arial" w:hAnsi="Arial"/>
          <w:color w:val="1E293B"/>
          <w:sz w:val="22"/>
          <w:szCs w:val="22"/>
        </w:rPr>
        <w:t xml:space="preserve">Profile-Specific: Address the user's exact visa type and home country. Never give generic advice when specific rules exist.</w:t>
      </w:r>
    </w:p>
    <w:p>
      <w:pPr>
        <w:pStyle w:val="ListParagraph"/>
        <w:numPr>
          <w:ilvl w:val="0"/>
          <w:numId w:val="2"/>
        </w:numPr>
        <w:spacing w:after="40" w:before="40"/>
      </w:pPr>
      <w:r>
        <w:rPr>
          <w:rFonts w:ascii="Arial" w:cs="Arial" w:eastAsia="Arial" w:hAnsi="Arial"/>
          <w:color w:val="1E293B"/>
          <w:sz w:val="22"/>
          <w:szCs w:val="22"/>
        </w:rPr>
        <w:t xml:space="preserve">Structured Output: Direct Answer (1-2 sentences) → Explanation with citations → Numbered Action Steps</w:t>
      </w:r>
    </w:p>
    <w:p>
      <w:pPr>
        <w:pStyle w:val="ListParagraph"/>
        <w:numPr>
          <w:ilvl w:val="0"/>
          <w:numId w:val="2"/>
        </w:numPr>
        <w:spacing w:after="40" w:before="40"/>
      </w:pPr>
      <w:r>
        <w:rPr>
          <w:rFonts w:ascii="Arial" w:cs="Arial" w:eastAsia="Arial" w:hAnsi="Arial"/>
          <w:color w:val="1E293B"/>
          <w:sz w:val="22"/>
          <w:szCs w:val="22"/>
        </w:rPr>
        <w:t xml:space="preserve">Tax Year Disclosure: End every answer with: Based on IRS Tax Year 2024/2025 publications.</w:t>
      </w:r>
    </w:p>
    <w:p>
      <w:pPr>
        <w:pStyle w:val="ListParagraph"/>
        <w:numPr>
          <w:ilvl w:val="0"/>
          <w:numId w:val="2"/>
        </w:numPr>
        <w:spacing w:after="40" w:before="40"/>
      </w:pPr>
      <w:r>
        <w:rPr>
          <w:rFonts w:ascii="Arial" w:cs="Arial" w:eastAsia="Arial" w:hAnsi="Arial"/>
          <w:color w:val="1E293B"/>
          <w:sz w:val="22"/>
          <w:szCs w:val="22"/>
        </w:rPr>
        <w:t xml:space="preserve">Never Guess: Do not invent rules, thresholds, or deadlines not present in the provided documentation.</w:t>
      </w:r>
    </w:p>
    <w:p>
      <w:pPr>
        <w:spacing w:after="80" w:before="0"/>
      </w:pPr>
      <w:r>
        <w:t xml:space="preserve"/>
      </w:r>
    </w:p>
    <w:p>
      <w:pPr>
        <w:pStyle w:val="Heading3"/>
        <w:spacing w:after="80" w:before="180"/>
      </w:pPr>
      <w:r>
        <w:rPr>
          <w:rFonts w:ascii="Arial" w:cs="Arial" w:eastAsia="Arial" w:hAnsi="Arial"/>
          <w:b/>
          <w:bCs/>
          <w:color w:val="0F2044"/>
          <w:sz w:val="24"/>
          <w:szCs w:val="24"/>
        </w:rPr>
        <w:t xml:space="preserve">3.4.2 CPA Escalation Layer</w:t>
      </w:r>
    </w:p>
    <w:p>
      <w:pPr>
        <w:spacing w:after="80" w:before="60"/>
        <w:jc w:val="both"/>
      </w:pPr>
      <w:r>
        <w:rPr>
          <w:rFonts w:ascii="Arial" w:cs="Arial" w:eastAsia="Arial" w:hAnsi="Arial"/>
          <w:color w:val="1E293B"/>
          <w:sz w:val="22"/>
          <w:szCs w:val="22"/>
        </w:rPr>
        <w:t xml:space="preserve">Before any LLM call, the query is checked against 24 escalation keywords using exact string matching. If any keyword is detected, the system immediately returns a structured CPA referral without invoking the LLM. This architecture achieves zero latency for out-of-scope queries and eliminates the possibility of the LLM attempting to answer questions it should refuse.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4"/>
              <w:left w:val="single" w:color="CBD5E1" w:sz="4"/>
              <w:bottom w:val="single" w:color="CBD5E1" w:sz="4"/>
              <w:right w:val="single" w:color="CBD5E1" w:sz="4"/>
            </w:tcBorders>
            <w:shd w:fill="FEF3C7" w:val="clear"/>
            <w:tcMar>
              <w:top w:type="dxa" w:w="120"/>
              <w:left w:type="dxa" w:w="180"/>
              <w:bottom w:type="dxa" w:w="120"/>
              <w:right w:type="dxa" w:w="180"/>
            </w:tcMar>
          </w:tcPr>
          <w:p>
            <w:pPr>
              <w:spacing w:after="60"/>
            </w:pPr>
            <w:r>
              <w:rPr>
                <w:rFonts w:ascii="Arial" w:cs="Arial" w:eastAsia="Arial" w:hAnsi="Arial"/>
                <w:b/>
                <w:bCs/>
                <w:color w:val="B45309"/>
                <w:sz w:val="22"/>
                <w:szCs w:val="22"/>
              </w:rPr>
              <w:t xml:space="preserve">24 CPA Escalation Keywords</w:t>
            </w:r>
          </w:p>
          <w:p>
            <w:pPr>
              <w:jc w:val="both"/>
            </w:pPr>
            <w:r>
              <w:rPr>
                <w:rFonts w:ascii="Arial" w:cs="Arial" w:eastAsia="Arial" w:hAnsi="Arial"/>
                <w:color w:val="1E293B"/>
                <w:sz w:val="20"/>
                <w:szCs w:val="20"/>
              </w:rPr>
              <w:t xml:space="preserve">fbar, fatca, dual status, dual-status, foreign bank account, foreign asset, multi-state, state tax, audit, penalty, irs notice, amended return, back taxes, self employed, self-employed, freelance, cryptocurrency, crypto, rental income, investment income, green card, permanent resident, departure return, expatriation</w:t>
            </w:r>
          </w:p>
        </w:tc>
      </w:tr>
    </w:tbl>
    <w:p>
      <w:pPr>
        <w:spacing w:after="80" w:before="0"/>
      </w:pPr>
      <w:r>
        <w:t xml:space="preserve"/>
      </w:r>
    </w:p>
    <w:p>
      <w:pPr>
        <w:pStyle w:val="Heading3"/>
        <w:spacing w:after="80" w:before="180"/>
      </w:pPr>
      <w:r>
        <w:rPr>
          <w:rFonts w:ascii="Arial" w:cs="Arial" w:eastAsia="Arial" w:hAnsi="Arial"/>
          <w:b/>
          <w:bCs/>
          <w:color w:val="0F2044"/>
          <w:sz w:val="24"/>
          <w:szCs w:val="24"/>
        </w:rPr>
        <w:t xml:space="preserve">3.4.3 SPT Calculator</w:t>
      </w:r>
    </w:p>
    <w:p>
      <w:pPr>
        <w:spacing w:after="80" w:before="60"/>
        <w:jc w:val="both"/>
      </w:pPr>
      <w:r>
        <w:rPr>
          <w:rFonts w:ascii="Arial" w:cs="Arial" w:eastAsia="Arial" w:hAnsi="Arial"/>
          <w:color w:val="1E293B"/>
          <w:sz w:val="22"/>
          <w:szCs w:val="22"/>
        </w:rPr>
        <w:t xml:space="preserve">The Substantial Presence Test Calculator is implemented as a pure Python function with no LLM involvement. The formula (Total = Current × 1.0 + Year−1 × ⅓ + Year−2 × №) is deterministic — the same inputs produce the same outputs every time. The calculator is separate from the RAG pipeline and cannot hallucinate.</w:t>
      </w:r>
    </w:p>
    <w:p>
      <w:r>
        <w:br w:type="page"/>
      </w:r>
    </w:p>
    <w:p>
      <w:pPr>
        <w:pStyle w:val="Heading1"/>
        <w:pBdr>
          <w:bottom w:val="single" w:color="1A56DB" w:sz="8" w:space="4"/>
        </w:pBdr>
        <w:spacing w:after="160" w:before="360"/>
      </w:pPr>
      <w:r>
        <w:rPr>
          <w:rFonts w:ascii="Arial" w:cs="Arial" w:eastAsia="Arial" w:hAnsi="Arial"/>
          <w:b/>
          <w:bCs/>
          <w:color w:val="0F2044"/>
          <w:sz w:val="36"/>
          <w:szCs w:val="36"/>
        </w:rPr>
        <w:t xml:space="preserve">4. Experiments and Results</w:t>
      </w:r>
    </w:p>
    <w:p>
      <w:pPr>
        <w:pStyle w:val="Heading2"/>
        <w:spacing w:after="120" w:before="240"/>
      </w:pPr>
      <w:r>
        <w:rPr>
          <w:rFonts w:ascii="Arial" w:cs="Arial" w:eastAsia="Arial" w:hAnsi="Arial"/>
          <w:b/>
          <w:bCs/>
          <w:color w:val="1A56DB"/>
          <w:sz w:val="28"/>
          <w:szCs w:val="28"/>
        </w:rPr>
        <w:t xml:space="preserve">4.1 Evaluation Methodology</w:t>
      </w:r>
    </w:p>
    <w:p>
      <w:pPr>
        <w:spacing w:after="80" w:before="60"/>
        <w:jc w:val="both"/>
      </w:pPr>
      <w:r>
        <w:rPr>
          <w:rFonts w:ascii="Arial" w:cs="Arial" w:eastAsia="Arial" w:hAnsi="Arial"/>
          <w:color w:val="1E293B"/>
          <w:sz w:val="22"/>
          <w:szCs w:val="22"/>
        </w:rPr>
        <w:t xml:space="preserve">Evaluation was conducted across five dimensions: retrieval accuracy, escalation precision, calculator accuracy, faithfulness, and answer relevancy. Given the absence of an available OpenAI key for RAGAS evaluation, faithfulness and answer relevancy were measured using an LLM-as-judge approach where Groq LLaMA 3.1 8B scores each answer on a 0.0–1.0 scale based on the retrieved context.</w:t>
      </w:r>
    </w:p>
    <w:p>
      <w:pPr>
        <w:spacing w:after="80" w:before="0"/>
      </w:pPr>
      <w:r>
        <w:t xml:space="preserve"/>
      </w:r>
    </w:p>
    <w:p>
      <w:pPr>
        <w:pStyle w:val="Heading2"/>
        <w:spacing w:after="120" w:before="240"/>
      </w:pPr>
      <w:r>
        <w:rPr>
          <w:rFonts w:ascii="Arial" w:cs="Arial" w:eastAsia="Arial" w:hAnsi="Arial"/>
          <w:b/>
          <w:bCs/>
          <w:color w:val="1A56DB"/>
          <w:sz w:val="28"/>
          <w:szCs w:val="28"/>
        </w:rPr>
        <w:t xml:space="preserve">4.2 Performance Summary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760"/>
        <w:gridCol w:w="1760"/>
        <w:gridCol w:w="1760"/>
        <w:gridCol w:w="1760"/>
      </w:tblGrid>
      <w:tr>
        <w:tc>
          <w:tcPr>
            <w:tcW w:type="dxa" w:w="1760"/>
            <w:tcBorders>
              <w:top w:val="single" w:color="CBD5E1" w:sz="4"/>
              <w:left w:val="single" w:color="CBD5E1" w:sz="4"/>
              <w:bottom w:val="single" w:color="CBD5E1" w:sz="4"/>
              <w:right w:val="single" w:color="CBD5E1" w:sz="4"/>
            </w:tcBorders>
            <w:shd w:fill="EFF6FF" w:val="clear"/>
            <w:tcMar>
              <w:top w:type="dxa" w:w="120"/>
              <w:left w:type="dxa" w:w="80"/>
              <w:bottom w:type="dxa" w:w="120"/>
              <w:right w:type="dxa" w:w="80"/>
            </w:tcMar>
          </w:tcPr>
          <w:p>
            <w:pPr>
              <w:jc w:val="center"/>
            </w:pPr>
            <w:r>
              <w:rPr>
                <w:rFonts w:ascii="Arial" w:cs="Arial" w:eastAsia="Arial" w:hAnsi="Arial"/>
                <w:b/>
                <w:bCs/>
                <w:color w:val="0C447C"/>
                <w:sz w:val="48"/>
                <w:szCs w:val="48"/>
              </w:rPr>
              <w:t xml:space="preserve">80%</w:t>
            </w:r>
          </w:p>
          <w:p>
            <w:pPr>
              <w:spacing w:before="40"/>
              <w:jc w:val="center"/>
            </w:pPr>
            <w:r>
              <w:rPr>
                <w:rFonts w:ascii="Arial" w:cs="Arial" w:eastAsia="Arial" w:hAnsi="Arial"/>
                <w:color w:val="0C447C"/>
                <w:sz w:val="16"/>
                <w:szCs w:val="16"/>
              </w:rPr>
              <w:t xml:space="preserve">Retrieval
Accuracy</w:t>
            </w:r>
          </w:p>
        </w:tc>
        <w:tc>
          <w:tcPr>
            <w:tcW w:type="dxa" w:w="1760"/>
            <w:tcBorders>
              <w:top w:val="single" w:color="CBD5E1" w:sz="4"/>
              <w:left w:val="single" w:color="CBD5E1" w:sz="4"/>
              <w:bottom w:val="single" w:color="CBD5E1" w:sz="4"/>
              <w:right w:val="single" w:color="CBD5E1" w:sz="4"/>
            </w:tcBorders>
            <w:shd w:fill="ECFDF5" w:val="clear"/>
            <w:tcMar>
              <w:top w:type="dxa" w:w="120"/>
              <w:left w:type="dxa" w:w="80"/>
              <w:bottom w:type="dxa" w:w="120"/>
              <w:right w:type="dxa" w:w="80"/>
            </w:tcMar>
          </w:tcPr>
          <w:p>
            <w:pPr>
              <w:jc w:val="center"/>
            </w:pPr>
            <w:r>
              <w:rPr>
                <w:rFonts w:ascii="Arial" w:cs="Arial" w:eastAsia="Arial" w:hAnsi="Arial"/>
                <w:b/>
                <w:bCs/>
                <w:color w:val="065F46"/>
                <w:sz w:val="48"/>
                <w:szCs w:val="48"/>
              </w:rPr>
              <w:t xml:space="preserve">100%</w:t>
            </w:r>
          </w:p>
          <w:p>
            <w:pPr>
              <w:spacing w:before="40"/>
              <w:jc w:val="center"/>
            </w:pPr>
            <w:r>
              <w:rPr>
                <w:rFonts w:ascii="Arial" w:cs="Arial" w:eastAsia="Arial" w:hAnsi="Arial"/>
                <w:color w:val="065F46"/>
                <w:sz w:val="16"/>
                <w:szCs w:val="16"/>
              </w:rPr>
              <w:t xml:space="preserve">Escalation
Precision</w:t>
            </w:r>
          </w:p>
        </w:tc>
        <w:tc>
          <w:tcPr>
            <w:tcW w:type="dxa" w:w="1760"/>
            <w:tcBorders>
              <w:top w:val="single" w:color="CBD5E1" w:sz="4"/>
              <w:left w:val="single" w:color="CBD5E1" w:sz="4"/>
              <w:bottom w:val="single" w:color="CBD5E1" w:sz="4"/>
              <w:right w:val="single" w:color="CBD5E1" w:sz="4"/>
            </w:tcBorders>
            <w:shd w:fill="ECFDF5" w:val="clear"/>
            <w:tcMar>
              <w:top w:type="dxa" w:w="120"/>
              <w:left w:type="dxa" w:w="80"/>
              <w:bottom w:type="dxa" w:w="120"/>
              <w:right w:type="dxa" w:w="80"/>
            </w:tcMar>
          </w:tcPr>
          <w:p>
            <w:pPr>
              <w:jc w:val="center"/>
            </w:pPr>
            <w:r>
              <w:rPr>
                <w:rFonts w:ascii="Arial" w:cs="Arial" w:eastAsia="Arial" w:hAnsi="Arial"/>
                <w:b/>
                <w:bCs/>
                <w:color w:val="065F46"/>
                <w:sz w:val="48"/>
                <w:szCs w:val="48"/>
              </w:rPr>
              <w:t xml:space="preserve">100%</w:t>
            </w:r>
          </w:p>
          <w:p>
            <w:pPr>
              <w:spacing w:before="40"/>
              <w:jc w:val="center"/>
            </w:pPr>
            <w:r>
              <w:rPr>
                <w:rFonts w:ascii="Arial" w:cs="Arial" w:eastAsia="Arial" w:hAnsi="Arial"/>
                <w:color w:val="065F46"/>
                <w:sz w:val="16"/>
                <w:szCs w:val="16"/>
              </w:rPr>
              <w:t xml:space="preserve">SPT
Calculator</w:t>
            </w:r>
          </w:p>
        </w:tc>
        <w:tc>
          <w:tcPr>
            <w:tcW w:type="dxa" w:w="1760"/>
            <w:tcBorders>
              <w:top w:val="single" w:color="CBD5E1" w:sz="4"/>
              <w:left w:val="single" w:color="CBD5E1" w:sz="4"/>
              <w:bottom w:val="single" w:color="CBD5E1" w:sz="4"/>
              <w:right w:val="single" w:color="CBD5E1" w:sz="4"/>
            </w:tcBorders>
            <w:shd w:fill="F3F0FF" w:val="clear"/>
            <w:tcMar>
              <w:top w:type="dxa" w:w="120"/>
              <w:left w:type="dxa" w:w="80"/>
              <w:bottom w:type="dxa" w:w="120"/>
              <w:right w:type="dxa" w:w="80"/>
            </w:tcMar>
          </w:tcPr>
          <w:p>
            <w:pPr>
              <w:jc w:val="center"/>
            </w:pPr>
            <w:r>
              <w:rPr>
                <w:rFonts w:ascii="Arial" w:cs="Arial" w:eastAsia="Arial" w:hAnsi="Arial"/>
                <w:b/>
                <w:bCs/>
                <w:color w:val="3C3489"/>
                <w:sz w:val="48"/>
                <w:szCs w:val="48"/>
              </w:rPr>
              <w:t xml:space="preserve">0.92</w:t>
            </w:r>
          </w:p>
          <w:p>
            <w:pPr>
              <w:spacing w:before="40"/>
              <w:jc w:val="center"/>
            </w:pPr>
            <w:r>
              <w:rPr>
                <w:rFonts w:ascii="Arial" w:cs="Arial" w:eastAsia="Arial" w:hAnsi="Arial"/>
                <w:color w:val="3C3489"/>
                <w:sz w:val="16"/>
                <w:szCs w:val="16"/>
              </w:rPr>
              <w:t xml:space="preserve">Faithfulness</w:t>
            </w:r>
          </w:p>
        </w:tc>
        <w:tc>
          <w:tcPr>
            <w:tcW w:type="dxa" w:w="1760"/>
            <w:tcBorders>
              <w:top w:val="single" w:color="CBD5E1" w:sz="4"/>
              <w:left w:val="single" w:color="CBD5E1" w:sz="4"/>
              <w:bottom w:val="single" w:color="CBD5E1" w:sz="4"/>
              <w:right w:val="single" w:color="CBD5E1" w:sz="4"/>
            </w:tcBorders>
            <w:shd w:fill="F3F0FF" w:val="clear"/>
            <w:tcMar>
              <w:top w:type="dxa" w:w="120"/>
              <w:left w:type="dxa" w:w="80"/>
              <w:bottom w:type="dxa" w:w="120"/>
              <w:right w:type="dxa" w:w="80"/>
            </w:tcMar>
          </w:tcPr>
          <w:p>
            <w:pPr>
              <w:jc w:val="center"/>
            </w:pPr>
            <w:r>
              <w:rPr>
                <w:rFonts w:ascii="Arial" w:cs="Arial" w:eastAsia="Arial" w:hAnsi="Arial"/>
                <w:b/>
                <w:bCs/>
                <w:color w:val="3C3489"/>
                <w:sz w:val="48"/>
                <w:szCs w:val="48"/>
              </w:rPr>
              <w:t xml:space="preserve">0.89</w:t>
            </w:r>
          </w:p>
          <w:p>
            <w:pPr>
              <w:spacing w:before="40"/>
              <w:jc w:val="center"/>
            </w:pPr>
            <w:r>
              <w:rPr>
                <w:rFonts w:ascii="Arial" w:cs="Arial" w:eastAsia="Arial" w:hAnsi="Arial"/>
                <w:color w:val="3C3489"/>
                <w:sz w:val="16"/>
                <w:szCs w:val="16"/>
              </w:rPr>
              <w:t xml:space="preserve">Answer
Relevancy</w:t>
            </w:r>
          </w:p>
        </w:tc>
      </w:tr>
    </w:tbl>
    <w:p>
      <w:pPr>
        <w:spacing w:after="120" w:before="40"/>
        <w:jc w:val="center"/>
      </w:pPr>
      <w:r>
        <w:rPr>
          <w:rFonts w:ascii="Arial" w:cs="Arial" w:eastAsia="Arial" w:hAnsi="Arial"/>
          <w:i/>
          <w:iCs/>
          <w:color w:val="64748B"/>
          <w:sz w:val="18"/>
          <w:szCs w:val="18"/>
        </w:rPr>
        <w:t xml:space="preserve">Figure 2: Performance summary across five evaluation dimensions.</w:t>
      </w:r>
    </w:p>
    <w:p>
      <w:pPr>
        <w:spacing w:after="80" w:before="0"/>
      </w:pPr>
      <w:r>
        <w:t xml:space="preserve"/>
      </w:r>
    </w:p>
    <w:p>
      <w:pPr>
        <w:spacing w:after="80" w:before="0"/>
      </w:pPr>
      <w:r>
        <w:t xml:space="preserve"/>
      </w:r>
    </w:p>
    <w:p>
      <w:pPr>
        <w:pStyle w:val="Heading2"/>
        <w:spacing w:after="120" w:before="240"/>
      </w:pPr>
      <w:r>
        <w:rPr>
          <w:rFonts w:ascii="Arial" w:cs="Arial" w:eastAsia="Arial" w:hAnsi="Arial"/>
          <w:b/>
          <w:bCs/>
          <w:color w:val="1A56DB"/>
          <w:sz w:val="28"/>
          <w:szCs w:val="28"/>
        </w:rPr>
        <w:t xml:space="preserve">4.3 Retrieval Accuracy</w:t>
      </w:r>
    </w:p>
    <w:p>
      <w:pPr>
        <w:spacing w:after="80" w:before="60"/>
        <w:jc w:val="both"/>
      </w:pPr>
      <w:r>
        <w:rPr>
          <w:rFonts w:ascii="Arial" w:cs="Arial" w:eastAsia="Arial" w:hAnsi="Arial"/>
          <w:color w:val="1E293B"/>
          <w:sz w:val="22"/>
          <w:szCs w:val="22"/>
        </w:rPr>
        <w:t xml:space="preserve">A 10-query test battery was constructed to cover the primary use cases of the system. Each query was evaluated by checking whether the expected source document appeared in the top-3 retrieved chunks.</w:t>
      </w:r>
    </w:p>
    <w:p>
      <w:pPr>
        <w:spacing w:after="80" w:before="0"/>
      </w:pPr>
      <w:r>
        <w:t xml:space="preserve"/>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400"/>
        <w:gridCol w:w="900"/>
      </w:tblGrid>
      <w:tr>
        <w:trPr>
          <w:tblHeader/>
        </w:trPr>
        <w:tc>
          <w:tcPr>
            <w:tcW w:type="dxa" w:w="3000"/>
            <w:tcBorders>
              <w:top w:val="single" w:color="CBD5E1" w:sz="4"/>
              <w:left w:val="single" w:color="CBD5E1" w:sz="4"/>
              <w:bottom w:val="single" w:color="CBD5E1" w:sz="4"/>
              <w:right w:val="single" w:color="CBD5E1"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Test Query</w:t>
            </w:r>
          </w:p>
        </w:tc>
        <w:tc>
          <w:tcPr>
            <w:tcW w:type="dxa" w:w="2200"/>
            <w:tcBorders>
              <w:top w:val="single" w:color="CBD5E1" w:sz="4"/>
              <w:left w:val="single" w:color="CBD5E1" w:sz="4"/>
              <w:bottom w:val="single" w:color="CBD5E1" w:sz="4"/>
              <w:right w:val="single" w:color="CBD5E1"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Expected Source</w:t>
            </w:r>
          </w:p>
        </w:tc>
        <w:tc>
          <w:tcPr>
            <w:tcW w:type="dxa" w:w="2400"/>
            <w:tcBorders>
              <w:top w:val="single" w:color="CBD5E1" w:sz="4"/>
              <w:left w:val="single" w:color="CBD5E1" w:sz="4"/>
              <w:bottom w:val="single" w:color="CBD5E1" w:sz="4"/>
              <w:right w:val="single" w:color="CBD5E1"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Top-3 Sources</w:t>
            </w:r>
          </w:p>
        </w:tc>
        <w:tc>
          <w:tcPr>
            <w:tcW w:type="dxa" w:w="900"/>
            <w:tcBorders>
              <w:top w:val="single" w:color="CBD5E1" w:sz="4"/>
              <w:left w:val="single" w:color="CBD5E1" w:sz="4"/>
              <w:bottom w:val="single" w:color="CBD5E1" w:sz="4"/>
              <w:right w:val="single" w:color="CBD5E1"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What is the substantial presence test?</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IRS Publication 519</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Form 1040-NR, Form 8840, Pub 54</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MISS</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Am I exempt from FICA as an F-1 student?</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IRS Publication 519</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Pub 515, Pub 519, Pub 525</w:t>
            </w:r>
          </w:p>
        </w:tc>
        <w:tc>
          <w:tcPr>
            <w:tcW w:type="dxa" w:w="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HIT</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What forms do I need to file as a NRA?</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Form 1040-NR Instructions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1040-NR, 1040-NR, Pub 519</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HIT</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US-India treaty student exemption Art. 21</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US-India Tax Treaty</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India Treaty ×3</w:t>
            </w:r>
          </w:p>
        </w:tc>
        <w:tc>
          <w:tcPr>
            <w:tcW w:type="dxa" w:w="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HIT</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How is fellowship income taxed?</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Form 1042-S Instructions</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Pub 970 ×3</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MISS</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What is Form W-8BEN?</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Form W-8BEN Instructions</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W-8BEN ×3</w:t>
            </w:r>
          </w:p>
        </w:tc>
        <w:tc>
          <w:tcPr>
            <w:tcW w:type="dxa" w:w="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HIT</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How do I get a filing extension?</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Form 4868</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Form 4868 ×3</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HIT</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What is the closer connection exception?</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Form 8840</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Form 8840 ×3</w:t>
            </w:r>
          </w:p>
        </w:tc>
        <w:tc>
          <w:tcPr>
            <w:tcW w:type="dxa" w:w="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HIT</w:t>
            </w:r>
          </w:p>
        </w:tc>
      </w:tr>
      <w:tr>
        <w:tc>
          <w:tcPr>
            <w:tcW w:type="dxa" w:w="3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How is scholarship income taxed?</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IRS Publication 970</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Pub 515, Pub 970, Pub 515</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HIT</w:t>
            </w:r>
          </w:p>
        </w:tc>
      </w:tr>
      <w:tr>
        <w:tc>
          <w:tcPr>
            <w:tcW w:type="dxa" w:w="3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What withholding rate applies to NRA wages?</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IRS Publication 515</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Pub 515 ×3</w:t>
            </w:r>
          </w:p>
        </w:tc>
        <w:tc>
          <w:tcPr>
            <w:tcW w:type="dxa" w:w="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HIT</w:t>
            </w:r>
          </w:p>
        </w:tc>
      </w:tr>
    </w:tbl>
    <w:p>
      <w:pPr>
        <w:spacing w:after="80" w:before="0"/>
      </w:pPr>
      <w:r>
        <w:t xml:space="preserve"/>
      </w:r>
    </w:p>
    <w:p>
      <w:pPr>
        <w:spacing w:after="80" w:before="60"/>
        <w:jc w:val="both"/>
      </w:pPr>
      <w:r>
        <w:rPr>
          <w:rFonts w:ascii="Arial" w:cs="Arial" w:eastAsia="Arial" w:hAnsi="Arial"/>
          <w:color w:val="1E293B"/>
          <w:sz w:val="22"/>
          <w:szCs w:val="22"/>
        </w:rPr>
        <w:t xml:space="preserve">The two retrieval misses are analyzed below. Test 1 (SPT query) fails because Form 8840 (Closer Connection Exception) explicitly references Substantial Presence Test in its title and sections, producing high cosine similarity. Test 5 (fellowship income) fails because IRS Publication 970 contains significantly more fellowship-related chunks than Form 1042-S Instructions, dominating the similarity scores despite Form 1042-S being the more authoritative source.</w:t>
      </w:r>
    </w:p>
    <w:p>
      <w:pPr>
        <w:spacing w:after="80" w:before="0"/>
      </w:pPr>
      <w:r>
        <w:t xml:space="preserve"/>
      </w:r>
    </w:p>
    <w:p>
      <w:pPr>
        <w:pStyle w:val="Heading2"/>
        <w:spacing w:after="120" w:before="240"/>
      </w:pPr>
      <w:r>
        <w:rPr>
          <w:rFonts w:ascii="Arial" w:cs="Arial" w:eastAsia="Arial" w:hAnsi="Arial"/>
          <w:b/>
          <w:bCs/>
          <w:color w:val="1A56DB"/>
          <w:sz w:val="28"/>
          <w:szCs w:val="28"/>
        </w:rPr>
        <w:t xml:space="preserve">4.4 Escalation Precision</w:t>
      </w:r>
    </w:p>
    <w:p>
      <w:pPr>
        <w:spacing w:after="80" w:before="60"/>
        <w:jc w:val="both"/>
      </w:pPr>
      <w:r>
        <w:rPr>
          <w:rFonts w:ascii="Arial" w:cs="Arial" w:eastAsia="Arial" w:hAnsi="Arial"/>
          <w:color w:val="1E293B"/>
          <w:sz w:val="22"/>
          <w:szCs w:val="22"/>
        </w:rPr>
        <w:t xml:space="preserve">Five CPA escalation test cases were evaluated: FBAR filing requirement, cryptocurrency income reporting, state tax obligation, audit response, and rental income from foreign property. All five queries correctly triggered the escalation layer and returned CPA referrals without invoking the LLM. Escalation precision: 100% (5/5).</w:t>
      </w:r>
    </w:p>
    <w:p>
      <w:pPr>
        <w:spacing w:after="80" w:before="0"/>
      </w:pPr>
      <w:r>
        <w:t xml:space="preserve"/>
      </w:r>
    </w:p>
    <w:p>
      <w:pPr>
        <w:pStyle w:val="Heading2"/>
        <w:spacing w:after="120" w:before="240"/>
      </w:pPr>
      <w:r>
        <w:rPr>
          <w:rFonts w:ascii="Arial" w:cs="Arial" w:eastAsia="Arial" w:hAnsi="Arial"/>
          <w:b/>
          <w:bCs/>
          <w:color w:val="1A56DB"/>
          <w:sz w:val="28"/>
          <w:szCs w:val="28"/>
        </w:rPr>
        <w:t xml:space="preserve">4.5 SPT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1760"/>
        <w:gridCol w:w="1200"/>
      </w:tblGrid>
      <w:tr>
        <w:trPr>
          <w:tblHeader/>
        </w:trPr>
        <w:tc>
          <w:tcPr>
            <w:tcW w:type="dxa" w:w="2000"/>
            <w:tcBorders>
              <w:top w:val="single" w:color="CBD5E1" w:sz="4"/>
              <w:left w:val="single" w:color="CBD5E1" w:sz="4"/>
              <w:bottom w:val="single" w:color="CBD5E1" w:sz="4"/>
              <w:right w:val="single" w:color="CBD5E1"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2200"/>
            <w:tcBorders>
              <w:top w:val="single" w:color="CBD5E1" w:sz="4"/>
              <w:left w:val="single" w:color="CBD5E1" w:sz="4"/>
              <w:bottom w:val="single" w:color="CBD5E1" w:sz="4"/>
              <w:right w:val="single" w:color="CBD5E1"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Input (Current / Y-1 / Y-2)</w:t>
            </w:r>
          </w:p>
        </w:tc>
        <w:tc>
          <w:tcPr>
            <w:tcW w:type="dxa" w:w="2200"/>
            <w:tcBorders>
              <w:top w:val="single" w:color="CBD5E1" w:sz="4"/>
              <w:left w:val="single" w:color="CBD5E1" w:sz="4"/>
              <w:bottom w:val="single" w:color="CBD5E1" w:sz="4"/>
              <w:right w:val="single" w:color="CBD5E1"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Formula Result</w:t>
            </w:r>
          </w:p>
        </w:tc>
        <w:tc>
          <w:tcPr>
            <w:tcW w:type="dxa" w:w="1760"/>
            <w:tcBorders>
              <w:top w:val="single" w:color="CBD5E1" w:sz="4"/>
              <w:left w:val="single" w:color="CBD5E1" w:sz="4"/>
              <w:bottom w:val="single" w:color="CBD5E1" w:sz="4"/>
              <w:right w:val="single" w:color="CBD5E1"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Expected</w:t>
            </w:r>
          </w:p>
        </w:tc>
        <w:tc>
          <w:tcPr>
            <w:tcW w:type="dxa" w:w="1200"/>
            <w:tcBorders>
              <w:top w:val="single" w:color="CBD5E1" w:sz="4"/>
              <w:left w:val="single" w:color="CBD5E1" w:sz="4"/>
              <w:bottom w:val="single" w:color="CBD5E1" w:sz="4"/>
              <w:right w:val="single" w:color="CBD5E1"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Outcome</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F-1 Student Year 1</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180 / 0 / 0</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180 + 0 + 0 = 180.0</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Nonresident (180 &lt; 183)</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CORRECT</w:t>
            </w:r>
          </w:p>
        </w:tc>
      </w:tr>
      <w:tr>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H-1B Worker Year 4</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300 / 300 / 300</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300 + 100 + 50 = 450.0</w:t>
            </w:r>
          </w:p>
        </w:tc>
        <w:tc>
          <w:tcPr>
            <w:tcW w:type="dxa" w:w="17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Resident (450 ≥ 183)</w:t>
            </w:r>
          </w:p>
        </w:tc>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CORRECT</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Edge Case (exact threshold)</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31 / 456 / 0</w:t>
            </w:r>
          </w:p>
        </w:tc>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31 + 152 + 0 = 183.0</w:t>
            </w:r>
          </w:p>
        </w:tc>
        <w:tc>
          <w:tcPr>
            <w:tcW w:type="dxa" w:w="1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Resident (183 ≥ 183)</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CORRECT</w:t>
            </w:r>
          </w:p>
        </w:tc>
      </w:tr>
    </w:tbl>
    <w:p>
      <w:pPr>
        <w:spacing w:after="80" w:before="0"/>
      </w:pPr>
      <w:r>
        <w:t xml:space="preserve"/>
      </w:r>
    </w:p>
    <w:p>
      <w:pPr>
        <w:pStyle w:val="Heading2"/>
        <w:spacing w:after="120" w:before="240"/>
      </w:pPr>
      <w:r>
        <w:rPr>
          <w:rFonts w:ascii="Arial" w:cs="Arial" w:eastAsia="Arial" w:hAnsi="Arial"/>
          <w:b/>
          <w:bCs/>
          <w:color w:val="1A56DB"/>
          <w:sz w:val="28"/>
          <w:szCs w:val="28"/>
        </w:rPr>
        <w:t xml:space="preserve">4.6 Faithfulness and Answer Relevancy</w:t>
      </w:r>
    </w:p>
    <w:p>
      <w:pPr>
        <w:spacing w:after="80" w:before="60"/>
        <w:jc w:val="both"/>
      </w:pPr>
      <w:r>
        <w:rPr>
          <w:rFonts w:ascii="Arial" w:cs="Arial" w:eastAsia="Arial" w:hAnsi="Arial"/>
          <w:color w:val="1E293B"/>
          <w:sz w:val="22"/>
          <w:szCs w:val="22"/>
        </w:rPr>
        <w:t xml:space="preserve">LLM-as-judge evaluation was conducted on five representative questions using Groq LLaMA 3.1 8B as the evaluator. Each answer was scored on faithfulness (does the answer only use information from the retrieved context?) and answer relevancy (does the answer directly address the question?).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BD5E1" w:sz="4"/>
              <w:left w:val="single" w:color="CBD5E1" w:sz="4"/>
              <w:bottom w:val="single" w:color="CBD5E1" w:sz="4"/>
              <w:right w:val="single" w:color="CBD5E1"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680"/>
            <w:tcBorders>
              <w:top w:val="single" w:color="CBD5E1" w:sz="4"/>
              <w:left w:val="single" w:color="CBD5E1" w:sz="4"/>
              <w:bottom w:val="single" w:color="CBD5E1" w:sz="4"/>
              <w:right w:val="single" w:color="CBD5E1"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Faithfulness</w:t>
            </w:r>
          </w:p>
        </w:tc>
        <w:tc>
          <w:tcPr>
            <w:tcW w:type="dxa" w:w="2680"/>
            <w:tcBorders>
              <w:top w:val="single" w:color="CBD5E1" w:sz="4"/>
              <w:left w:val="single" w:color="CBD5E1" w:sz="4"/>
              <w:bottom w:val="single" w:color="CBD5E1" w:sz="4"/>
              <w:right w:val="single" w:color="CBD5E1"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Answer Relevancy</w:t>
            </w:r>
          </w:p>
        </w:tc>
      </w:tr>
      <w:tr>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Are F-1 students exempt from FICA taxes?</w:t>
            </w:r>
          </w:p>
        </w:tc>
        <w:tc>
          <w:tcPr>
            <w:tcW w:type="dxa" w:w="2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0.95</w:t>
            </w:r>
          </w:p>
        </w:tc>
        <w:tc>
          <w:tcPr>
            <w:tcW w:type="dxa" w:w="2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0.92</w:t>
            </w:r>
          </w:p>
        </w:tc>
      </w:tr>
      <w:tr>
        <w:tc>
          <w:tcPr>
            <w:tcW w:type="dxa" w:w="4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What is the Substantial Presence Test?</w:t>
            </w:r>
          </w:p>
        </w:tc>
        <w:tc>
          <w:tcPr>
            <w:tcW w:type="dxa" w:w="2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0.90</w:t>
            </w:r>
          </w:p>
        </w:tc>
        <w:tc>
          <w:tcPr>
            <w:tcW w:type="dxa" w:w="2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0.88</w:t>
            </w:r>
          </w:p>
        </w:tc>
      </w:tr>
      <w:tr>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What form do nonresident aliens file?</w:t>
            </w:r>
          </w:p>
        </w:tc>
        <w:tc>
          <w:tcPr>
            <w:tcW w:type="dxa" w:w="2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0.95</w:t>
            </w:r>
          </w:p>
        </w:tc>
        <w:tc>
          <w:tcPr>
            <w:tcW w:type="dxa" w:w="2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0.90</w:t>
            </w:r>
          </w:p>
        </w:tc>
      </w:tr>
      <w:tr>
        <w:tc>
          <w:tcPr>
            <w:tcW w:type="dxa" w:w="4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Do F-1 students need to file Form 8843?</w:t>
            </w:r>
          </w:p>
        </w:tc>
        <w:tc>
          <w:tcPr>
            <w:tcW w:type="dxa" w:w="2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0.92</w:t>
            </w:r>
          </w:p>
        </w:tc>
        <w:tc>
          <w:tcPr>
            <w:tcW w:type="dxa" w:w="2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0.89</w:t>
            </w:r>
          </w:p>
        </w:tc>
      </w:tr>
      <w:tr>
        <w:tc>
          <w:tcPr>
            <w:tcW w:type="dxa" w:w="4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What is the US-India treaty student exemption?</w:t>
            </w:r>
          </w:p>
        </w:tc>
        <w:tc>
          <w:tcPr>
            <w:tcW w:type="dxa" w:w="2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0.88</w:t>
            </w:r>
          </w:p>
        </w:tc>
        <w:tc>
          <w:tcPr>
            <w:tcW w:type="dxa" w:w="26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0.86</w:t>
            </w:r>
          </w:p>
        </w:tc>
      </w:tr>
      <w:tr>
        <w:tc>
          <w:tcPr>
            <w:tcW w:type="dxa" w:w="4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Average</w:t>
            </w:r>
          </w:p>
        </w:tc>
        <w:tc>
          <w:tcPr>
            <w:tcW w:type="dxa" w:w="2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0.92</w:t>
            </w:r>
          </w:p>
        </w:tc>
        <w:tc>
          <w:tcPr>
            <w:tcW w:type="dxa" w:w="268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0.89</w:t>
            </w:r>
          </w:p>
        </w:tc>
      </w:tr>
    </w:tbl>
    <w:p>
      <w:r>
        <w:br w:type="page"/>
      </w:r>
    </w:p>
    <w:p>
      <w:pPr>
        <w:pStyle w:val="Heading1"/>
        <w:pBdr>
          <w:bottom w:val="single" w:color="1A56DB" w:sz="8" w:space="4"/>
        </w:pBdr>
        <w:spacing w:after="160" w:before="360"/>
      </w:pPr>
      <w:r>
        <w:rPr>
          <w:rFonts w:ascii="Arial" w:cs="Arial" w:eastAsia="Arial" w:hAnsi="Arial"/>
          <w:b/>
          <w:bCs/>
          <w:color w:val="0F2044"/>
          <w:sz w:val="36"/>
          <w:szCs w:val="36"/>
        </w:rPr>
        <w:t xml:space="preserve">5. Discussion</w:t>
      </w:r>
    </w:p>
    <w:p>
      <w:pPr>
        <w:pStyle w:val="Heading2"/>
        <w:spacing w:after="120" w:before="240"/>
      </w:pPr>
      <w:r>
        <w:rPr>
          <w:rFonts w:ascii="Arial" w:cs="Arial" w:eastAsia="Arial" w:hAnsi="Arial"/>
          <w:b/>
          <w:bCs/>
          <w:color w:val="1A56DB"/>
          <w:sz w:val="28"/>
          <w:szCs w:val="28"/>
        </w:rPr>
        <w:t xml:space="preserve">5.1 Retrieval Accuracy Analysis</w:t>
      </w:r>
    </w:p>
    <w:p>
      <w:pPr>
        <w:spacing w:after="80" w:before="60"/>
        <w:jc w:val="both"/>
      </w:pPr>
      <w:r>
        <w:rPr>
          <w:rFonts w:ascii="Arial" w:cs="Arial" w:eastAsia="Arial" w:hAnsi="Arial"/>
          <w:color w:val="1E293B"/>
          <w:sz w:val="22"/>
          <w:szCs w:val="22"/>
        </w:rPr>
        <w:t xml:space="preserve">The improvement from 40% to 80% retrieval accuracy was achieved through the smart re-ranking layer rather than improved embeddings. This finding suggests that for domain-specific RAG systems with structured document collections, post-retrieval re-ranking based on document-type signals is more effective than embedding model improvements alone. The residual 20% error rate reflects two structural limitations: (1) vocabulary overlap between the Substantial Presence Test and the Closer Connection Exception makes them difficult to disambiguate without semantic understanding of IRS document structure, and (2) the fellowship income retrieval miss reflects a corpus imbalance where IRS Publication 970 has 358 chunks versus Form 1042-S’s 234 chunks, creating a size advantage that boosts Publication 970 in similarity search.</w:t>
      </w:r>
    </w:p>
    <w:p>
      <w:pPr>
        <w:spacing w:after="80" w:before="0"/>
      </w:pPr>
      <w:r>
        <w:t xml:space="preserve"/>
      </w:r>
    </w:p>
    <w:p>
      <w:pPr>
        <w:pStyle w:val="Heading2"/>
        <w:spacing w:after="120" w:before="240"/>
      </w:pPr>
      <w:r>
        <w:rPr>
          <w:rFonts w:ascii="Arial" w:cs="Arial" w:eastAsia="Arial" w:hAnsi="Arial"/>
          <w:b/>
          <w:bCs/>
          <w:color w:val="1A56DB"/>
          <w:sz w:val="28"/>
          <w:szCs w:val="28"/>
        </w:rPr>
        <w:t xml:space="preserve">5.2 Design Decisions</w:t>
      </w:r>
    </w:p>
    <w:p>
      <w:pPr>
        <w:spacing w:after="80" w:before="60"/>
        <w:jc w:val="both"/>
      </w:pPr>
      <w:r>
        <w:rPr>
          <w:rFonts w:ascii="Arial" w:cs="Arial" w:eastAsia="Arial" w:hAnsi="Arial"/>
          <w:color w:val="1E293B"/>
          <w:sz w:val="22"/>
          <w:szCs w:val="22"/>
        </w:rPr>
        <w:t xml:space="preserve">Three design decisions merit explicit justification. First, temperature=0.0 was chosen over a small positive value because tax guidance requires determinism — the same question asked twice should receive the same answer. Creative interpretation of tax law is not a desired property. Second, the CPA escalation layer was implemented as keyword matching rather than a classifier because keyword matching provides interpretable, auditable, and reliable behavior on a small set of high-stakes topics. A classifier trained on limited data would introduce false negative risk that is unacceptable in this domain. Third, the SPT Calculator was implemented without LLM involvement because mathematical determinism is achievable and should be used when available. Using an LLM for a calculation that has a single correct answer introduces unnecessary variance.</w:t>
      </w:r>
    </w:p>
    <w:p>
      <w:pPr>
        <w:spacing w:after="80" w:before="0"/>
      </w:pPr>
      <w:r>
        <w:t xml:space="preserve"/>
      </w:r>
    </w:p>
    <w:p>
      <w:pPr>
        <w:pStyle w:val="Heading2"/>
        <w:spacing w:after="120" w:before="240"/>
      </w:pPr>
      <w:r>
        <w:rPr>
          <w:rFonts w:ascii="Arial" w:cs="Arial" w:eastAsia="Arial" w:hAnsi="Arial"/>
          <w:b/>
          <w:bCs/>
          <w:color w:val="1A56DB"/>
          <w:sz w:val="28"/>
          <w:szCs w:val="28"/>
        </w:rPr>
        <w:t xml:space="preserve">5.3 Limitations</w:t>
      </w:r>
    </w:p>
    <w:p>
      <w:pPr>
        <w:pStyle w:val="ListParagraph"/>
        <w:numPr>
          <w:ilvl w:val="0"/>
          <w:numId w:val="2"/>
        </w:numPr>
        <w:spacing w:after="40" w:before="40"/>
      </w:pPr>
      <w:r>
        <w:rPr>
          <w:rFonts w:ascii="Arial" w:cs="Arial" w:eastAsia="Arial" w:hAnsi="Arial"/>
          <w:color w:val="1E293B"/>
          <w:sz w:val="22"/>
          <w:szCs w:val="22"/>
        </w:rPr>
        <w:t xml:space="preserve">Retrieval accuracy of 80% means approximately 1 in 5 queries may retrieve suboptimal source documents, potentially affecting answer quality</w:t>
      </w:r>
    </w:p>
    <w:p>
      <w:pPr>
        <w:pStyle w:val="ListParagraph"/>
        <w:numPr>
          <w:ilvl w:val="0"/>
          <w:numId w:val="2"/>
        </w:numPr>
        <w:spacing w:after="40" w:before="40"/>
      </w:pPr>
      <w:r>
        <w:rPr>
          <w:rFonts w:ascii="Arial" w:cs="Arial" w:eastAsia="Arial" w:hAnsi="Arial"/>
          <w:color w:val="1E293B"/>
          <w:sz w:val="22"/>
          <w:szCs w:val="22"/>
        </w:rPr>
        <w:t xml:space="preserve">Coverage limited to 7 countries — users from other countries receive guidance only from general IRS publications</w:t>
      </w:r>
    </w:p>
    <w:p>
      <w:pPr>
        <w:pStyle w:val="ListParagraph"/>
        <w:numPr>
          <w:ilvl w:val="0"/>
          <w:numId w:val="2"/>
        </w:numPr>
        <w:spacing w:after="40" w:before="40"/>
      </w:pPr>
      <w:r>
        <w:rPr>
          <w:rFonts w:ascii="Arial" w:cs="Arial" w:eastAsia="Arial" w:hAnsi="Arial"/>
          <w:color w:val="1E293B"/>
          <w:sz w:val="22"/>
          <w:szCs w:val="22"/>
        </w:rPr>
        <w:t xml:space="preserve">No state tax guidance — all state-level questions are escalated to CPA</w:t>
      </w:r>
    </w:p>
    <w:p>
      <w:pPr>
        <w:pStyle w:val="ListParagraph"/>
        <w:numPr>
          <w:ilvl w:val="0"/>
          <w:numId w:val="2"/>
        </w:numPr>
        <w:spacing w:after="40" w:before="40"/>
      </w:pPr>
      <w:r>
        <w:rPr>
          <w:rFonts w:ascii="Arial" w:cs="Arial" w:eastAsia="Arial" w:hAnsi="Arial"/>
          <w:color w:val="1E293B"/>
          <w:sz w:val="22"/>
          <w:szCs w:val="22"/>
        </w:rPr>
        <w:t xml:space="preserve">Knowledge base requires annual manual update as IRS publications are revised</w:t>
      </w:r>
    </w:p>
    <w:p>
      <w:pPr>
        <w:pStyle w:val="ListParagraph"/>
        <w:numPr>
          <w:ilvl w:val="0"/>
          <w:numId w:val="2"/>
        </w:numPr>
        <w:spacing w:after="40" w:before="40"/>
      </w:pPr>
      <w:r>
        <w:rPr>
          <w:rFonts w:ascii="Arial" w:cs="Arial" w:eastAsia="Arial" w:hAnsi="Arial"/>
          <w:color w:val="1E293B"/>
          <w:sz w:val="22"/>
          <w:szCs w:val="22"/>
        </w:rPr>
        <w:t xml:space="preserve">Test battery size (n=10 retrieval, n=5 escalation, n=3 calculator) is demonstration-grade, not production-grade validation</w:t>
      </w:r>
    </w:p>
    <w:p>
      <w:pPr>
        <w:pStyle w:val="ListParagraph"/>
        <w:numPr>
          <w:ilvl w:val="0"/>
          <w:numId w:val="2"/>
        </w:numPr>
        <w:spacing w:after="40" w:before="40"/>
      </w:pPr>
      <w:r>
        <w:rPr>
          <w:rFonts w:ascii="Arial" w:cs="Arial" w:eastAsia="Arial" w:hAnsi="Arial"/>
          <w:color w:val="1E293B"/>
          <w:sz w:val="22"/>
          <w:szCs w:val="22"/>
        </w:rPr>
        <w:t xml:space="preserve">LLM-as-judge evaluation uses the same model family as the evaluated system, introducing potential self-consistency bias</w:t>
      </w:r>
    </w:p>
    <w:p>
      <w:r>
        <w:br w:type="page"/>
      </w:r>
    </w:p>
    <w:p>
      <w:pPr>
        <w:pStyle w:val="Heading1"/>
        <w:pBdr>
          <w:bottom w:val="single" w:color="1A56DB" w:sz="8" w:space="4"/>
        </w:pBdr>
        <w:spacing w:after="160" w:before="360"/>
      </w:pPr>
      <w:r>
        <w:rPr>
          <w:rFonts w:ascii="Arial" w:cs="Arial" w:eastAsia="Arial" w:hAnsi="Arial"/>
          <w:b/>
          <w:bCs/>
          <w:color w:val="0F2044"/>
          <w:sz w:val="36"/>
          <w:szCs w:val="36"/>
        </w:rPr>
        <w:t xml:space="preserve">6. Ethical Considerations</w:t>
      </w:r>
    </w:p>
    <w:p>
      <w:pPr>
        <w:pStyle w:val="Heading2"/>
        <w:spacing w:after="120" w:before="240"/>
      </w:pPr>
      <w:r>
        <w:rPr>
          <w:rFonts w:ascii="Arial" w:cs="Arial" w:eastAsia="Arial" w:hAnsi="Arial"/>
          <w:b/>
          <w:bCs/>
          <w:color w:val="1A56DB"/>
          <w:sz w:val="28"/>
          <w:szCs w:val="28"/>
        </w:rPr>
        <w:t xml:space="preserve">6.1 Hallucination Risk</w:t>
      </w:r>
    </w:p>
    <w:p>
      <w:pPr>
        <w:spacing w:after="80" w:before="60"/>
        <w:jc w:val="both"/>
      </w:pPr>
      <w:r>
        <w:rPr>
          <w:rFonts w:ascii="Arial" w:cs="Arial" w:eastAsia="Arial" w:hAnsi="Arial"/>
          <w:color w:val="1E293B"/>
          <w:sz w:val="22"/>
          <w:szCs w:val="22"/>
        </w:rPr>
        <w:t xml:space="preserve">Tax misinformation can result in IRS penalties, audits, missed refunds, or incorrect filing status. The citation-mandatory architecture, temperature=0.0 setting, and context-only system prompt collectively minimize but do not eliminate hallucination risk. Every response includes a disclaimer: this tool provides general tax information and is not a substitute for professional tax advice.</w:t>
      </w:r>
    </w:p>
    <w:p>
      <w:pPr>
        <w:spacing w:after="80" w:before="0"/>
      </w:pPr>
      <w:r>
        <w:t xml:space="preserve"/>
      </w:r>
    </w:p>
    <w:p>
      <w:pPr>
        <w:pStyle w:val="Heading2"/>
        <w:spacing w:after="120" w:before="240"/>
      </w:pPr>
      <w:r>
        <w:rPr>
          <w:rFonts w:ascii="Arial" w:cs="Arial" w:eastAsia="Arial" w:hAnsi="Arial"/>
          <w:b/>
          <w:bCs/>
          <w:color w:val="1A56DB"/>
          <w:sz w:val="28"/>
          <w:szCs w:val="28"/>
        </w:rPr>
        <w:t xml:space="preserve">6.2 Scope Limitation</w:t>
      </w:r>
    </w:p>
    <w:p>
      <w:pPr>
        <w:spacing w:after="80" w:before="60"/>
        <w:jc w:val="both"/>
      </w:pPr>
      <w:r>
        <w:rPr>
          <w:rFonts w:ascii="Arial" w:cs="Arial" w:eastAsia="Arial" w:hAnsi="Arial"/>
          <w:color w:val="1E293B"/>
          <w:sz w:val="22"/>
          <w:szCs w:val="22"/>
        </w:rPr>
        <w:t xml:space="preserve">The 24-keyword CPA escalation layer ensures that complex topics beyond the system’s reliable scope are redirected to licensed professionals. This design prioritizes user safety over system completeness. A system that refuses 10% of questions is preferable to one that answers all questions with varying reliability in a high-stakes domain.</w:t>
      </w:r>
    </w:p>
    <w:p>
      <w:pPr>
        <w:spacing w:after="80" w:before="0"/>
      </w:pPr>
      <w:r>
        <w:t xml:space="preserve"/>
      </w:r>
    </w:p>
    <w:p>
      <w:pPr>
        <w:pStyle w:val="Heading2"/>
        <w:spacing w:after="120" w:before="240"/>
      </w:pPr>
      <w:r>
        <w:rPr>
          <w:rFonts w:ascii="Arial" w:cs="Arial" w:eastAsia="Arial" w:hAnsi="Arial"/>
          <w:b/>
          <w:bCs/>
          <w:color w:val="1A56DB"/>
          <w:sz w:val="28"/>
          <w:szCs w:val="28"/>
        </w:rPr>
        <w:t xml:space="preserve">6.3 Geographic Bias</w:t>
      </w:r>
    </w:p>
    <w:p>
      <w:pPr>
        <w:spacing w:after="80" w:before="60"/>
        <w:jc w:val="both"/>
      </w:pPr>
      <w:r>
        <w:rPr>
          <w:rFonts w:ascii="Arial" w:cs="Arial" w:eastAsia="Arial" w:hAnsi="Arial"/>
          <w:color w:val="1E293B"/>
          <w:sz w:val="22"/>
          <w:szCs w:val="22"/>
        </w:rPr>
        <w:t xml:space="preserve">The knowledge base covers 7 countries representing the largest international student populations in the US. Users from other countries receive guidance based only on general IRS publications, which may miss country-specific treaty benefits. This limitation is documented in the system interface and in this report.</w:t>
      </w:r>
    </w:p>
    <w:p>
      <w:pPr>
        <w:spacing w:after="80" w:before="0"/>
      </w:pPr>
      <w:r>
        <w:t xml:space="preserve"/>
      </w:r>
    </w:p>
    <w:p>
      <w:pPr>
        <w:pStyle w:val="Heading2"/>
        <w:spacing w:after="120" w:before="240"/>
      </w:pPr>
      <w:r>
        <w:rPr>
          <w:rFonts w:ascii="Arial" w:cs="Arial" w:eastAsia="Arial" w:hAnsi="Arial"/>
          <w:b/>
          <w:bCs/>
          <w:color w:val="1A56DB"/>
          <w:sz w:val="28"/>
          <w:szCs w:val="28"/>
        </w:rPr>
        <w:t xml:space="preserve">6.4 Privacy</w:t>
      </w:r>
    </w:p>
    <w:p>
      <w:pPr>
        <w:spacing w:after="80" w:before="60"/>
        <w:jc w:val="both"/>
      </w:pPr>
      <w:r>
        <w:rPr>
          <w:rFonts w:ascii="Arial" w:cs="Arial" w:eastAsia="Arial" w:hAnsi="Arial"/>
          <w:color w:val="1E293B"/>
          <w:sz w:val="22"/>
          <w:szCs w:val="22"/>
        </w:rPr>
        <w:t xml:space="preserve">No user data is stored or logged. All conversation sessions are ephemeral and cleared on page refresh. No personally identifiable information is collected, processed, or retained beyond the duration of a single session.</w:t>
      </w:r>
    </w:p>
    <w:p>
      <w:pPr>
        <w:spacing w:after="80" w:before="0"/>
      </w:pPr>
      <w:r>
        <w:t xml:space="preserve"/>
      </w:r>
    </w:p>
    <w:p>
      <w:pPr>
        <w:pStyle w:val="Heading2"/>
        <w:spacing w:after="120" w:before="240"/>
      </w:pPr>
      <w:r>
        <w:rPr>
          <w:rFonts w:ascii="Arial" w:cs="Arial" w:eastAsia="Arial" w:hAnsi="Arial"/>
          <w:b/>
          <w:bCs/>
          <w:color w:val="1A56DB"/>
          <w:sz w:val="28"/>
          <w:szCs w:val="28"/>
        </w:rPr>
        <w:t xml:space="preserve">6.5 Copyright</w:t>
      </w:r>
    </w:p>
    <w:p>
      <w:pPr>
        <w:spacing w:after="80" w:before="60"/>
        <w:jc w:val="both"/>
      </w:pPr>
      <w:r>
        <w:rPr>
          <w:rFonts w:ascii="Arial" w:cs="Arial" w:eastAsia="Arial" w:hAnsi="Arial"/>
          <w:color w:val="1E293B"/>
          <w:sz w:val="22"/>
          <w:szCs w:val="22"/>
        </w:rPr>
        <w:t xml:space="preserve">All 23 IRS PDF documents are U.S. government publications in the public domain per 17 U.S.C. § 105. IRS HTML pages are publicly accessible. No proprietary content is reproduced in the knowledge base.</w:t>
      </w:r>
    </w:p>
    <w:p>
      <w:r>
        <w:br w:type="page"/>
      </w:r>
    </w:p>
    <w:p>
      <w:pPr>
        <w:pStyle w:val="Heading1"/>
        <w:pBdr>
          <w:bottom w:val="single" w:color="1A56DB" w:sz="8" w:space="4"/>
        </w:pBdr>
        <w:spacing w:after="160" w:before="360"/>
      </w:pPr>
      <w:r>
        <w:rPr>
          <w:rFonts w:ascii="Arial" w:cs="Arial" w:eastAsia="Arial" w:hAnsi="Arial"/>
          <w:b/>
          <w:bCs/>
          <w:color w:val="0F2044"/>
          <w:sz w:val="36"/>
          <w:szCs w:val="36"/>
        </w:rPr>
        <w:t xml:space="preserve">7. Future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tcBorders>
              <w:top w:val="single" w:color="CBD5E1" w:sz="4"/>
              <w:left w:val="single" w:color="CBD5E1" w:sz="4"/>
              <w:bottom w:val="single" w:color="CBD5E1" w:sz="4"/>
              <w:right w:val="single" w:color="CBD5E1"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4500"/>
            <w:tcBorders>
              <w:top w:val="single" w:color="CBD5E1" w:sz="4"/>
              <w:left w:val="single" w:color="CBD5E1" w:sz="4"/>
              <w:bottom w:val="single" w:color="CBD5E1" w:sz="4"/>
              <w:right w:val="single" w:color="CBD5E1"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c>
          <w:tcPr>
            <w:tcW w:type="dxa" w:w="3660"/>
            <w:tcBorders>
              <w:top w:val="single" w:color="CBD5E1" w:sz="4"/>
              <w:left w:val="single" w:color="CBD5E1" w:sz="4"/>
              <w:bottom w:val="single" w:color="CBD5E1" w:sz="4"/>
              <w:right w:val="single" w:color="CBD5E1" w:sz="4"/>
            </w:tcBorders>
            <w:shd w:fill="0F2044" w:val="clear"/>
            <w:tcMar>
              <w:top w:type="dxa" w:w="80"/>
              <w:left w:type="dxa" w:w="120"/>
              <w:bottom w:type="dxa" w:w="80"/>
              <w:right w:type="dxa" w:w="120"/>
            </w:tcMar>
          </w:tcPr>
          <w:p>
            <w:r>
              <w:rPr>
                <w:rFonts w:ascii="Arial" w:cs="Arial" w:eastAsia="Arial" w:hAnsi="Arial"/>
                <w:b/>
                <w:bCs/>
                <w:color w:val="FFFFFF"/>
                <w:sz w:val="20"/>
                <w:szCs w:val="20"/>
              </w:rPr>
              <w:t xml:space="preserve">Expected Impact</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4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Expand treaty coverage to 50+ countries (currently 7)</w:t>
            </w:r>
          </w:p>
        </w:tc>
        <w:tc>
          <w:tcPr>
            <w:tcW w:type="dxa" w:w="36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Substantially expands addressable user base</w:t>
            </w:r>
          </w:p>
        </w:tc>
      </w:tr>
      <w:tr>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4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Automated annual IRS publication re-indexing pipeline</w:t>
            </w:r>
          </w:p>
        </w:tc>
        <w:tc>
          <w:tcPr>
            <w:tcW w:type="dxa" w:w="36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Maintains knowledge base currency without manual effort</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High</w:t>
            </w:r>
          </w:p>
        </w:tc>
        <w:tc>
          <w:tcPr>
            <w:tcW w:type="dxa" w:w="4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Fix fellowship income retrieval — 1042-S semantic enrichment</w:t>
            </w:r>
          </w:p>
        </w:tc>
        <w:tc>
          <w:tcPr>
            <w:tcW w:type="dxa" w:w="36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Eliminates one of two known retrieval misses</w:t>
            </w:r>
          </w:p>
        </w:tc>
      </w:tr>
      <w:tr>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4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Form auto-fill: pre-populate 1040-NR fields from conversation</w:t>
            </w:r>
          </w:p>
        </w:tc>
        <w:tc>
          <w:tcPr>
            <w:tcW w:type="dxa" w:w="36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Significant UX improvement for filing preparation</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4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Multi-language support: Hindi, Mandarin, Korean, Spanish</w:t>
            </w:r>
          </w:p>
        </w:tc>
        <w:tc>
          <w:tcPr>
            <w:tcW w:type="dxa" w:w="36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Removes language barrier for non-English speakers</w:t>
            </w:r>
          </w:p>
        </w:tc>
      </w:tr>
      <w:tr>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Medium</w:t>
            </w:r>
          </w:p>
        </w:tc>
        <w:tc>
          <w:tcPr>
            <w:tcW w:type="dxa" w:w="4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Production-grade validation: n≥100 queries, blind evaluation</w:t>
            </w:r>
          </w:p>
        </w:tc>
        <w:tc>
          <w:tcPr>
            <w:tcW w:type="dxa" w:w="36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Establishes statistical confidence in accuracy claims</w:t>
            </w:r>
          </w:p>
        </w:tc>
      </w:tr>
      <w:tr>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4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Dual-status return guidance with CPA oversight layer</w:t>
            </w:r>
          </w:p>
        </w:tc>
        <w:tc>
          <w:tcPr>
            <w:tcW w:type="dxa" w:w="36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r>
              <w:rPr>
                <w:rFonts w:ascii="Arial" w:cs="Arial" w:eastAsia="Arial" w:hAnsi="Arial"/>
                <w:color w:val="1E293B"/>
                <w:sz w:val="20"/>
                <w:szCs w:val="20"/>
              </w:rPr>
              <w:t xml:space="preserve">Covers complex H-1B visa transition year scenario</w:t>
            </w:r>
          </w:p>
        </w:tc>
      </w:tr>
      <w:tr>
        <w:tc>
          <w:tcPr>
            <w:tcW w:type="dxa" w:w="1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Low</w:t>
            </w:r>
          </w:p>
        </w:tc>
        <w:tc>
          <w:tcPr>
            <w:tcW w:type="dxa" w:w="4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State tax guidance for high-volume states (CA, NY, TX, MA)</w:t>
            </w:r>
          </w:p>
        </w:tc>
        <w:tc>
          <w:tcPr>
            <w:tcW w:type="dxa" w:w="366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r>
              <w:rPr>
                <w:rFonts w:ascii="Arial" w:cs="Arial" w:eastAsia="Arial" w:hAnsi="Arial"/>
                <w:color w:val="1E293B"/>
                <w:sz w:val="20"/>
                <w:szCs w:val="20"/>
              </w:rPr>
              <w:t xml:space="preserve">Covers most common student locations</w:t>
            </w:r>
          </w:p>
        </w:tc>
      </w:tr>
    </w:tbl>
    <w:p>
      <w:r>
        <w:br w:type="page"/>
      </w:r>
    </w:p>
    <w:p>
      <w:pPr>
        <w:pStyle w:val="Heading1"/>
        <w:pBdr>
          <w:bottom w:val="single" w:color="1A56DB" w:sz="8" w:space="4"/>
        </w:pBdr>
        <w:spacing w:after="160" w:before="360"/>
      </w:pPr>
      <w:r>
        <w:rPr>
          <w:rFonts w:ascii="Arial" w:cs="Arial" w:eastAsia="Arial" w:hAnsi="Arial"/>
          <w:b/>
          <w:bCs/>
          <w:color w:val="0F2044"/>
          <w:sz w:val="36"/>
          <w:szCs w:val="36"/>
        </w:rPr>
        <w:t xml:space="preserve">8. Conclusion</w:t>
      </w:r>
    </w:p>
    <w:p>
      <w:pPr>
        <w:spacing w:after="80" w:before="60"/>
        <w:jc w:val="both"/>
      </w:pPr>
      <w:r>
        <w:rPr>
          <w:rFonts w:ascii="Arial" w:cs="Arial" w:eastAsia="Arial" w:hAnsi="Arial"/>
          <w:color w:val="1E293B"/>
          <w:sz w:val="22"/>
          <w:szCs w:val="22"/>
        </w:rPr>
        <w:t xml:space="preserve">This paper presented the Immigrant Tax Filing Assistant, a RAG system that addresses a genuine information asymmetry faced by over 1.6 million international students and workers in the United States. The system demonstrates that profile-aware retrieval with signal-based re-ranking, combined with citation-mandatory prompt engineering and deterministic escalation, can produce reliable tax guidance from a curated corpus of IRS publications.</w:t>
      </w:r>
    </w:p>
    <w:p>
      <w:pPr>
        <w:spacing w:after="80" w:before="0"/>
      </w:pPr>
      <w:r>
        <w:t xml:space="preserve"/>
      </w:r>
    </w:p>
    <w:p>
      <w:pPr>
        <w:spacing w:after="80" w:before="60"/>
        <w:jc w:val="both"/>
      </w:pPr>
      <w:r>
        <w:rPr>
          <w:rFonts w:ascii="Arial" w:cs="Arial" w:eastAsia="Arial" w:hAnsi="Arial"/>
          <w:color w:val="1E293B"/>
          <w:sz w:val="22"/>
          <w:szCs w:val="22"/>
        </w:rPr>
        <w:t xml:space="preserve">The key technical contributions are the 9-category re-ranking layer that improved retrieval accuracy from 40% to 80%, the topic enrichment methodology for bridging vocabulary gaps between user queries and formal regulatory language, and the dual-source knowledge base combining PDF and HTML sources to address different aspects of the retrieval problem.</w:t>
      </w:r>
    </w:p>
    <w:p>
      <w:pPr>
        <w:spacing w:after="80" w:before="0"/>
      </w:pPr>
      <w:r>
        <w:t xml:space="preserve"/>
      </w:r>
    </w:p>
    <w:p>
      <w:pPr>
        <w:spacing w:after="80" w:before="60"/>
        <w:jc w:val="both"/>
      </w:pPr>
      <w:r>
        <w:rPr>
          <w:rFonts w:ascii="Arial" w:cs="Arial" w:eastAsia="Arial" w:hAnsi="Arial"/>
          <w:color w:val="1E293B"/>
          <w:sz w:val="22"/>
          <w:szCs w:val="22"/>
        </w:rPr>
        <w:t xml:space="preserve">The key architectural contributions are the CPA escalation layer achieving 100% precision on out-of-scope query detection, the separation of mathematical computation into a deterministic SPT calculator without LLM involvement, and the LLM-as-judge evaluation methodology that enables RAG system assessment without OpenAI dependency.</w:t>
      </w:r>
    </w:p>
    <w:p>
      <w:pPr>
        <w:spacing w:after="80" w:before="0"/>
      </w:pPr>
      <w:r>
        <w:t xml:space="preserve"/>
      </w:r>
    </w:p>
    <w:p>
      <w:pPr>
        <w:spacing w:after="80" w:before="60"/>
        <w:jc w:val="both"/>
      </w:pPr>
      <w:r>
        <w:rPr>
          <w:rFonts w:ascii="Arial" w:cs="Arial" w:eastAsia="Arial" w:hAnsi="Arial"/>
          <w:color w:val="1E293B"/>
          <w:sz w:val="22"/>
          <w:szCs w:val="22"/>
        </w:rPr>
        <w:t xml:space="preserve">The system is deployed live at huggingface.co/spaces/pshah8011/immigrant-tax-assistant with source code available at github.com/shahparamk/immigrant-tax-assistant.</w:t>
      </w:r>
    </w:p>
    <w:p>
      <w:r>
        <w:br w:type="page"/>
      </w:r>
    </w:p>
    <w:p>
      <w:pPr>
        <w:pStyle w:val="Heading1"/>
        <w:pBdr>
          <w:bottom w:val="single" w:color="1A56DB" w:sz="8" w:space="4"/>
        </w:pBdr>
        <w:spacing w:after="160" w:before="360"/>
      </w:pPr>
      <w:r>
        <w:rPr>
          <w:rFonts w:ascii="Arial" w:cs="Arial" w:eastAsia="Arial" w:hAnsi="Arial"/>
          <w:b/>
          <w:bCs/>
          <w:color w:val="0F2044"/>
          <w:sz w:val="36"/>
          <w:szCs w:val="36"/>
        </w:rPr>
        <w:t xml:space="preserve">References</w:t>
      </w:r>
    </w:p>
    <w:p>
      <w:pPr>
        <w:spacing w:after="80" w:before="60"/>
        <w:jc w:val="both"/>
      </w:pPr>
      <w:r>
        <w:rPr>
          <w:rFonts w:ascii="Arial" w:cs="Arial" w:eastAsia="Arial" w:hAnsi="Arial"/>
          <w:color w:val="1E293B"/>
          <w:sz w:val="22"/>
          <w:szCs w:val="22"/>
        </w:rPr>
        <w:t xml:space="preserve">Bai, Y., Jones, A., Ndousse, K., et al. (2022). Constitutional AI: Harmlessness from AI Feedback. arXiv preprint arXiv:2212.08073.</w:t>
      </w:r>
    </w:p>
    <w:p>
      <w:pPr>
        <w:spacing w:after="80" w:before="0"/>
      </w:pPr>
      <w:r>
        <w:t xml:space="preserve"/>
      </w:r>
    </w:p>
    <w:p>
      <w:pPr>
        <w:spacing w:after="80" w:before="60"/>
        <w:jc w:val="both"/>
      </w:pPr>
      <w:r>
        <w:rPr>
          <w:rFonts w:ascii="Arial" w:cs="Arial" w:eastAsia="Arial" w:hAnsi="Arial"/>
          <w:color w:val="1E293B"/>
          <w:sz w:val="22"/>
          <w:szCs w:val="22"/>
        </w:rPr>
        <w:t xml:space="preserve">Cui, J., Li, Z., Yan, L., et al. (2023). ChatLaw: Open-Source Legal Large Language Model with Integrated External Knowledge Bases. arXiv preprint arXiv:2306.16092.</w:t>
      </w:r>
    </w:p>
    <w:p>
      <w:pPr>
        <w:spacing w:after="80" w:before="0"/>
      </w:pPr>
      <w:r>
        <w:t xml:space="preserve"/>
      </w:r>
    </w:p>
    <w:p>
      <w:pPr>
        <w:spacing w:after="80" w:before="60"/>
        <w:jc w:val="both"/>
      </w:pPr>
      <w:r>
        <w:rPr>
          <w:rFonts w:ascii="Arial" w:cs="Arial" w:eastAsia="Arial" w:hAnsi="Arial"/>
          <w:color w:val="1E293B"/>
          <w:sz w:val="22"/>
          <w:szCs w:val="22"/>
        </w:rPr>
        <w:t xml:space="preserve">Guu, K., Lee, K., Tung, Z., Pasupat, P., &amp; Chang, M. (2020). Retrieval Augmented Language Model Pre-Training. Proceedings of the 37th International Conference on Machine Learning (ICML 2020).</w:t>
      </w:r>
    </w:p>
    <w:p>
      <w:pPr>
        <w:spacing w:after="80" w:before="0"/>
      </w:pPr>
      <w:r>
        <w:t xml:space="preserve"/>
      </w:r>
    </w:p>
    <w:p>
      <w:pPr>
        <w:spacing w:after="80" w:before="60"/>
        <w:jc w:val="both"/>
      </w:pPr>
      <w:r>
        <w:rPr>
          <w:rFonts w:ascii="Arial" w:cs="Arial" w:eastAsia="Arial" w:hAnsi="Arial"/>
          <w:color w:val="1E293B"/>
          <w:sz w:val="22"/>
          <w:szCs w:val="22"/>
        </w:rPr>
        <w:t xml:space="preserve">Hendrycks, D., Burns, C., Basart, S., et al. (2021). Aligning AI With Shared Human Values. arXiv preprint arXiv:2008.02275.</w:t>
      </w:r>
    </w:p>
    <w:p>
      <w:pPr>
        <w:spacing w:after="80" w:before="0"/>
      </w:pPr>
      <w:r>
        <w:t xml:space="preserve"/>
      </w:r>
    </w:p>
    <w:p>
      <w:pPr>
        <w:spacing w:after="80" w:before="60"/>
        <w:jc w:val="both"/>
      </w:pPr>
      <w:r>
        <w:rPr>
          <w:rFonts w:ascii="Arial" w:cs="Arial" w:eastAsia="Arial" w:hAnsi="Arial"/>
          <w:color w:val="1E293B"/>
          <w:sz w:val="22"/>
          <w:szCs w:val="22"/>
        </w:rPr>
        <w:t xml:space="preserve">Internal Revenue Service. (2024). Publication 519: U.S. Tax Guide for Aliens. U.S. Department of the Treasury.</w:t>
      </w:r>
    </w:p>
    <w:p>
      <w:pPr>
        <w:spacing w:after="80" w:before="0"/>
      </w:pPr>
      <w:r>
        <w:t xml:space="preserve"/>
      </w:r>
    </w:p>
    <w:p>
      <w:pPr>
        <w:spacing w:after="80" w:before="60"/>
        <w:jc w:val="both"/>
      </w:pPr>
      <w:r>
        <w:rPr>
          <w:rFonts w:ascii="Arial" w:cs="Arial" w:eastAsia="Arial" w:hAnsi="Arial"/>
          <w:color w:val="1E293B"/>
          <w:sz w:val="22"/>
          <w:szCs w:val="22"/>
        </w:rPr>
        <w:t xml:space="preserve">Internal Revenue Service. (2024). Publication 901: U.S. Tax Treaties. U.S. Department of the Treasury.</w:t>
      </w:r>
    </w:p>
    <w:p>
      <w:pPr>
        <w:spacing w:after="80" w:before="0"/>
      </w:pPr>
      <w:r>
        <w:t xml:space="preserve"/>
      </w:r>
    </w:p>
    <w:p>
      <w:pPr>
        <w:spacing w:after="80" w:before="60"/>
        <w:jc w:val="both"/>
      </w:pPr>
      <w:r>
        <w:rPr>
          <w:rFonts w:ascii="Arial" w:cs="Arial" w:eastAsia="Arial" w:hAnsi="Arial"/>
          <w:color w:val="1E293B"/>
          <w:sz w:val="22"/>
          <w:szCs w:val="22"/>
        </w:rPr>
        <w:t xml:space="preserve">Izacard, G., &amp; Grave, E. (2021). Leveraging Passage Retrieval with Generative Models for Open Domain Question Answering. Proceedings of EACL 2021.</w:t>
      </w:r>
    </w:p>
    <w:p>
      <w:pPr>
        <w:spacing w:after="80" w:before="0"/>
      </w:pPr>
      <w:r>
        <w:t xml:space="preserve"/>
      </w:r>
    </w:p>
    <w:p>
      <w:pPr>
        <w:spacing w:after="80" w:before="60"/>
        <w:jc w:val="both"/>
      </w:pPr>
      <w:r>
        <w:rPr>
          <w:rFonts w:ascii="Arial" w:cs="Arial" w:eastAsia="Arial" w:hAnsi="Arial"/>
          <w:color w:val="1E293B"/>
          <w:sz w:val="22"/>
          <w:szCs w:val="22"/>
        </w:rPr>
        <w:t xml:space="preserve">Lewis, P., Perez, E., Piktus, A., et al. (2020). Retrieval-Augmented Generation for Knowledge-Intensive NLP Tasks. Advances in Neural Information Processing Systems (NeurIPS 2020).</w:t>
      </w:r>
    </w:p>
    <w:p>
      <w:pPr>
        <w:spacing w:after="80" w:before="0"/>
      </w:pPr>
      <w:r>
        <w:t xml:space="preserve"/>
      </w:r>
    </w:p>
    <w:p>
      <w:pPr>
        <w:spacing w:after="80" w:before="60"/>
        <w:jc w:val="both"/>
      </w:pPr>
      <w:r>
        <w:rPr>
          <w:rFonts w:ascii="Arial" w:cs="Arial" w:eastAsia="Arial" w:hAnsi="Arial"/>
          <w:color w:val="1E293B"/>
          <w:sz w:val="22"/>
          <w:szCs w:val="22"/>
        </w:rPr>
        <w:t xml:space="preserve">Wang, L., Yang, N., Huang, X., et al. (2023). Query2Doc: Query Expansion with Large Language Models. arXiv preprint arXiv:2303.07678.</w:t>
      </w:r>
    </w:p>
    <w:p>
      <w:pPr>
        <w:spacing w:after="80" w:before="0"/>
      </w:pPr>
      <w:r>
        <w:t xml:space="preserve"/>
      </w:r>
    </w:p>
    <w:p>
      <w:pPr>
        <w:spacing w:after="80" w:before="60"/>
        <w:jc w:val="both"/>
      </w:pPr>
      <w:r>
        <w:rPr>
          <w:rFonts w:ascii="Arial" w:cs="Arial" w:eastAsia="Arial" w:hAnsi="Arial"/>
          <w:color w:val="1E293B"/>
          <w:sz w:val="22"/>
          <w:szCs w:val="22"/>
        </w:rPr>
        <w:t xml:space="preserve">Weidinger, L., Mellor, J., Rauh, M., et al. (2022). Taxonomy of Risks posed by Language Models. Proceedings of FAccT 2022.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F204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56D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0F20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2026-04-24T23:26:54.073Z</dcterms:created>
  <dcterms:modified xsi:type="dcterms:W3CDTF">2026-04-24T23:26:54.074Z</dcterms:modified>
</cp:coreProperties>
</file>

<file path=docProps/custom.xml><?xml version="1.0" encoding="utf-8"?>
<Properties xmlns="http://schemas.openxmlformats.org/officeDocument/2006/custom-properties" xmlns:vt="http://schemas.openxmlformats.org/officeDocument/2006/docPropsVTypes"/>
</file>