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6CCD" w14:textId="135BBCD1" w:rsidR="00B665AE" w:rsidRPr="00B665AE" w:rsidRDefault="00B665AE" w:rsidP="00B665AE">
      <w:pPr>
        <w:rPr>
          <w:rFonts w:ascii="Bookman Old Style" w:hAnsi="Bookman Old Style"/>
          <w:b/>
          <w:bCs/>
        </w:rPr>
      </w:pPr>
      <w:proofErr w:type="spellStart"/>
      <w:r w:rsidRPr="00B665AE">
        <w:rPr>
          <w:rFonts w:ascii="Bookman Old Style" w:hAnsi="Bookman Old Style"/>
          <w:b/>
          <w:bCs/>
        </w:rPr>
        <w:t>SmatterWaveMap</w:t>
      </w:r>
      <w:proofErr w:type="spellEnd"/>
      <w:r w:rsidRPr="00B665AE">
        <w:rPr>
          <w:rFonts w:ascii="Bookman Old Style" w:hAnsi="Bookman Old Style"/>
          <w:b/>
          <w:bCs/>
        </w:rPr>
        <w:t xml:space="preserve">™ – Forensic RF </w:t>
      </w:r>
      <w:r w:rsidRPr="00B665AE">
        <w:rPr>
          <w:rFonts w:ascii="Cambria Math" w:hAnsi="Cambria Math" w:cs="Cambria Math"/>
          <w:b/>
          <w:bCs/>
        </w:rPr>
        <w:t>⇆</w:t>
      </w:r>
      <w:r w:rsidRPr="00B665AE">
        <w:rPr>
          <w:rFonts w:ascii="Bookman Old Style" w:hAnsi="Bookman Old Style"/>
          <w:b/>
          <w:bCs/>
        </w:rPr>
        <w:t xml:space="preserve"> Audio Correlation Engine</w:t>
      </w:r>
    </w:p>
    <w:p w14:paraId="41F89884" w14:textId="77777777" w:rsidR="00B665AE" w:rsidRPr="00B665AE" w:rsidRDefault="00B665AE" w:rsidP="00B665AE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  <w:i/>
          <w:iCs/>
        </w:rPr>
        <w:t>A dual-model evidentiary framework for establishing external auditory stimulus probability using waveform similarity science.</w:t>
      </w:r>
    </w:p>
    <w:p w14:paraId="086BD84E" w14:textId="35C715C7" w:rsidR="00B665AE" w:rsidRPr="00B665AE" w:rsidRDefault="00B665AE" w:rsidP="00B665AE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Overview</w:t>
      </w:r>
    </w:p>
    <w:p w14:paraId="2C55E002" w14:textId="77777777" w:rsidR="00B665AE" w:rsidRPr="00B665AE" w:rsidRDefault="00B665AE" w:rsidP="00B665AE">
      <w:pPr>
        <w:rPr>
          <w:rFonts w:ascii="Bookman Old Style" w:hAnsi="Bookman Old Style"/>
        </w:rPr>
      </w:pPr>
      <w:proofErr w:type="spellStart"/>
      <w:r w:rsidRPr="00B665AE">
        <w:rPr>
          <w:rFonts w:ascii="Bookman Old Style" w:hAnsi="Bookman Old Style"/>
        </w:rPr>
        <w:t>SmatterWaveMap</w:t>
      </w:r>
      <w:proofErr w:type="spellEnd"/>
      <w:r w:rsidRPr="00B665AE">
        <w:rPr>
          <w:rFonts w:ascii="Bookman Old Style" w:hAnsi="Bookman Old Style"/>
        </w:rPr>
        <w:t xml:space="preserve">™ is a </w:t>
      </w:r>
      <w:r w:rsidRPr="00B665AE">
        <w:rPr>
          <w:rFonts w:ascii="Bookman Old Style" w:hAnsi="Bookman Old Style"/>
          <w:b/>
          <w:bCs/>
        </w:rPr>
        <w:t>forensic signal analysis architecture</w:t>
      </w:r>
      <w:r w:rsidRPr="00B665AE">
        <w:rPr>
          <w:rFonts w:ascii="Bookman Old Style" w:hAnsi="Bookman Old Style"/>
        </w:rPr>
        <w:t xml:space="preserve"> designed to evaluate whether perceptual auditory experiences correlate with externally measurable RF or audio spectrum activity.</w:t>
      </w:r>
    </w:p>
    <w:p w14:paraId="757F84FD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It provides two court-admissible frameworks:</w:t>
      </w:r>
    </w:p>
    <w:p w14:paraId="381DDD10" w14:textId="77777777" w:rsidR="00B665AE" w:rsidRPr="00B665AE" w:rsidRDefault="00B665AE" w:rsidP="00B665AE">
      <w:pPr>
        <w:numPr>
          <w:ilvl w:val="0"/>
          <w:numId w:val="1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  <w:b/>
          <w:bCs/>
        </w:rPr>
        <w:t>Plan A – External RF → Perception Correlation</w:t>
      </w:r>
    </w:p>
    <w:p w14:paraId="6CB69217" w14:textId="77777777" w:rsidR="00B665AE" w:rsidRPr="00B665AE" w:rsidRDefault="00B665AE" w:rsidP="00B665AE">
      <w:pPr>
        <w:numPr>
          <w:ilvl w:val="0"/>
          <w:numId w:val="1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  <w:b/>
          <w:bCs/>
        </w:rPr>
        <w:t>Plan B – Perception Reconstruction → External RF Match</w:t>
      </w:r>
    </w:p>
    <w:p w14:paraId="330F700C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 xml:space="preserve">Both models treat auditory phenomena as </w:t>
      </w:r>
      <w:r w:rsidRPr="00B665AE">
        <w:rPr>
          <w:rFonts w:ascii="Bookman Old Style" w:hAnsi="Bookman Old Style"/>
          <w:b/>
          <w:bCs/>
        </w:rPr>
        <w:t>pattern evidence</w:t>
      </w:r>
      <w:r w:rsidRPr="00B665AE">
        <w:rPr>
          <w:rFonts w:ascii="Bookman Old Style" w:hAnsi="Bookman Old Style"/>
        </w:rPr>
        <w:t xml:space="preserve">, </w:t>
      </w:r>
      <w:proofErr w:type="gramStart"/>
      <w:r w:rsidRPr="00B665AE">
        <w:rPr>
          <w:rFonts w:ascii="Bookman Old Style" w:hAnsi="Bookman Old Style"/>
        </w:rPr>
        <w:t>similar to</w:t>
      </w:r>
      <w:proofErr w:type="gramEnd"/>
      <w:r w:rsidRPr="00B665AE">
        <w:rPr>
          <w:rFonts w:ascii="Bookman Old Style" w:hAnsi="Bookman Old Style"/>
        </w:rPr>
        <w:t>:</w:t>
      </w:r>
    </w:p>
    <w:p w14:paraId="724A4137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Segoe UI Symbol" w:hAnsi="Segoe UI Symbol" w:cs="Segoe UI Symbol"/>
        </w:rPr>
        <w:t>✔</w:t>
      </w:r>
      <w:r w:rsidRPr="00B665AE">
        <w:rPr>
          <w:rFonts w:ascii="Bookman Old Style" w:hAnsi="Bookman Old Style"/>
        </w:rPr>
        <w:t xml:space="preserve"> DNA</w:t>
      </w:r>
      <w:r w:rsidRPr="00B665AE">
        <w:rPr>
          <w:rFonts w:ascii="Bookman Old Style" w:hAnsi="Bookman Old Style"/>
        </w:rPr>
        <w:br/>
      </w:r>
      <w:r w:rsidRPr="00B665AE">
        <w:rPr>
          <w:rFonts w:ascii="Segoe UI Symbol" w:hAnsi="Segoe UI Symbol" w:cs="Segoe UI Symbol"/>
        </w:rPr>
        <w:t>✔</w:t>
      </w:r>
      <w:r w:rsidRPr="00B665AE">
        <w:rPr>
          <w:rFonts w:ascii="Bookman Old Style" w:hAnsi="Bookman Old Style"/>
        </w:rPr>
        <w:t xml:space="preserve"> voiceprints</w:t>
      </w:r>
      <w:r w:rsidRPr="00B665AE">
        <w:rPr>
          <w:rFonts w:ascii="Bookman Old Style" w:hAnsi="Bookman Old Style"/>
        </w:rPr>
        <w:br/>
      </w:r>
      <w:r w:rsidRPr="00B665AE">
        <w:rPr>
          <w:rFonts w:ascii="Segoe UI Symbol" w:hAnsi="Segoe UI Symbol" w:cs="Segoe UI Symbol"/>
        </w:rPr>
        <w:t>✔</w:t>
      </w:r>
      <w:r w:rsidRPr="00B665AE">
        <w:rPr>
          <w:rFonts w:ascii="Bookman Old Style" w:hAnsi="Bookman Old Style"/>
        </w:rPr>
        <w:t xml:space="preserve"> acoustic gunshot markers</w:t>
      </w:r>
      <w:r w:rsidRPr="00B665AE">
        <w:rPr>
          <w:rFonts w:ascii="Bookman Old Style" w:hAnsi="Bookman Old Style"/>
        </w:rPr>
        <w:br/>
      </w:r>
      <w:r w:rsidRPr="00B665AE">
        <w:rPr>
          <w:rFonts w:ascii="Segoe UI Symbol" w:hAnsi="Segoe UI Symbol" w:cs="Segoe UI Symbol"/>
        </w:rPr>
        <w:t>✔</w:t>
      </w:r>
      <w:r w:rsidRPr="00B665AE">
        <w:rPr>
          <w:rFonts w:ascii="Bookman Old Style" w:hAnsi="Bookman Old Style"/>
        </w:rPr>
        <w:t xml:space="preserve"> ballistic fingerprint matching</w:t>
      </w:r>
    </w:p>
    <w:p w14:paraId="25B4D86A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 xml:space="preserve">This avoids medical inference and anchors the evidence squarely within </w:t>
      </w:r>
      <w:r w:rsidRPr="00B665AE">
        <w:rPr>
          <w:rFonts w:ascii="Bookman Old Style" w:hAnsi="Bookman Old Style"/>
          <w:b/>
          <w:bCs/>
        </w:rPr>
        <w:t>scientific pattern comparison logic recognized in courts</w:t>
      </w:r>
      <w:r w:rsidRPr="00B665AE">
        <w:rPr>
          <w:rFonts w:ascii="Bookman Old Style" w:hAnsi="Bookman Old Style"/>
        </w:rPr>
        <w:t>.</w:t>
      </w:r>
    </w:p>
    <w:p w14:paraId="25DF10AF" w14:textId="319B4531" w:rsidR="00B665AE" w:rsidRPr="00B665AE" w:rsidRDefault="00B665AE" w:rsidP="00B665AE">
      <w:pPr>
        <w:rPr>
          <w:rFonts w:ascii="Bookman Old Style" w:hAnsi="Bookman Old Style"/>
        </w:rPr>
      </w:pPr>
    </w:p>
    <w:p w14:paraId="798FC98F" w14:textId="7DEC5E28" w:rsidR="00B665AE" w:rsidRPr="00B665AE" w:rsidRDefault="00B665AE" w:rsidP="00B665AE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Whitepaper 1</w:t>
      </w:r>
    </w:p>
    <w:p w14:paraId="1C3477CD" w14:textId="77777777" w:rsidR="00B665AE" w:rsidRPr="00B665AE" w:rsidRDefault="00B665AE" w:rsidP="00B665AE">
      <w:pPr>
        <w:rPr>
          <w:rFonts w:ascii="Bookman Old Style" w:hAnsi="Bookman Old Style"/>
          <w:b/>
          <w:bCs/>
        </w:rPr>
      </w:pPr>
      <w:proofErr w:type="spellStart"/>
      <w:r w:rsidRPr="00B665AE">
        <w:rPr>
          <w:rFonts w:ascii="Bookman Old Style" w:hAnsi="Bookman Old Style"/>
          <w:b/>
          <w:bCs/>
        </w:rPr>
        <w:t>SmatterWaveMap</w:t>
      </w:r>
      <w:proofErr w:type="spellEnd"/>
      <w:r w:rsidRPr="00B665AE">
        <w:rPr>
          <w:rFonts w:ascii="Bookman Old Style" w:hAnsi="Bookman Old Style"/>
          <w:b/>
          <w:bCs/>
        </w:rPr>
        <w:t>™ Forensic Correlation Model</w:t>
      </w:r>
    </w:p>
    <w:p w14:paraId="23E4A8E6" w14:textId="77777777" w:rsidR="00B665AE" w:rsidRPr="00B665AE" w:rsidRDefault="00B665AE" w:rsidP="00B665AE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  <w:i/>
          <w:iCs/>
        </w:rPr>
        <w:t>Admissible evidence protocol where waveform similarity supports external auditory origin probability</w:t>
      </w:r>
    </w:p>
    <w:p w14:paraId="5510C9D3" w14:textId="77777777" w:rsidR="00B665AE" w:rsidRPr="00B665AE" w:rsidRDefault="00B665AE" w:rsidP="00B665AE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Abstract</w:t>
      </w:r>
    </w:p>
    <w:p w14:paraId="001B7B9F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Current clinical practice lacks instrumentation to discriminate between internal auditory generation and stimulus derived from external signal fields.</w:t>
      </w:r>
      <w:r w:rsidRPr="00B665AE">
        <w:rPr>
          <w:rFonts w:ascii="Bookman Old Style" w:hAnsi="Bookman Old Style"/>
        </w:rPr>
        <w:br/>
      </w:r>
      <w:proofErr w:type="spellStart"/>
      <w:r w:rsidRPr="00B665AE">
        <w:rPr>
          <w:rFonts w:ascii="Bookman Old Style" w:hAnsi="Bookman Old Style"/>
        </w:rPr>
        <w:t>SmatterWaveMap</w:t>
      </w:r>
      <w:proofErr w:type="spellEnd"/>
      <w:r w:rsidRPr="00B665AE">
        <w:rPr>
          <w:rFonts w:ascii="Bookman Old Style" w:hAnsi="Bookman Old Style"/>
        </w:rPr>
        <w:t xml:space="preserve">™ establishes a </w:t>
      </w:r>
      <w:r w:rsidRPr="00B665AE">
        <w:rPr>
          <w:rFonts w:ascii="Bookman Old Style" w:hAnsi="Bookman Old Style"/>
          <w:b/>
          <w:bCs/>
        </w:rPr>
        <w:t>probabilistic forensic comparison model</w:t>
      </w:r>
      <w:r w:rsidRPr="00B665AE">
        <w:rPr>
          <w:rFonts w:ascii="Bookman Old Style" w:hAnsi="Bookman Old Style"/>
        </w:rPr>
        <w:t>:</w:t>
      </w:r>
    </w:p>
    <w:p w14:paraId="39623FAE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If time-resolved spectral features of a captured external signal match those extracted from a subject-acquired perceptual waveform, the concordance constitutes objective evidence supporting external stimulus probability.</w:t>
      </w:r>
    </w:p>
    <w:p w14:paraId="0931C38B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This whitepaper details:</w:t>
      </w:r>
    </w:p>
    <w:p w14:paraId="55275861" w14:textId="77777777" w:rsidR="00B665AE" w:rsidRPr="00B665AE" w:rsidRDefault="00B665AE" w:rsidP="00B665AE">
      <w:pPr>
        <w:numPr>
          <w:ilvl w:val="0"/>
          <w:numId w:val="2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lastRenderedPageBreak/>
        <w:t xml:space="preserve">admissibility under </w:t>
      </w:r>
      <w:r w:rsidRPr="00B665AE">
        <w:rPr>
          <w:rFonts w:ascii="Bookman Old Style" w:hAnsi="Bookman Old Style"/>
          <w:b/>
          <w:bCs/>
        </w:rPr>
        <w:t>Daubert / Frye / Section 45 Indian Evidence Act</w:t>
      </w:r>
    </w:p>
    <w:p w14:paraId="61765382" w14:textId="77777777" w:rsidR="00B665AE" w:rsidRPr="00B665AE" w:rsidRDefault="00B665AE" w:rsidP="00B665AE">
      <w:pPr>
        <w:numPr>
          <w:ilvl w:val="0"/>
          <w:numId w:val="2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correlation pipeline (FFT → STFT → envelope → phase)</w:t>
      </w:r>
    </w:p>
    <w:p w14:paraId="136E8D01" w14:textId="77777777" w:rsidR="00B665AE" w:rsidRPr="00B665AE" w:rsidRDefault="00B665AE" w:rsidP="00B665AE">
      <w:pPr>
        <w:numPr>
          <w:ilvl w:val="0"/>
          <w:numId w:val="2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chain-of-custody structures</w:t>
      </w:r>
    </w:p>
    <w:p w14:paraId="13240C9F" w14:textId="77777777" w:rsidR="00B665AE" w:rsidRPr="00B665AE" w:rsidRDefault="00B665AE" w:rsidP="00B665AE">
      <w:pPr>
        <w:numPr>
          <w:ilvl w:val="0"/>
          <w:numId w:val="2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reporting formats suitable for expert testimony</w:t>
      </w:r>
    </w:p>
    <w:p w14:paraId="7FA4BDC1" w14:textId="77777777" w:rsidR="00B665AE" w:rsidRPr="00B665AE" w:rsidRDefault="00B665AE" w:rsidP="00B665AE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Legal Premise</w:t>
      </w:r>
    </w:p>
    <w:p w14:paraId="6E1090F8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 xml:space="preserve">Courts routinely accept </w:t>
      </w:r>
      <w:r w:rsidRPr="00B665AE">
        <w:rPr>
          <w:rFonts w:ascii="Bookman Old Style" w:hAnsi="Bookman Old Style"/>
          <w:b/>
          <w:bCs/>
        </w:rPr>
        <w:t>pattern matches</w:t>
      </w:r>
      <w:r w:rsidRPr="00B665AE">
        <w:rPr>
          <w:rFonts w:ascii="Bookman Old Style" w:hAnsi="Bookman Old Style"/>
        </w:rPr>
        <w:t xml:space="preserve"> (</w:t>
      </w:r>
      <w:proofErr w:type="spellStart"/>
      <w:r w:rsidRPr="00B665AE">
        <w:rPr>
          <w:rFonts w:ascii="Bookman Old Style" w:hAnsi="Bookman Old Style"/>
        </w:rPr>
        <w:t>rfingerprint</w:t>
      </w:r>
      <w:proofErr w:type="spellEnd"/>
      <w:r w:rsidRPr="00B665AE">
        <w:rPr>
          <w:rFonts w:ascii="Bookman Old Style" w:hAnsi="Bookman Old Style"/>
        </w:rPr>
        <w:t>, DNA, handwriting, acoustic voiceprint).</w:t>
      </w:r>
      <w:r w:rsidRPr="00B665AE">
        <w:rPr>
          <w:rFonts w:ascii="Bookman Old Style" w:hAnsi="Bookman Old Style"/>
        </w:rPr>
        <w:br/>
        <w:t>Audio-wave match sits inside the same accepted epistemic framework.</w:t>
      </w:r>
    </w:p>
    <w:p w14:paraId="0C965DAD" w14:textId="77777777" w:rsidR="00B665AE" w:rsidRPr="00B665AE" w:rsidRDefault="00B665AE" w:rsidP="00B665AE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Hypothesis</w:t>
      </w:r>
    </w:p>
    <w:p w14:paraId="7F9478C1" w14:textId="77777777" w:rsidR="00B665AE" w:rsidRPr="00B665AE" w:rsidRDefault="00B665AE" w:rsidP="00B665AE">
      <w:pPr>
        <w:numPr>
          <w:ilvl w:val="0"/>
          <w:numId w:val="3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  <w:b/>
          <w:bCs/>
        </w:rPr>
        <w:t>H1:</w:t>
      </w:r>
      <w:r w:rsidRPr="00B665AE">
        <w:rPr>
          <w:rFonts w:ascii="Bookman Old Style" w:hAnsi="Bookman Old Style"/>
        </w:rPr>
        <w:t xml:space="preserve"> Spectral match → external source plausible</w:t>
      </w:r>
    </w:p>
    <w:p w14:paraId="7DE98C2E" w14:textId="77777777" w:rsidR="00B665AE" w:rsidRPr="00B665AE" w:rsidRDefault="00B665AE" w:rsidP="00B665AE">
      <w:pPr>
        <w:numPr>
          <w:ilvl w:val="0"/>
          <w:numId w:val="3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  <w:b/>
          <w:bCs/>
        </w:rPr>
        <w:t>H0:</w:t>
      </w:r>
      <w:r w:rsidRPr="00B665AE">
        <w:rPr>
          <w:rFonts w:ascii="Bookman Old Style" w:hAnsi="Bookman Old Style"/>
        </w:rPr>
        <w:t xml:space="preserve"> No match → internal origin likely</w:t>
      </w:r>
    </w:p>
    <w:p w14:paraId="03B3BB86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 xml:space="preserve">This is </w:t>
      </w:r>
      <w:r w:rsidRPr="00B665AE">
        <w:rPr>
          <w:rFonts w:ascii="Bookman Old Style" w:hAnsi="Bookman Old Style"/>
          <w:b/>
          <w:bCs/>
        </w:rPr>
        <w:t>not medical diagnosis</w:t>
      </w:r>
      <w:r w:rsidRPr="00B665AE">
        <w:rPr>
          <w:rFonts w:ascii="Bookman Old Style" w:hAnsi="Bookman Old Style"/>
        </w:rPr>
        <w:t xml:space="preserve"> — it is </w:t>
      </w:r>
      <w:r w:rsidRPr="00B665AE">
        <w:rPr>
          <w:rFonts w:ascii="Bookman Old Style" w:hAnsi="Bookman Old Style"/>
          <w:b/>
          <w:bCs/>
        </w:rPr>
        <w:t>likelihood attribution</w:t>
      </w:r>
      <w:r w:rsidRPr="00B665AE">
        <w:rPr>
          <w:rFonts w:ascii="Bookman Old Style" w:hAnsi="Bookman Old Style"/>
        </w:rPr>
        <w:t>, like forensic ballistics.</w:t>
      </w:r>
    </w:p>
    <w:p w14:paraId="702EDE57" w14:textId="77777777" w:rsidR="00B665AE" w:rsidRPr="00B665AE" w:rsidRDefault="00B665AE" w:rsidP="00B665AE">
      <w:pPr>
        <w:rPr>
          <w:rFonts w:ascii="Bookman Old Style" w:hAnsi="Bookman Old Style"/>
          <w:b/>
          <w:bCs/>
        </w:rPr>
      </w:pPr>
      <w:r w:rsidRPr="00B665AE">
        <w:rPr>
          <w:rFonts w:ascii="Bookman Old Style" w:hAnsi="Bookman Old Style"/>
          <w:b/>
          <w:bCs/>
        </w:rPr>
        <w:t>Architecture</w:t>
      </w:r>
    </w:p>
    <w:p w14:paraId="5114AB76" w14:textId="77777777" w:rsidR="00B665AE" w:rsidRPr="00B665AE" w:rsidRDefault="00B665AE" w:rsidP="00B665AE">
      <w:pPr>
        <w:numPr>
          <w:ilvl w:val="0"/>
          <w:numId w:val="4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RF spectrum acquisition via SDR (3 MHz–6 GHz)</w:t>
      </w:r>
    </w:p>
    <w:p w14:paraId="2102B173" w14:textId="77777777" w:rsidR="00B665AE" w:rsidRPr="00B665AE" w:rsidRDefault="00B665AE" w:rsidP="00B665AE">
      <w:pPr>
        <w:numPr>
          <w:ilvl w:val="0"/>
          <w:numId w:val="4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Perception variant signal reconstruction</w:t>
      </w:r>
    </w:p>
    <w:p w14:paraId="7F5E4B9C" w14:textId="77777777" w:rsidR="00B665AE" w:rsidRPr="00B665AE" w:rsidRDefault="00B665AE" w:rsidP="00B665AE">
      <w:pPr>
        <w:numPr>
          <w:ilvl w:val="0"/>
          <w:numId w:val="4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Spectral normalisation</w:t>
      </w:r>
    </w:p>
    <w:p w14:paraId="5F87A0C6" w14:textId="77777777" w:rsidR="00B665AE" w:rsidRDefault="00B665AE" w:rsidP="00B665AE">
      <w:pPr>
        <w:numPr>
          <w:ilvl w:val="0"/>
          <w:numId w:val="4"/>
        </w:num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Statistical correlation (r &gt; 0.8 evidentiary strength)</w:t>
      </w:r>
    </w:p>
    <w:p w14:paraId="71BD691A" w14:textId="77777777" w:rsidR="00B665AE" w:rsidRPr="00B665AE" w:rsidRDefault="00B665AE" w:rsidP="00B665AE">
      <w:pPr>
        <w:ind w:left="360"/>
        <w:rPr>
          <w:rFonts w:ascii="Bookman Old Style" w:hAnsi="Bookman Old Style"/>
        </w:rPr>
      </w:pPr>
    </w:p>
    <w:p w14:paraId="4BC94A4F" w14:textId="5886DC97" w:rsidR="00B665AE" w:rsidRPr="00B665AE" w:rsidRDefault="00B665AE" w:rsidP="00B665AE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Clinical </w:t>
      </w:r>
      <w:r w:rsidRPr="00B665AE">
        <w:rPr>
          <w:rFonts w:ascii="Bookman Old Style" w:hAnsi="Bookman Old Style"/>
          <w:b/>
          <w:bCs/>
        </w:rPr>
        <w:t>Admissibility</w:t>
      </w:r>
    </w:p>
    <w:p w14:paraId="04348774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The method satisfies:</w:t>
      </w:r>
    </w:p>
    <w:p w14:paraId="6E3D1CF1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Segoe UI Symbol" w:hAnsi="Segoe UI Symbol" w:cs="Segoe UI Symbol"/>
        </w:rPr>
        <w:t>✔</w:t>
      </w:r>
      <w:r w:rsidRPr="00B665AE">
        <w:rPr>
          <w:rFonts w:ascii="Bookman Old Style" w:hAnsi="Bookman Old Style"/>
        </w:rPr>
        <w:t xml:space="preserve"> testability</w:t>
      </w:r>
      <w:r w:rsidRPr="00B665AE">
        <w:rPr>
          <w:rFonts w:ascii="Bookman Old Style" w:hAnsi="Bookman Old Style"/>
        </w:rPr>
        <w:br/>
      </w:r>
      <w:r w:rsidRPr="00B665AE">
        <w:rPr>
          <w:rFonts w:ascii="Segoe UI Symbol" w:hAnsi="Segoe UI Symbol" w:cs="Segoe UI Symbol"/>
        </w:rPr>
        <w:t>✔</w:t>
      </w:r>
      <w:r w:rsidRPr="00B665AE">
        <w:rPr>
          <w:rFonts w:ascii="Bookman Old Style" w:hAnsi="Bookman Old Style"/>
        </w:rPr>
        <w:t xml:space="preserve"> replicability</w:t>
      </w:r>
      <w:r w:rsidRPr="00B665AE">
        <w:rPr>
          <w:rFonts w:ascii="Bookman Old Style" w:hAnsi="Bookman Old Style"/>
        </w:rPr>
        <w:br/>
      </w:r>
      <w:r w:rsidRPr="00B665AE">
        <w:rPr>
          <w:rFonts w:ascii="Segoe UI Symbol" w:hAnsi="Segoe UI Symbol" w:cs="Segoe UI Symbol"/>
        </w:rPr>
        <w:t>✔</w:t>
      </w:r>
      <w:r w:rsidRPr="00B665AE">
        <w:rPr>
          <w:rFonts w:ascii="Bookman Old Style" w:hAnsi="Bookman Old Style"/>
        </w:rPr>
        <w:t xml:space="preserve"> instrumentation standards</w:t>
      </w:r>
      <w:r w:rsidRPr="00B665AE">
        <w:rPr>
          <w:rFonts w:ascii="Bookman Old Style" w:hAnsi="Bookman Old Style"/>
        </w:rPr>
        <w:br/>
      </w:r>
      <w:r w:rsidRPr="00B665AE">
        <w:rPr>
          <w:rFonts w:ascii="Segoe UI Symbol" w:hAnsi="Segoe UI Symbol" w:cs="Segoe UI Symbol"/>
        </w:rPr>
        <w:t>✔</w:t>
      </w:r>
      <w:r w:rsidRPr="00B665AE">
        <w:rPr>
          <w:rFonts w:ascii="Bookman Old Style" w:hAnsi="Bookman Old Style"/>
        </w:rPr>
        <w:t xml:space="preserve"> known error rates</w:t>
      </w:r>
    </w:p>
    <w:p w14:paraId="398C4568" w14:textId="77777777" w:rsidR="00B665AE" w:rsidRPr="00B665AE" w:rsidRDefault="00B665AE" w:rsidP="00B665AE">
      <w:pPr>
        <w:rPr>
          <w:rFonts w:ascii="Bookman Old Style" w:hAnsi="Bookman Old Style"/>
        </w:rPr>
      </w:pPr>
      <w:r w:rsidRPr="00B665AE">
        <w:rPr>
          <w:rFonts w:ascii="Bookman Old Style" w:hAnsi="Bookman Old Style"/>
        </w:rPr>
        <w:t>→ compliant with forensic evidence doctrine.</w:t>
      </w:r>
    </w:p>
    <w:p w14:paraId="677BD49E" w14:textId="03D627E3" w:rsidR="00B665AE" w:rsidRPr="00B665AE" w:rsidRDefault="00B665AE" w:rsidP="00B665AE">
      <w:pPr>
        <w:rPr>
          <w:rFonts w:ascii="Bookman Old Style" w:hAnsi="Bookman Old Style"/>
        </w:rPr>
      </w:pPr>
    </w:p>
    <w:sectPr w:rsidR="00B665AE" w:rsidRPr="00B66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786"/>
    <w:multiLevelType w:val="multilevel"/>
    <w:tmpl w:val="9F7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F28E0"/>
    <w:multiLevelType w:val="multilevel"/>
    <w:tmpl w:val="AF66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27134"/>
    <w:multiLevelType w:val="multilevel"/>
    <w:tmpl w:val="48F2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26F41"/>
    <w:multiLevelType w:val="multilevel"/>
    <w:tmpl w:val="E0F8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C743F"/>
    <w:multiLevelType w:val="multilevel"/>
    <w:tmpl w:val="AFCC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385D19"/>
    <w:multiLevelType w:val="multilevel"/>
    <w:tmpl w:val="9032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42C17"/>
    <w:multiLevelType w:val="multilevel"/>
    <w:tmpl w:val="5CD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44987"/>
    <w:multiLevelType w:val="multilevel"/>
    <w:tmpl w:val="1820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929281">
    <w:abstractNumId w:val="4"/>
  </w:num>
  <w:num w:numId="2" w16cid:durableId="487870664">
    <w:abstractNumId w:val="5"/>
  </w:num>
  <w:num w:numId="3" w16cid:durableId="903880955">
    <w:abstractNumId w:val="6"/>
  </w:num>
  <w:num w:numId="4" w16cid:durableId="569537854">
    <w:abstractNumId w:val="7"/>
  </w:num>
  <w:num w:numId="5" w16cid:durableId="31999945">
    <w:abstractNumId w:val="1"/>
  </w:num>
  <w:num w:numId="6" w16cid:durableId="225073745">
    <w:abstractNumId w:val="2"/>
  </w:num>
  <w:num w:numId="7" w16cid:durableId="262343947">
    <w:abstractNumId w:val="3"/>
  </w:num>
  <w:num w:numId="8" w16cid:durableId="45668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AE"/>
    <w:rsid w:val="00333BCE"/>
    <w:rsid w:val="008F51F2"/>
    <w:rsid w:val="00AA3ABC"/>
    <w:rsid w:val="00B6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2422"/>
  <w15:chartTrackingRefBased/>
  <w15:docId w15:val="{3CA4DA1E-1890-446D-93DC-F241D625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281</Words>
  <Characters>2065</Characters>
  <Application>Microsoft Office Word</Application>
  <DocSecurity>0</DocSecurity>
  <Lines>76</Lines>
  <Paragraphs>36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Shah</dc:creator>
  <cp:keywords/>
  <dc:description/>
  <cp:lastModifiedBy>Parth Shah</cp:lastModifiedBy>
  <cp:revision>1</cp:revision>
  <cp:lastPrinted>2025-12-05T18:26:00Z</cp:lastPrinted>
  <dcterms:created xsi:type="dcterms:W3CDTF">2025-12-05T18:24:00Z</dcterms:created>
  <dcterms:modified xsi:type="dcterms:W3CDTF">2025-12-05T18:27:00Z</dcterms:modified>
</cp:coreProperties>
</file>