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80"/>
        <w:jc w:val="center"/>
      </w:pPr>
      <w:r>
        <w:rPr>
          <w:rFonts w:ascii="Calibri" w:cs="Calibri" w:eastAsia="Calibri" w:hAnsi="Calibri"/>
          <w:b/>
          <w:bCs/>
          <w:color w:val="1F3864"/>
          <w:sz w:val="60"/>
          <w:szCs w:val="60"/>
        </w:rPr>
        <w:t xml:space="preserve">NLG Change Impact</w:t>
      </w:r>
    </w:p>
    <w:p>
      <w:pPr>
        <w:spacing w:after="60"/>
        <w:jc w:val="center"/>
      </w:pPr>
      <w:r>
        <w:rPr>
          <w:rFonts w:ascii="Calibri" w:cs="Calibri" w:eastAsia="Calibri" w:hAnsi="Calibri"/>
          <w:color w:val="2E5C9A"/>
          <w:sz w:val="26"/>
          <w:szCs w:val="26"/>
        </w:rPr>
        <w:t xml:space="preserve">Automated review of every merge request into nlg-dev</w:t>
      </w:r>
    </w:p>
    <w:p>
      <w:pPr>
        <w:spacing w:after="520"/>
        <w:jc w:val="center"/>
      </w:pPr>
      <w:r>
        <w:rPr>
          <w:rFonts w:ascii="Calibri" w:cs="Calibri" w:eastAsia="Calibri" w:hAnsi="Calibri"/>
          <w:color w:val="5B6B7C"/>
          <w:sz w:val="22"/>
          <w:szCs w:val="22"/>
        </w:rPr>
        <w:t xml:space="preserve">GitLab MR pipeline  ·  stage: change_impact</w:t>
      </w:r>
    </w:p>
    <w:tbl>
      <w:tblPr>
        <w:tblW w:type="auto" w:w="100"/>
        <w:tblBorders>
          <w:top w:val="single" w:color="C6D0DC" w:sz="4"/>
          <w:left w:val="single" w:color="C6D0DC" w:sz="4"/>
          <w:bottom w:val="single" w:color="C6D0DC" w:sz="4"/>
          <w:right w:val="single" w:color="C6D0DC" w:sz="4"/>
          <w:insideH w:val="single" w:color="C6D0DC" w:sz="4"/>
          <w:insideV w:val="single" w:color="C6D0DC" w:sz="4"/>
        </w:tblBorders>
      </w:tblPr>
      <w:tblGrid>
        <w:gridCol w:w="2400"/>
        <w:gridCol w:w="6960"/>
      </w:tblGrid>
      <w:tr>
        <w:trPr>
          <w:cantSplit/>
        </w:trPr>
        <w:tc>
          <w:tcPr>
            <w:tcW w:type="dxa" w:w="2400"/>
            <w:tcMar>
              <w:top w:type="dxa" w:w="70"/>
              <w:left w:type="dxa" w:w="110"/>
              <w:bottom w:type="dxa" w:w="70"/>
              <w:right w:type="dxa" w:w="110"/>
            </w:tcMar>
          </w:tcPr>
          <w:p>
            <w:pPr>
              <w:spacing w:after="0"/>
            </w:pPr>
            <w:r>
              <w:rPr>
                <w:rFonts w:ascii="Calibri" w:cs="Calibri" w:eastAsia="Calibri" w:hAnsi="Calibri"/>
                <w:b/>
                <w:bCs/>
                <w:color w:val="1F3864"/>
                <w:sz w:val="19"/>
                <w:szCs w:val="19"/>
              </w:rPr>
              <w:t xml:space="preserve">Purpose</w:t>
            </w:r>
          </w:p>
        </w:tc>
        <w:tc>
          <w:tcPr>
            <w:tcW w:type="dxa" w:w="6960"/>
            <w:tcMar>
              <w:top w:type="dxa" w:w="70"/>
              <w:left w:type="dxa" w:w="110"/>
              <w:bottom w:type="dxa" w:w="70"/>
              <w:right w:type="dxa" w:w="110"/>
            </w:tcMar>
          </w:tcPr>
          <w:p>
            <w:pPr>
              <w:spacing w:after="0"/>
            </w:pPr>
            <w:r>
              <w:rPr>
                <w:rFonts w:ascii="Calibri" w:cs="Calibri" w:eastAsia="Calibri" w:hAnsi="Calibri"/>
                <w:b w:val="false"/>
                <w:bCs w:val="false"/>
                <w:color w:val="22303F"/>
                <w:sz w:val="19"/>
                <w:szCs w:val="19"/>
              </w:rPr>
              <w:t xml:space="preserve">Tell a developer what their branch affects, and what it may have forgotten</w:t>
            </w:r>
          </w:p>
        </w:tc>
      </w:tr>
      <w:tr>
        <w:trPr>
          <w:cantSplit/>
        </w:trPr>
        <w:tc>
          <w:tcPr>
            <w:tcW w:type="dxa" w:w="2400"/>
            <w:shd w:fill="EEF2F7" w:val="clear"/>
            <w:tcMar>
              <w:top w:type="dxa" w:w="70"/>
              <w:left w:type="dxa" w:w="110"/>
              <w:bottom w:type="dxa" w:w="70"/>
              <w:right w:type="dxa" w:w="110"/>
            </w:tcMar>
          </w:tcPr>
          <w:p>
            <w:pPr>
              <w:spacing w:after="0"/>
            </w:pPr>
            <w:r>
              <w:rPr>
                <w:rFonts w:ascii="Calibri" w:cs="Calibri" w:eastAsia="Calibri" w:hAnsi="Calibri"/>
                <w:b/>
                <w:bCs/>
                <w:color w:val="1F3864"/>
                <w:sz w:val="19"/>
                <w:szCs w:val="19"/>
              </w:rPr>
              <w:t xml:space="preserve">Runs as</w:t>
            </w:r>
          </w:p>
        </w:tc>
        <w:tc>
          <w:tcPr>
            <w:tcW w:type="dxa" w:w="6960"/>
            <w:shd w:fill="EEF2F7" w:val="clear"/>
            <w:tcMar>
              <w:top w:type="dxa" w:w="70"/>
              <w:left w:type="dxa" w:w="110"/>
              <w:bottom w:type="dxa" w:w="70"/>
              <w:right w:type="dxa" w:w="110"/>
            </w:tcMar>
          </w:tcPr>
          <w:p>
            <w:pPr>
              <w:spacing w:after="0"/>
            </w:pPr>
            <w:r>
              <w:rPr>
                <w:rFonts w:ascii="Calibri" w:cs="Calibri" w:eastAsia="Calibri" w:hAnsi="Calibri"/>
                <w:b w:val="false"/>
                <w:bCs w:val="false"/>
                <w:color w:val="22303F"/>
                <w:sz w:val="19"/>
                <w:szCs w:val="19"/>
              </w:rPr>
              <w:t xml:space="preserve">A stage in the merge-request pipeline, from the branch's own code</w:t>
            </w:r>
          </w:p>
        </w:tc>
      </w:tr>
      <w:tr>
        <w:trPr>
          <w:cantSplit/>
        </w:trPr>
        <w:tc>
          <w:tcPr>
            <w:tcW w:type="dxa" w:w="2400"/>
            <w:tcMar>
              <w:top w:type="dxa" w:w="70"/>
              <w:left w:type="dxa" w:w="110"/>
              <w:bottom w:type="dxa" w:w="70"/>
              <w:right w:type="dxa" w:w="110"/>
            </w:tcMar>
          </w:tcPr>
          <w:p>
            <w:pPr>
              <w:spacing w:after="0"/>
            </w:pPr>
            <w:r>
              <w:rPr>
                <w:rFonts w:ascii="Calibri" w:cs="Calibri" w:eastAsia="Calibri" w:hAnsi="Calibri"/>
                <w:b/>
                <w:bCs/>
                <w:color w:val="1F3864"/>
                <w:sz w:val="19"/>
                <w:szCs w:val="19"/>
              </w:rPr>
              <w:t xml:space="preserve">Trigger</w:t>
            </w:r>
          </w:p>
        </w:tc>
        <w:tc>
          <w:tcPr>
            <w:tcW w:type="dxa" w:w="6960"/>
            <w:tcMar>
              <w:top w:type="dxa" w:w="70"/>
              <w:left w:type="dxa" w:w="110"/>
              <w:bottom w:type="dxa" w:w="70"/>
              <w:right w:type="dxa" w:w="110"/>
            </w:tcMar>
          </w:tcPr>
          <w:p>
            <w:pPr>
              <w:spacing w:after="0"/>
            </w:pPr>
            <w:r>
              <w:rPr>
                <w:rFonts w:ascii="Calibri" w:cs="Calibri" w:eastAsia="Calibri" w:hAnsi="Calibri"/>
                <w:b w:val="false"/>
                <w:bCs w:val="false"/>
                <w:color w:val="22303F"/>
                <w:sz w:val="19"/>
                <w:szCs w:val="19"/>
              </w:rPr>
              <w:t xml:space="preserve">Opening or updating an MR into nlg-dev</w:t>
            </w:r>
          </w:p>
        </w:tc>
      </w:tr>
      <w:tr>
        <w:trPr>
          <w:cantSplit/>
        </w:trPr>
        <w:tc>
          <w:tcPr>
            <w:tcW w:type="dxa" w:w="2400"/>
            <w:shd w:fill="EEF2F7" w:val="clear"/>
            <w:tcMar>
              <w:top w:type="dxa" w:w="70"/>
              <w:left w:type="dxa" w:w="110"/>
              <w:bottom w:type="dxa" w:w="70"/>
              <w:right w:type="dxa" w:w="110"/>
            </w:tcMar>
          </w:tcPr>
          <w:p>
            <w:pPr>
              <w:spacing w:after="0"/>
            </w:pPr>
            <w:r>
              <w:rPr>
                <w:rFonts w:ascii="Calibri" w:cs="Calibri" w:eastAsia="Calibri" w:hAnsi="Calibri"/>
                <w:b/>
                <w:bCs/>
                <w:color w:val="1F3864"/>
                <w:sz w:val="19"/>
                <w:szCs w:val="19"/>
              </w:rPr>
              <w:t xml:space="preserve">Output</w:t>
            </w:r>
          </w:p>
        </w:tc>
        <w:tc>
          <w:tcPr>
            <w:tcW w:type="dxa" w:w="6960"/>
            <w:shd w:fill="EEF2F7" w:val="clear"/>
            <w:tcMar>
              <w:top w:type="dxa" w:w="70"/>
              <w:left w:type="dxa" w:w="110"/>
              <w:bottom w:type="dxa" w:w="70"/>
              <w:right w:type="dxa" w:w="110"/>
            </w:tcMar>
          </w:tcPr>
          <w:p>
            <w:pPr>
              <w:spacing w:after="0"/>
            </w:pPr>
            <w:r>
              <w:rPr>
                <w:rFonts w:ascii="Calibri" w:cs="Calibri" w:eastAsia="Calibri" w:hAnsi="Calibri"/>
                <w:b w:val="false"/>
                <w:bCs w:val="false"/>
                <w:color w:val="22303F"/>
                <w:sz w:val="19"/>
                <w:szCs w:val="19"/>
              </w:rPr>
              <w:t xml:space="preserve">XLSX report, emailed to the developer; the job fails so it gets read</w:t>
            </w:r>
          </w:p>
        </w:tc>
      </w:tr>
      <w:tr>
        <w:trPr>
          <w:cantSplit/>
        </w:trPr>
        <w:tc>
          <w:tcPr>
            <w:tcW w:type="dxa" w:w="2400"/>
            <w:tcMar>
              <w:top w:type="dxa" w:w="70"/>
              <w:left w:type="dxa" w:w="110"/>
              <w:bottom w:type="dxa" w:w="70"/>
              <w:right w:type="dxa" w:w="110"/>
            </w:tcMar>
          </w:tcPr>
          <w:p>
            <w:pPr>
              <w:spacing w:after="0"/>
            </w:pPr>
            <w:r>
              <w:rPr>
                <w:rFonts w:ascii="Calibri" w:cs="Calibri" w:eastAsia="Calibri" w:hAnsi="Calibri"/>
                <w:b/>
                <w:bCs/>
                <w:color w:val="1F3864"/>
                <w:sz w:val="19"/>
                <w:szCs w:val="19"/>
              </w:rPr>
              <w:t xml:space="preserve">Owner</w:t>
            </w:r>
          </w:p>
        </w:tc>
        <w:tc>
          <w:tcPr>
            <w:tcW w:type="dxa" w:w="6960"/>
            <w:tcMar>
              <w:top w:type="dxa" w:w="70"/>
              <w:left w:type="dxa" w:w="110"/>
              <w:bottom w:type="dxa" w:w="70"/>
              <w:right w:type="dxa" w:w="110"/>
            </w:tcMar>
          </w:tcPr>
          <w:p>
            <w:pPr>
              <w:spacing w:after="0"/>
            </w:pPr>
            <w:r>
              <w:rPr>
                <w:rFonts w:ascii="Calibri" w:cs="Calibri" w:eastAsia="Calibri" w:hAnsi="Calibri"/>
                <w:b w:val="false"/>
                <w:bCs w:val="false"/>
                <w:color w:val="22303F"/>
                <w:sz w:val="19"/>
                <w:szCs w:val="19"/>
              </w:rPr>
              <w:t xml:space="preserve">STAAT Data Science</w:t>
            </w:r>
          </w:p>
        </w:tc>
      </w:tr>
    </w:tbl>
    <w:p>
      <w:r>
        <w:br w:type="page"/>
      </w:r>
    </w:p>
    <w:p>
      <w:pPr>
        <w:pStyle w:val="Heading1"/>
        <w:spacing w:after="140" w:before="320"/>
      </w:pPr>
      <w:r>
        <w:rPr>
          <w:rFonts w:ascii="Calibri" w:cs="Calibri" w:eastAsia="Calibri" w:hAnsi="Calibri"/>
          <w:b/>
          <w:bCs/>
          <w:color w:val="1F3864"/>
          <w:sz w:val="30"/>
          <w:szCs w:val="30"/>
        </w:rPr>
        <w:t xml:space="preserve">1.  Purpose</w:t>
      </w:r>
    </w:p>
    <w:p>
      <w:pPr>
        <w:spacing w:after="120" w:before="0"/>
      </w:pPr>
      <w:r>
        <w:rPr>
          <w:rFonts w:ascii="Calibri" w:cs="Calibri" w:eastAsia="Calibri" w:hAnsi="Calibri"/>
          <w:color w:val="22303F"/>
          <w:sz w:val="21"/>
          <w:szCs w:val="21"/>
        </w:rPr>
        <w:t xml:space="preserve">A merge request answers “what did I change?”. It does not answer the two questions that decide whether the change is safe: what does this affect downstream, and did I finish it?</w:t>
      </w:r>
    </w:p>
    <w:p>
      <w:pPr>
        <w:spacing w:after="120" w:before="0"/>
      </w:pPr>
      <w:r>
        <w:rPr>
          <w:rFonts w:ascii="Calibri" w:cs="Calibri" w:eastAsia="Calibri" w:hAnsi="Calibri"/>
          <w:color w:val="22303F"/>
          <w:sz w:val="21"/>
          <w:szCs w:val="21"/>
        </w:rPr>
        <w:t xml:space="preserve">The NLG codebase makes both hard to answer by eye. A method can be reached by ninety tasks across several DAGs through dynamic dispatch, so a small edit can have wide reach. And a change in one file frequently implies the same change elsewhere — a key added to one config but not its sibling, three of four call sites updated. Neither shows up in the diff: the evidence for an omission is in the files nobody touched.</w:t>
      </w:r>
    </w:p>
    <w:p>
      <w:pPr>
        <w:spacing w:after="120" w:before="0"/>
      </w:pPr>
      <w:r>
        <w:rPr>
          <w:rFonts w:ascii="Calibri" w:cs="Calibri" w:eastAsia="Calibri" w:hAnsi="Calibri"/>
          <w:color w:val="22303F"/>
          <w:sz w:val="21"/>
          <w:szCs w:val="21"/>
        </w:rPr>
        <w:t xml:space="preserve">This check runs automatically on every merge request into nlg-dev, works both questions out, and emails the developer a report before the merge goes ahead.</w:t>
      </w:r>
    </w:p>
    <w:tbl>
      <w:tblPr>
        <w:tblW w:type="auto" w:w="100"/>
        <w:tblBorders>
          <w:top w:val="none"/>
          <w:left w:val="single" w:color="auto" w:sz="4"/>
          <w:bottom w:val="none"/>
          <w:right w:val="none"/>
          <w:insideH w:val="none"/>
          <w:insideV w:val="none"/>
        </w:tblBorders>
      </w:tblPr>
      <w:tblGrid>
        <w:gridCol w:w="9360"/>
      </w:tblGrid>
      <w:tr>
        <w:trPr>
          <w:cantSplit/>
        </w:trPr>
        <w:tc>
          <w:tcPr>
            <w:tcW w:type="dxa" w:w="9360"/>
            <w:tcBorders>
              <w:left w:val="single" w:color="C55A11" w:sz="22"/>
            </w:tcBorders>
            <w:shd w:fill="FDF1E7" w:val="clear"/>
            <w:tcMar>
              <w:top w:type="dxa" w:w="130"/>
              <w:left w:type="dxa" w:w="170"/>
              <w:bottom w:type="dxa" w:w="130"/>
              <w:right w:type="dxa" w:w="170"/>
            </w:tcMar>
          </w:tcPr>
          <w:p>
            <w:pPr>
              <w:spacing w:after="60"/>
            </w:pPr>
            <w:r>
              <w:rPr>
                <w:rFonts w:ascii="Calibri" w:cs="Calibri" w:eastAsia="Calibri" w:hAnsi="Calibri"/>
                <w:b/>
                <w:bCs/>
                <w:color w:val="C55A11"/>
                <w:sz w:val="21"/>
                <w:szCs w:val="21"/>
              </w:rPr>
              <w:t xml:space="preserve">Why every run fails, even a clean one</w:t>
            </w:r>
          </w:p>
          <w:p>
            <w:pPr>
              <w:spacing w:after="0"/>
            </w:pPr>
            <w:r>
              <w:rPr>
                <w:rFonts w:ascii="Calibri" w:cs="Calibri" w:eastAsia="Calibri" w:hAnsi="Calibri"/>
                <w:color w:val="22303F"/>
                <w:sz w:val="20"/>
                <w:szCs w:val="20"/>
              </w:rPr>
              <w:t xml:space="preserve">A passing job with a note attached is not read. Failing puts the report in front of the developer at the one moment the fix is cheap — while the change is still their active work. It is a prompt to look, not a gate: once they have looked, they override the job and carry on. That is one click, and it is the whole cost of making sure the report was seen.</w:t>
            </w:r>
          </w:p>
        </w:tc>
      </w:tr>
    </w:tbl>
    <w:p>
      <w:pPr>
        <w:pStyle w:val="Heading1"/>
        <w:pageBreakBefore/>
        <w:spacing w:after="140" w:before="320"/>
      </w:pPr>
      <w:r>
        <w:rPr>
          <w:rFonts w:ascii="Calibri" w:cs="Calibri" w:eastAsia="Calibri" w:hAnsi="Calibri"/>
          <w:b/>
          <w:bCs/>
          <w:color w:val="1F3864"/>
          <w:sz w:val="30"/>
          <w:szCs w:val="30"/>
        </w:rPr>
        <w:t xml:space="preserve">2.  How it runs</w:t>
      </w:r>
    </w:p>
    <w:p>
      <w:pPr>
        <w:spacing w:after="200" w:before="0"/>
      </w:pPr>
      <w:r>
        <w:rPr>
          <w:rFonts w:ascii="Calibri" w:cs="Calibri" w:eastAsia="Calibri" w:hAnsi="Calibri"/>
          <w:color w:val="22303F"/>
          <w:sz w:val="21"/>
          <w:szCs w:val="21"/>
        </w:rPr>
        <w:t xml:space="preserve">The task sits in the merge-request pipeline and calls one script from the branch itself.</w:t>
      </w:r>
    </w:p>
    <w:p>
      <w:pPr>
        <w:spacing w:after="120"/>
        <w:jc w:val="center"/>
      </w:pPr>
      <w:r>
        <w:drawing>
          <wp:inline distT="0" distB="0" distL="0" distR="0">
            <wp:extent cx="56197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19750" cy="6315075"/>
                    </a:xfrm>
                    <a:prstGeom prst="rect">
                      <a:avLst/>
                    </a:prstGeom>
                  </pic:spPr>
                </pic:pic>
              </a:graphicData>
            </a:graphic>
          </wp:inline>
        </w:drawing>
      </w:r>
    </w:p>
    <w:p>
      <w:pPr>
        <w:pStyle w:val="Heading1"/>
        <w:pageBreakBefore/>
        <w:spacing w:after="140" w:before="320"/>
      </w:pPr>
      <w:r>
        <w:rPr>
          <w:rFonts w:ascii="Calibri" w:cs="Calibri" w:eastAsia="Calibri" w:hAnsi="Calibri"/>
          <w:b/>
          <w:bCs/>
          <w:color w:val="1F3864"/>
          <w:sz w:val="30"/>
          <w:szCs w:val="30"/>
        </w:rPr>
        <w:t xml:space="preserve">3.  Wiring it into the pipeline</w:t>
      </w:r>
    </w:p>
    <w:p>
      <w:pPr>
        <w:pStyle w:val="Heading2"/>
        <w:spacing w:after="140" w:before="240"/>
      </w:pPr>
      <w:r>
        <w:rPr>
          <w:rFonts w:ascii="Calibri" w:cs="Calibri" w:eastAsia="Calibri" w:hAnsi="Calibri"/>
          <w:b/>
          <w:bCs/>
          <w:color w:val="2E5C9A"/>
          <w:sz w:val="25"/>
          <w:szCs w:val="25"/>
        </w:rPr>
        <w:t xml:space="preserve">The stage</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nlg_change_impact:</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stage: change_impact</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image: python:3.8</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rules:</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 if: '$CI_PIPELINE_SOURCE == "merge_request_event" &amp;&amp;</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$CI_MERGE_REQUEST_TARGET_BRANCH_NAME == "nlg-dev"'</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before_script:</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 pip install --quiet requests openpyxl anthropic</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script:</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 python nlg/src/change_impact/run_impact_ci.py</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artifacts:</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when: always</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paths: ["nlg_change_impact_*.xlsx"]</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allow_failure: true</w:t>
      </w:r>
    </w:p>
    <w:p>
      <w:pPr>
        <w:spacing w:after="120" w:before="120"/>
      </w:pPr>
      <w:r>
        <w:rPr>
          <w:rFonts w:ascii="Calibri" w:cs="Calibri" w:eastAsia="Calibri" w:hAnsi="Calibri"/>
          <w:color w:val="22303F"/>
          <w:sz w:val="21"/>
          <w:szCs w:val="21"/>
        </w:rPr>
        <w:t xml:space="preserve">One command, no arguments. Everything comes from the CI environment, so there are no branch names or MR numbers in the pipeline file that can fall out of step with reality.</w:t>
      </w:r>
    </w:p>
    <w:p>
      <w:pPr>
        <w:pStyle w:val="Heading2"/>
        <w:spacing w:after="140" w:before="240"/>
      </w:pPr>
      <w:r>
        <w:rPr>
          <w:rFonts w:ascii="Calibri" w:cs="Calibri" w:eastAsia="Calibri" w:hAnsi="Calibri"/>
          <w:b/>
          <w:bCs/>
          <w:color w:val="2E5C9A"/>
          <w:sz w:val="25"/>
          <w:szCs w:val="25"/>
        </w:rPr>
        <w:t xml:space="preserve">What the script reads</w:t>
      </w:r>
    </w:p>
    <w:tbl>
      <w:tblPr>
        <w:tblW w:type="auto" w:w="100"/>
        <w:tblBorders>
          <w:top w:val="single" w:color="C6D0DC" w:sz="4"/>
          <w:left w:val="single" w:color="C6D0DC" w:sz="4"/>
          <w:bottom w:val="single" w:color="C6D0DC" w:sz="4"/>
          <w:right w:val="single" w:color="C6D0DC" w:sz="4"/>
          <w:insideH w:val="single" w:color="C6D0DC" w:sz="4"/>
          <w:insideV w:val="single" w:color="C6D0DC" w:sz="4"/>
        </w:tblBorders>
      </w:tblPr>
      <w:tblGrid>
        <w:gridCol w:w="4100"/>
        <w:gridCol w:w="5260"/>
      </w:tblGrid>
      <w:tr>
        <w:trPr>
          <w:cantSplit/>
          <w:tblHeader/>
        </w:trPr>
        <w:tc>
          <w:tcPr>
            <w:tcW w:type="dxa" w:w="410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Variable</w:t>
            </w:r>
          </w:p>
        </w:tc>
        <w:tc>
          <w:tcPr>
            <w:tcW w:type="dxa" w:w="526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Used for</w:t>
            </w:r>
          </w:p>
        </w:tc>
      </w:tr>
      <w:tr>
        <w:trPr>
          <w:cantSplit/>
        </w:trPr>
        <w:tc>
          <w:tcPr>
            <w:tcW w:type="dxa" w:w="4100"/>
            <w:tcMar>
              <w:top w:type="dxa" w:w="70"/>
              <w:left w:type="dxa" w:w="110"/>
              <w:bottom w:type="dxa" w:w="70"/>
              <w:right w:type="dxa" w:w="110"/>
            </w:tcMar>
          </w:tcPr>
          <w:p>
            <w:pPr>
              <w:spacing w:after="0"/>
            </w:pPr>
            <w:r>
              <w:rPr>
                <w:rFonts w:ascii="Consolas" w:cs="Consolas" w:eastAsia="Consolas" w:hAnsi="Consolas"/>
                <w:color w:val="22303F"/>
                <w:sz w:val="17"/>
                <w:szCs w:val="17"/>
              </w:rPr>
              <w:t xml:space="preserve">CI_MERGE_REQUEST_SOURCE_BRANCH_NAME</w:t>
            </w:r>
          </w:p>
        </w:tc>
        <w:tc>
          <w:tcPr>
            <w:tcW w:type="dxa" w:w="5260"/>
            <w:tcMar>
              <w:top w:type="dxa" w:w="70"/>
              <w:left w:type="dxa" w:w="110"/>
              <w:bottom w:type="dxa" w:w="70"/>
              <w:right w:type="dxa" w:w="110"/>
            </w:tcMar>
          </w:tcPr>
          <w:p>
            <w:pPr>
              <w:spacing w:after="0"/>
            </w:pPr>
            <w:r>
              <w:rPr>
                <w:rFonts w:ascii="Calibri" w:cs="Calibri" w:eastAsia="Calibri" w:hAnsi="Calibri"/>
                <w:color w:val="22303F"/>
                <w:sz w:val="19"/>
                <w:szCs w:val="19"/>
              </w:rPr>
              <w:t xml:space="preserve">the feature branch — the one input the program needs</w:t>
            </w:r>
          </w:p>
        </w:tc>
      </w:tr>
      <w:tr>
        <w:trPr>
          <w:cantSplit/>
        </w:trPr>
        <w:tc>
          <w:tcPr>
            <w:tcW w:type="dxa" w:w="4100"/>
            <w:shd w:fill="EEF2F7" w:val="clear"/>
            <w:tcMar>
              <w:top w:type="dxa" w:w="70"/>
              <w:left w:type="dxa" w:w="110"/>
              <w:bottom w:type="dxa" w:w="70"/>
              <w:right w:type="dxa" w:w="110"/>
            </w:tcMar>
          </w:tcPr>
          <w:p>
            <w:pPr>
              <w:spacing w:after="0"/>
            </w:pPr>
            <w:r>
              <w:rPr>
                <w:rFonts w:ascii="Consolas" w:cs="Consolas" w:eastAsia="Consolas" w:hAnsi="Consolas"/>
                <w:color w:val="22303F"/>
                <w:sz w:val="17"/>
                <w:szCs w:val="17"/>
              </w:rPr>
              <w:t xml:space="preserve">CI_MERGE_REQUEST_TARGET_BRANCH_NAME</w:t>
            </w:r>
          </w:p>
        </w:tc>
        <w:tc>
          <w:tcPr>
            <w:tcW w:type="dxa" w:w="526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the base to compare against (nlg-dev)</w:t>
            </w:r>
          </w:p>
        </w:tc>
      </w:tr>
      <w:tr>
        <w:trPr>
          <w:cantSplit/>
        </w:trPr>
        <w:tc>
          <w:tcPr>
            <w:tcW w:type="dxa" w:w="4100"/>
            <w:tcMar>
              <w:top w:type="dxa" w:w="70"/>
              <w:left w:type="dxa" w:w="110"/>
              <w:bottom w:type="dxa" w:w="70"/>
              <w:right w:type="dxa" w:w="110"/>
            </w:tcMar>
          </w:tcPr>
          <w:p>
            <w:pPr>
              <w:spacing w:after="0"/>
            </w:pPr>
            <w:r>
              <w:rPr>
                <w:rFonts w:ascii="Consolas" w:cs="Consolas" w:eastAsia="Consolas" w:hAnsi="Consolas"/>
                <w:color w:val="22303F"/>
                <w:sz w:val="17"/>
                <w:szCs w:val="17"/>
              </w:rPr>
              <w:t xml:space="preserve">CI_MERGE_REQUEST_IID  ·  CI_PROJECT_URL</w:t>
            </w:r>
          </w:p>
        </w:tc>
        <w:tc>
          <w:tcPr>
            <w:tcW w:type="dxa" w:w="5260"/>
            <w:tcMar>
              <w:top w:type="dxa" w:w="70"/>
              <w:left w:type="dxa" w:w="110"/>
              <w:bottom w:type="dxa" w:w="70"/>
              <w:right w:type="dxa" w:w="110"/>
            </w:tcMar>
          </w:tcPr>
          <w:p>
            <w:pPr>
              <w:spacing w:after="0"/>
            </w:pPr>
            <w:r>
              <w:rPr>
                <w:rFonts w:ascii="Calibri" w:cs="Calibri" w:eastAsia="Calibri" w:hAnsi="Calibri"/>
                <w:color w:val="22303F"/>
                <w:sz w:val="19"/>
                <w:szCs w:val="19"/>
              </w:rPr>
              <w:t xml:space="preserve">the subject line and the MR link</w:t>
            </w:r>
          </w:p>
        </w:tc>
      </w:tr>
      <w:tr>
        <w:trPr>
          <w:cantSplit/>
        </w:trPr>
        <w:tc>
          <w:tcPr>
            <w:tcW w:type="dxa" w:w="4100"/>
            <w:shd w:fill="EEF2F7" w:val="clear"/>
            <w:tcMar>
              <w:top w:type="dxa" w:w="70"/>
              <w:left w:type="dxa" w:w="110"/>
              <w:bottom w:type="dxa" w:w="70"/>
              <w:right w:type="dxa" w:w="110"/>
            </w:tcMar>
          </w:tcPr>
          <w:p>
            <w:pPr>
              <w:spacing w:after="0"/>
            </w:pPr>
            <w:r>
              <w:rPr>
                <w:rFonts w:ascii="Consolas" w:cs="Consolas" w:eastAsia="Consolas" w:hAnsi="Consolas"/>
                <w:color w:val="22303F"/>
                <w:sz w:val="17"/>
                <w:szCs w:val="17"/>
              </w:rPr>
              <w:t xml:space="preserve">CI_JOB_TOKEN</w:t>
            </w:r>
          </w:p>
        </w:tc>
        <w:tc>
          <w:tcPr>
            <w:tcW w:type="dxa" w:w="526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issued by GitLab to every job — no token to provision</w:t>
            </w:r>
          </w:p>
        </w:tc>
      </w:tr>
      <w:tr>
        <w:trPr>
          <w:cantSplit/>
        </w:trPr>
        <w:tc>
          <w:tcPr>
            <w:tcW w:type="dxa" w:w="4100"/>
            <w:tcMar>
              <w:top w:type="dxa" w:w="70"/>
              <w:left w:type="dxa" w:w="110"/>
              <w:bottom w:type="dxa" w:w="70"/>
              <w:right w:type="dxa" w:w="110"/>
            </w:tcMar>
          </w:tcPr>
          <w:p>
            <w:pPr>
              <w:spacing w:after="0"/>
            </w:pPr>
            <w:r>
              <w:rPr>
                <w:rFonts w:ascii="Consolas" w:cs="Consolas" w:eastAsia="Consolas" w:hAnsi="Consolas"/>
                <w:color w:val="22303F"/>
                <w:sz w:val="17"/>
                <w:szCs w:val="17"/>
              </w:rPr>
              <w:t xml:space="preserve">ANTHROPIC_API_KEY  or the ini</w:t>
            </w:r>
          </w:p>
        </w:tc>
        <w:tc>
          <w:tcPr>
            <w:tcW w:type="dxa" w:w="5260"/>
            <w:tcMar>
              <w:top w:type="dxa" w:w="70"/>
              <w:left w:type="dxa" w:w="110"/>
              <w:bottom w:type="dxa" w:w="70"/>
              <w:right w:type="dxa" w:w="110"/>
            </w:tcMar>
          </w:tcPr>
          <w:p>
            <w:pPr>
              <w:spacing w:after="0"/>
            </w:pPr>
            <w:r>
              <w:rPr>
                <w:rFonts w:ascii="Calibri" w:cs="Calibri" w:eastAsia="Calibri" w:hAnsi="Calibri"/>
                <w:color w:val="22303F"/>
                <w:sz w:val="19"/>
                <w:szCs w:val="19"/>
              </w:rPr>
              <w:t xml:space="preserve">the model key</w:t>
            </w:r>
          </w:p>
        </w:tc>
      </w:tr>
    </w:tbl>
    <w:p>
      <w:pPr>
        <w:spacing w:after="120" w:before="100"/>
      </w:pPr>
      <w:r>
        <w:rPr>
          <w:rFonts w:ascii="Calibri" w:cs="Calibri" w:eastAsia="Calibri" w:hAnsi="Calibri"/>
          <w:color w:val="22303F"/>
          <w:sz w:val="21"/>
          <w:szCs w:val="21"/>
        </w:rPr>
        <w:t xml:space="preserve">All of the CI_* values are set automatically in a merge-request pipeline. No GitLab token is created, stored or rotated: the job authenticates with its own CI_JOB_TOKEN.</w:t>
      </w:r>
    </w:p>
    <w:p>
      <w:pPr>
        <w:pStyle w:val="Heading2"/>
        <w:spacing w:after="140" w:before="240"/>
      </w:pPr>
      <w:r>
        <w:rPr>
          <w:rFonts w:ascii="Calibri" w:cs="Calibri" w:eastAsia="Calibri" w:hAnsi="Calibri"/>
          <w:b/>
          <w:bCs/>
          <w:color w:val="2E5C9A"/>
          <w:sz w:val="25"/>
          <w:szCs w:val="25"/>
        </w:rPr>
        <w:t xml:space="preserve">The config file</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change_impact_config.ini      &lt;- beside the scripts</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[email]</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to = pratik.shah.2@ubs.com</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[llm]</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api_key =                     &lt;- prefer the masked CI/CD variable</w:t>
      </w:r>
    </w:p>
    <w:p>
      <w:pPr>
        <w:spacing w:after="120" w:before="100"/>
      </w:pPr>
      <w:r>
        <w:rPr>
          <w:rFonts w:ascii="Calibri" w:cs="Calibri" w:eastAsia="Calibri" w:hAnsi="Calibri"/>
          <w:color w:val="22303F"/>
          <w:sz w:val="21"/>
          <w:szCs w:val="21"/>
        </w:rPr>
        <w:t xml:space="preserve">Precedence for every value: environment variable → ini → built-in default. The pipeline supplies the key as a masked variable; the ini carries the recipients, so changing who gets the report is an edit to one line in the branch.</w:t>
      </w:r>
    </w:p>
    <w:p>
      <w:pPr>
        <w:pStyle w:val="Heading2"/>
        <w:spacing w:after="140" w:before="240"/>
      </w:pPr>
      <w:r>
        <w:rPr>
          <w:rFonts w:ascii="Calibri" w:cs="Calibri" w:eastAsia="Calibri" w:hAnsi="Calibri"/>
          <w:b/>
          <w:bCs/>
          <w:color w:val="2E5C9A"/>
          <w:sz w:val="25"/>
          <w:szCs w:val="25"/>
        </w:rPr>
        <w:t xml:space="preserve">Where the files live</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nlg/src/change_impact/</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run_impact_ci.py       &lt;- the pipeline calls this</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change_impact_config.ini</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ci_config.py  ·  ci_email.py</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nlg_impact_agent/      &lt;- the analyser</w:t>
      </w:r>
    </w:p>
    <w:p>
      <w:pPr>
        <w:pBdr>
          <w:left w:val="single" w:color="2E8B8B" w:sz="14" w:space="8"/>
        </w:pBdr>
        <w:shd w:fill="F4F6F9" w:val="clear"/>
        <w:spacing w:after="60" w:before="20"/>
        <w:ind w:left="180"/>
      </w:pPr>
      <w:r>
        <w:rPr>
          <w:rFonts w:ascii="Consolas" w:cs="Consolas" w:eastAsia="Consolas" w:hAnsi="Consolas"/>
          <w:color w:val="1F3050"/>
          <w:sz w:val="18"/>
          <w:szCs w:val="18"/>
        </w:rPr>
        <w:t xml:space="preserve">    nlg_dag_agent/         &lt;- bundled dependency</w:t>
      </w:r>
    </w:p>
    <w:p>
      <w:pPr>
        <w:spacing w:after="120" w:before="120"/>
      </w:pPr>
      <w:r>
        <w:rPr>
          <w:rFonts w:ascii="Calibri" w:cs="Calibri" w:eastAsia="Calibri" w:hAnsi="Calibri"/>
          <w:color w:val="22303F"/>
          <w:sz w:val="21"/>
          <w:szCs w:val="21"/>
        </w:rPr>
        <w:t xml:space="preserve">All in the feature branch. The script puts its own folder on sys.path, so there is no packaging or install step — and a branch that changes the checker tests the new version on itself.</w:t>
      </w:r>
    </w:p>
    <w:p>
      <w:pPr>
        <w:pStyle w:val="Heading2"/>
        <w:spacing w:after="140" w:before="240"/>
      </w:pPr>
      <w:r>
        <w:rPr>
          <w:rFonts w:ascii="Calibri" w:cs="Calibri" w:eastAsia="Calibri" w:hAnsi="Calibri"/>
          <w:b/>
          <w:bCs/>
          <w:color w:val="2E5C9A"/>
          <w:sz w:val="25"/>
          <w:szCs w:val="25"/>
        </w:rPr>
        <w:t xml:space="preserve">Every run fails, every run emails</w:t>
      </w:r>
    </w:p>
    <w:p>
      <w:pPr>
        <w:spacing w:after="120" w:before="0"/>
      </w:pPr>
      <w:r>
        <w:rPr>
          <w:rFonts w:ascii="Calibri" w:cs="Calibri" w:eastAsia="Calibri" w:hAnsi="Calibri"/>
          <w:color w:val="22303F"/>
          <w:sz w:val="21"/>
          <w:szCs w:val="21"/>
        </w:rPr>
        <w:t xml:space="preserve">The job ends non-zero on every outcome — clean, findings, or the check itself breaking — and the report is emailed every time. A green job is not read.</w:t>
      </w:r>
    </w:p>
    <w:tbl>
      <w:tblPr>
        <w:tblW w:type="auto" w:w="100"/>
        <w:tblBorders>
          <w:top w:val="single" w:color="C6D0DC" w:sz="4"/>
          <w:left w:val="single" w:color="C6D0DC" w:sz="4"/>
          <w:bottom w:val="single" w:color="C6D0DC" w:sz="4"/>
          <w:right w:val="single" w:color="C6D0DC" w:sz="4"/>
          <w:insideH w:val="single" w:color="C6D0DC" w:sz="4"/>
          <w:insideV w:val="single" w:color="C6D0DC" w:sz="4"/>
        </w:tblBorders>
      </w:tblPr>
      <w:tblGrid>
        <w:gridCol w:w="1100"/>
        <w:gridCol w:w="8260"/>
      </w:tblGrid>
      <w:tr>
        <w:trPr>
          <w:cantSplit/>
          <w:tblHeader/>
        </w:trPr>
        <w:tc>
          <w:tcPr>
            <w:tcW w:type="dxa" w:w="110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Code</w:t>
            </w:r>
          </w:p>
        </w:tc>
        <w:tc>
          <w:tcPr>
            <w:tcW w:type="dxa" w:w="826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Meaning</w:t>
            </w:r>
          </w:p>
        </w:tc>
      </w:tr>
      <w:tr>
        <w:trPr>
          <w:cantSplit/>
        </w:trPr>
        <w:tc>
          <w:tcPr>
            <w:tcW w:type="dxa" w:w="1100"/>
            <w:tcMar>
              <w:top w:type="dxa" w:w="70"/>
              <w:left w:type="dxa" w:w="110"/>
              <w:bottom w:type="dxa" w:w="70"/>
              <w:right w:type="dxa" w:w="110"/>
            </w:tcMar>
          </w:tcPr>
          <w:p>
            <w:pPr>
              <w:spacing w:after="0"/>
            </w:pPr>
            <w:r>
              <w:rPr>
                <w:rFonts w:ascii="Calibri" w:cs="Calibri" w:eastAsia="Calibri" w:hAnsi="Calibri"/>
                <w:color w:val="22303F"/>
                <w:sz w:val="19"/>
                <w:szCs w:val="19"/>
              </w:rPr>
              <w:t xml:space="preserve">1</w:t>
            </w:r>
          </w:p>
        </w:tc>
        <w:tc>
          <w:tcPr>
            <w:tcW w:type="dxa" w:w="8260"/>
            <w:tcMar>
              <w:top w:type="dxa" w:w="70"/>
              <w:left w:type="dxa" w:w="110"/>
              <w:bottom w:type="dxa" w:w="70"/>
              <w:right w:type="dxa" w:w="110"/>
            </w:tcMar>
          </w:tcPr>
          <w:p>
            <w:pPr>
              <w:spacing w:after="0"/>
            </w:pPr>
            <w:r>
              <w:rPr>
                <w:rFonts w:ascii="Calibri" w:cs="Calibri" w:eastAsia="Calibri" w:hAnsi="Calibri"/>
                <w:color w:val="22303F"/>
                <w:sz w:val="19"/>
                <w:szCs w:val="19"/>
              </w:rPr>
              <w:t xml:space="preserve">there is something to read</w:t>
            </w:r>
          </w:p>
        </w:tc>
      </w:tr>
      <w:tr>
        <w:trPr>
          <w:cantSplit/>
        </w:trPr>
        <w:tc>
          <w:tcPr>
            <w:tcW w:type="dxa" w:w="1100"/>
            <w:shd w:fill="FDECEA"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2</w:t>
            </w:r>
          </w:p>
        </w:tc>
        <w:tc>
          <w:tcPr>
            <w:tcW w:type="dxa" w:w="8260"/>
            <w:shd w:fill="FDECEA"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the check itself could not run</w:t>
            </w:r>
          </w:p>
        </w:tc>
      </w:tr>
      <w:tr>
        <w:trPr>
          <w:cantSplit/>
        </w:trPr>
        <w:tc>
          <w:tcPr>
            <w:tcW w:type="dxa" w:w="1100"/>
            <w:shd w:fill="E7F6EC"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3</w:t>
            </w:r>
          </w:p>
        </w:tc>
        <w:tc>
          <w:tcPr>
            <w:tcW w:type="dxa" w:w="8260"/>
            <w:shd w:fill="E7F6EC"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clean — no impact and no gaps; still fails so the report is seen</w:t>
            </w:r>
          </w:p>
        </w:tc>
      </w:tr>
    </w:tbl>
    <w:p>
      <w:pPr>
        <w:spacing w:after="120" w:before="100"/>
      </w:pPr>
      <w:r>
        <w:rPr>
          <w:rFonts w:ascii="Calibri" w:cs="Calibri" w:eastAsia="Calibri" w:hAnsi="Calibri"/>
          <w:color w:val="22303F"/>
          <w:sz w:val="21"/>
          <w:szCs w:val="21"/>
        </w:rPr>
        <w:t xml:space="preserve">All three are overridable. With allow_failure the job shows as failed-with-warning and the pipeline carries on; the developer reads the report and, if nothing needs action, proceeds. The codes stay distinct so the log says why it stopped.</w:t>
      </w:r>
    </w:p>
    <w:p>
      <w:pPr>
        <w:pStyle w:val="Heading1"/>
        <w:pageBreakBefore/>
        <w:spacing w:after="140" w:before="320"/>
      </w:pPr>
      <w:r>
        <w:rPr>
          <w:rFonts w:ascii="Calibri" w:cs="Calibri" w:eastAsia="Calibri" w:hAnsi="Calibri"/>
          <w:b/>
          <w:bCs/>
          <w:color w:val="1F3864"/>
          <w:sz w:val="30"/>
          <w:szCs w:val="30"/>
        </w:rPr>
        <w:t xml:space="preserve">4.  What the developer receives</w:t>
      </w:r>
    </w:p>
    <w:tbl>
      <w:tblPr>
        <w:tblW w:type="auto" w:w="100"/>
        <w:tblBorders>
          <w:top w:val="single" w:color="C6D0DC" w:sz="4"/>
          <w:left w:val="single" w:color="C6D0DC" w:sz="4"/>
          <w:bottom w:val="single" w:color="C6D0DC" w:sz="4"/>
          <w:right w:val="single" w:color="C6D0DC" w:sz="4"/>
          <w:insideH w:val="single" w:color="C6D0DC" w:sz="4"/>
          <w:insideV w:val="single" w:color="C6D0DC" w:sz="4"/>
        </w:tblBorders>
      </w:tblPr>
      <w:tblGrid>
        <w:gridCol w:w="2000"/>
        <w:gridCol w:w="7360"/>
      </w:tblGrid>
      <w:tr>
        <w:trPr>
          <w:cantSplit/>
          <w:tblHeader/>
        </w:trPr>
        <w:tc>
          <w:tcPr>
            <w:tcW w:type="dxa" w:w="200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
            </w:r>
          </w:p>
        </w:tc>
        <w:tc>
          <w:tcPr>
            <w:tcW w:type="dxa" w:w="736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Detail</w:t>
            </w:r>
          </w:p>
        </w:tc>
      </w:tr>
      <w:tr>
        <w:trPr>
          <w:cantSplit/>
        </w:trPr>
        <w:tc>
          <w:tcPr>
            <w:tcW w:type="dxa" w:w="2000"/>
            <w:tcMar>
              <w:top w:type="dxa" w:w="70"/>
              <w:left w:type="dxa" w:w="110"/>
              <w:bottom w:type="dxa" w:w="70"/>
              <w:right w:type="dxa" w:w="110"/>
            </w:tcMar>
          </w:tcPr>
          <w:p>
            <w:pPr>
              <w:spacing w:after="0"/>
            </w:pPr>
            <w:r>
              <w:rPr>
                <w:rFonts w:ascii="Calibri" w:cs="Calibri" w:eastAsia="Calibri" w:hAnsi="Calibri"/>
                <w:color w:val="22303F"/>
                <w:sz w:val="19"/>
                <w:szCs w:val="19"/>
              </w:rPr>
              <w:t xml:space="preserve">To</w:t>
            </w:r>
          </w:p>
        </w:tc>
        <w:tc>
          <w:tcPr>
            <w:tcW w:type="dxa" w:w="7360"/>
            <w:tcMar>
              <w:top w:type="dxa" w:w="70"/>
              <w:left w:type="dxa" w:w="110"/>
              <w:bottom w:type="dxa" w:w="70"/>
              <w:right w:type="dxa" w:w="110"/>
            </w:tcMar>
          </w:tcPr>
          <w:p>
            <w:pPr>
              <w:spacing w:after="0"/>
            </w:pPr>
            <w:r>
              <w:rPr>
                <w:rFonts w:ascii="Consolas" w:cs="Consolas" w:eastAsia="Consolas" w:hAnsi="Consolas"/>
                <w:color w:val="22303F"/>
                <w:sz w:val="17"/>
                <w:szCs w:val="17"/>
              </w:rPr>
              <w:t xml:space="preserve">pratik.shah.2@ubs.com  (override with CHANGE_IMPACT_EMAIL_TO)</w:t>
            </w:r>
          </w:p>
        </w:tc>
      </w:tr>
      <w:tr>
        <w:trPr>
          <w:cantSplit/>
        </w:trPr>
        <w:tc>
          <w:tcPr>
            <w:tcW w:type="dxa" w:w="200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Subject</w:t>
            </w:r>
          </w:p>
        </w:tc>
        <w:tc>
          <w:tcPr>
            <w:tcW w:type="dxa" w:w="7360"/>
            <w:shd w:fill="EEF2F7" w:val="clear"/>
            <w:tcMar>
              <w:top w:type="dxa" w:w="70"/>
              <w:left w:type="dxa" w:w="110"/>
              <w:bottom w:type="dxa" w:w="70"/>
              <w:right w:type="dxa" w:w="110"/>
            </w:tcMar>
          </w:tcPr>
          <w:p>
            <w:pPr>
              <w:spacing w:after="0"/>
            </w:pPr>
            <w:r>
              <w:rPr>
                <w:rFonts w:ascii="Consolas" w:cs="Consolas" w:eastAsia="Consolas" w:hAnsi="Consolas"/>
                <w:color w:val="22303F"/>
                <w:sz w:val="17"/>
                <w:szCs w:val="17"/>
              </w:rPr>
              <w:t xml:space="preserve">&lt;branch&gt; NLG change impact - MR !123</w:t>
            </w:r>
          </w:p>
        </w:tc>
      </w:tr>
      <w:tr>
        <w:trPr>
          <w:cantSplit/>
        </w:trPr>
        <w:tc>
          <w:tcPr>
            <w:tcW w:type="dxa" w:w="2000"/>
            <w:tcMar>
              <w:top w:type="dxa" w:w="70"/>
              <w:left w:type="dxa" w:w="110"/>
              <w:bottom w:type="dxa" w:w="70"/>
              <w:right w:type="dxa" w:w="110"/>
            </w:tcMar>
          </w:tcPr>
          <w:p>
            <w:pPr>
              <w:spacing w:after="0"/>
            </w:pPr>
            <w:r>
              <w:rPr>
                <w:rFonts w:ascii="Calibri" w:cs="Calibri" w:eastAsia="Calibri" w:hAnsi="Calibri"/>
                <w:color w:val="22303F"/>
                <w:sz w:val="19"/>
                <w:szCs w:val="19"/>
              </w:rPr>
              <w:t xml:space="preserve">Body</w:t>
            </w:r>
          </w:p>
        </w:tc>
        <w:tc>
          <w:tcPr>
            <w:tcW w:type="dxa" w:w="7360"/>
            <w:tcMar>
              <w:top w:type="dxa" w:w="70"/>
              <w:left w:type="dxa" w:w="110"/>
              <w:bottom w:type="dxa" w:w="70"/>
              <w:right w:type="dxa" w:w="110"/>
            </w:tcMar>
          </w:tcPr>
          <w:p>
            <w:pPr>
              <w:spacing w:after="0"/>
            </w:pPr>
            <w:r>
              <w:rPr>
                <w:rFonts w:ascii="Consolas" w:cs="Consolas" w:eastAsia="Consolas" w:hAnsi="Consolas"/>
                <w:color w:val="22303F"/>
                <w:sz w:val="17"/>
                <w:szCs w:val="17"/>
              </w:rPr>
              <w:t xml:space="preserve">the MR link, a summary table, and any possible missed changes inline</w:t>
            </w:r>
          </w:p>
        </w:tc>
      </w:tr>
      <w:tr>
        <w:trPr>
          <w:cantSplit/>
        </w:trPr>
        <w:tc>
          <w:tcPr>
            <w:tcW w:type="dxa" w:w="200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Attachment</w:t>
            </w:r>
          </w:p>
        </w:tc>
        <w:tc>
          <w:tcPr>
            <w:tcW w:type="dxa" w:w="7360"/>
            <w:shd w:fill="EEF2F7" w:val="clear"/>
            <w:tcMar>
              <w:top w:type="dxa" w:w="70"/>
              <w:left w:type="dxa" w:w="110"/>
              <w:bottom w:type="dxa" w:w="70"/>
              <w:right w:type="dxa" w:w="110"/>
            </w:tcMar>
          </w:tcPr>
          <w:p>
            <w:pPr>
              <w:spacing w:after="0"/>
            </w:pPr>
            <w:r>
              <w:rPr>
                <w:rFonts w:ascii="Consolas" w:cs="Consolas" w:eastAsia="Consolas" w:hAnsi="Consolas"/>
                <w:color w:val="22303F"/>
                <w:sz w:val="17"/>
                <w:szCs w:val="17"/>
              </w:rPr>
              <w:t xml:space="preserve">the full XLSX report</w:t>
            </w:r>
          </w:p>
        </w:tc>
      </w:tr>
    </w:tbl>
    <w:p>
      <w:pPr>
        <w:spacing w:after="120" w:before="100"/>
      </w:pPr>
      <w:r>
        <w:rPr>
          <w:rFonts w:ascii="Calibri" w:cs="Calibri" w:eastAsia="Calibri" w:hAnsi="Calibri"/>
          <w:color w:val="22303F"/>
          <w:sz w:val="21"/>
          <w:szCs w:val="21"/>
        </w:rPr>
        <w:t xml:space="preserve">The body leads with the merge-request link so the developer can go straight from the mail to the change without hunting for it.</w:t>
      </w:r>
    </w:p>
    <w:p>
      <w:pPr>
        <w:pStyle w:val="Heading2"/>
        <w:spacing w:after="140" w:before="240"/>
      </w:pPr>
      <w:r>
        <w:rPr>
          <w:rFonts w:ascii="Calibri" w:cs="Calibri" w:eastAsia="Calibri" w:hAnsi="Calibri"/>
          <w:b/>
          <w:bCs/>
          <w:color w:val="2E5C9A"/>
          <w:sz w:val="25"/>
          <w:szCs w:val="25"/>
        </w:rPr>
        <w:t xml:space="preserve">The report</w:t>
      </w:r>
    </w:p>
    <w:tbl>
      <w:tblPr>
        <w:tblW w:type="auto" w:w="100"/>
        <w:tblBorders>
          <w:top w:val="single" w:color="C6D0DC" w:sz="4"/>
          <w:left w:val="single" w:color="C6D0DC" w:sz="4"/>
          <w:bottom w:val="single" w:color="C6D0DC" w:sz="4"/>
          <w:right w:val="single" w:color="C6D0DC" w:sz="4"/>
          <w:insideH w:val="single" w:color="C6D0DC" w:sz="4"/>
          <w:insideV w:val="single" w:color="C6D0DC" w:sz="4"/>
        </w:tblBorders>
      </w:tblPr>
      <w:tblGrid>
        <w:gridCol w:w="3000"/>
        <w:gridCol w:w="6360"/>
      </w:tblGrid>
      <w:tr>
        <w:trPr>
          <w:cantSplit/>
          <w:tblHeader/>
        </w:trPr>
        <w:tc>
          <w:tcPr>
            <w:tcW w:type="dxa" w:w="300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Sheet</w:t>
            </w:r>
          </w:p>
        </w:tc>
        <w:tc>
          <w:tcPr>
            <w:tcW w:type="dxa" w:w="636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Contents</w:t>
            </w:r>
          </w:p>
        </w:tc>
      </w:tr>
      <w:tr>
        <w:trPr>
          <w:cantSplit/>
        </w:trPr>
        <w:tc>
          <w:tcPr>
            <w:tcW w:type="dxa" w:w="3000"/>
            <w:tcMar>
              <w:top w:type="dxa" w:w="70"/>
              <w:left w:type="dxa" w:w="110"/>
              <w:bottom w:type="dxa" w:w="70"/>
              <w:right w:type="dxa" w:w="110"/>
            </w:tcMar>
          </w:tcPr>
          <w:p>
            <w:pPr>
              <w:spacing w:after="0"/>
            </w:pPr>
            <w:r>
              <w:rPr>
                <w:rFonts w:ascii="Calibri" w:cs="Calibri" w:eastAsia="Calibri" w:hAnsi="Calibri"/>
                <w:color w:val="22303F"/>
                <w:sz w:val="19"/>
                <w:szCs w:val="19"/>
              </w:rPr>
              <w:t xml:space="preserve">Summary</w:t>
            </w:r>
          </w:p>
        </w:tc>
        <w:tc>
          <w:tcPr>
            <w:tcW w:type="dxa" w:w="6360"/>
            <w:tcMar>
              <w:top w:type="dxa" w:w="70"/>
              <w:left w:type="dxa" w:w="110"/>
              <w:bottom w:type="dxa" w:w="70"/>
              <w:right w:type="dxa" w:w="110"/>
            </w:tcMar>
          </w:tcPr>
          <w:p>
            <w:pPr>
              <w:spacing w:after="0"/>
            </w:pPr>
            <w:r>
              <w:rPr>
                <w:rFonts w:ascii="Calibri" w:cs="Calibri" w:eastAsia="Calibri" w:hAnsi="Calibri"/>
                <w:color w:val="22303F"/>
                <w:sz w:val="19"/>
                <w:szCs w:val="19"/>
              </w:rPr>
              <w:t xml:space="preserve">what the branch does, counts, per-change verdicts</w:t>
            </w:r>
          </w:p>
        </w:tc>
      </w:tr>
      <w:tr>
        <w:trPr>
          <w:cantSplit/>
        </w:trPr>
        <w:tc>
          <w:tcPr>
            <w:tcW w:type="dxa" w:w="300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Change Impact Detail</w:t>
            </w:r>
          </w:p>
        </w:tc>
        <w:tc>
          <w:tcPr>
            <w:tcW w:type="dxa" w:w="636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each change → DAGs, task groups, tasks and methods affected</w:t>
            </w:r>
          </w:p>
        </w:tc>
      </w:tr>
      <w:tr>
        <w:trPr>
          <w:cantSplit/>
        </w:trPr>
        <w:tc>
          <w:tcPr>
            <w:tcW w:type="dxa" w:w="3000"/>
            <w:tcMar>
              <w:top w:type="dxa" w:w="70"/>
              <w:left w:type="dxa" w:w="110"/>
              <w:bottom w:type="dxa" w:w="70"/>
              <w:right w:type="dxa" w:w="110"/>
            </w:tcMar>
          </w:tcPr>
          <w:p>
            <w:pPr>
              <w:spacing w:after="0"/>
            </w:pPr>
            <w:r>
              <w:rPr>
                <w:rFonts w:ascii="Calibri" w:cs="Calibri" w:eastAsia="Calibri" w:hAnsi="Calibri"/>
                <w:color w:val="22303F"/>
                <w:sz w:val="19"/>
                <w:szCs w:val="19"/>
              </w:rPr>
              <w:t xml:space="preserve">Possible Missed Changes</w:t>
            </w:r>
          </w:p>
        </w:tc>
        <w:tc>
          <w:tcPr>
            <w:tcW w:type="dxa" w:w="6360"/>
            <w:tcMar>
              <w:top w:type="dxa" w:w="70"/>
              <w:left w:type="dxa" w:w="110"/>
              <w:bottom w:type="dxa" w:w="70"/>
              <w:right w:type="dxa" w:w="110"/>
            </w:tcMar>
          </w:tcPr>
          <w:p>
            <w:pPr>
              <w:spacing w:after="0"/>
            </w:pPr>
            <w:r>
              <w:rPr>
                <w:rFonts w:ascii="Calibri" w:cs="Calibri" w:eastAsia="Calibri" w:hAnsi="Calibri"/>
                <w:color w:val="22303F"/>
                <w:sz w:val="19"/>
                <w:szCs w:val="19"/>
              </w:rPr>
              <w:t xml:space="preserve">where the branch looks incomplete</w:t>
            </w:r>
          </w:p>
        </w:tc>
      </w:tr>
      <w:tr>
        <w:trPr>
          <w:cantSplit/>
        </w:trPr>
        <w:tc>
          <w:tcPr>
            <w:tcW w:type="dxa" w:w="300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Changes (no task match)</w:t>
            </w:r>
          </w:p>
        </w:tc>
        <w:tc>
          <w:tcPr>
            <w:tcW w:type="dxa" w:w="636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changes with no reachable task</w:t>
            </w:r>
          </w:p>
        </w:tc>
      </w:tr>
      <w:tr>
        <w:trPr>
          <w:cantSplit/>
        </w:trPr>
        <w:tc>
          <w:tcPr>
            <w:tcW w:type="dxa" w:w="3000"/>
            <w:tcMar>
              <w:top w:type="dxa" w:w="70"/>
              <w:left w:type="dxa" w:w="110"/>
              <w:bottom w:type="dxa" w:w="70"/>
              <w:right w:type="dxa" w:w="110"/>
            </w:tcMar>
          </w:tcPr>
          <w:p>
            <w:pPr>
              <w:spacing w:after="0"/>
            </w:pPr>
            <w:r>
              <w:rPr>
                <w:rFonts w:ascii="Calibri" w:cs="Calibri" w:eastAsia="Calibri" w:hAnsi="Calibri"/>
                <w:color w:val="22303F"/>
                <w:sz w:val="19"/>
                <w:szCs w:val="19"/>
              </w:rPr>
              <w:t xml:space="preserve">CID Masking Compliance</w:t>
            </w:r>
          </w:p>
        </w:tc>
        <w:tc>
          <w:tcPr>
            <w:tcW w:type="dxa" w:w="6360"/>
            <w:tcMar>
              <w:top w:type="dxa" w:w="70"/>
              <w:left w:type="dxa" w:w="110"/>
              <w:bottom w:type="dxa" w:w="70"/>
              <w:right w:type="dxa" w:w="110"/>
            </w:tcMar>
          </w:tcPr>
          <w:p>
            <w:pPr>
              <w:spacing w:after="0"/>
            </w:pPr>
            <w:r>
              <w:rPr>
                <w:rFonts w:ascii="Calibri" w:cs="Calibri" w:eastAsia="Calibri" w:hAnsi="Calibri"/>
                <w:color w:val="22303F"/>
                <w:sz w:val="19"/>
                <w:szCs w:val="19"/>
              </w:rPr>
              <w:t xml:space="preserve">deterministic CID check, no LLM involved</w:t>
            </w:r>
          </w:p>
        </w:tc>
      </w:tr>
      <w:tr>
        <w:trPr>
          <w:cantSplit/>
        </w:trPr>
        <w:tc>
          <w:tcPr>
            <w:tcW w:type="dxa" w:w="300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Tool Call Transcript</w:t>
            </w:r>
          </w:p>
        </w:tc>
        <w:tc>
          <w:tcPr>
            <w:tcW w:type="dxa" w:w="636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every tool call and result — the audit trail</w:t>
            </w:r>
          </w:p>
        </w:tc>
      </w:tr>
    </w:tbl>
    <w:p>
      <w:pPr>
        <w:pStyle w:val="Heading1"/>
        <w:pageBreakBefore/>
        <w:spacing w:after="140" w:before="320"/>
      </w:pPr>
      <w:r>
        <w:rPr>
          <w:rFonts w:ascii="Calibri" w:cs="Calibri" w:eastAsia="Calibri" w:hAnsi="Calibri"/>
          <w:b/>
          <w:bCs/>
          <w:color w:val="1F3864"/>
          <w:sz w:val="30"/>
          <w:szCs w:val="30"/>
        </w:rPr>
        <w:t xml:space="preserve">5.  How the analysis works</w:t>
      </w:r>
    </w:p>
    <w:tbl>
      <w:tblPr>
        <w:tblW w:type="auto" w:w="100"/>
        <w:tblBorders>
          <w:top w:val="single" w:color="C6D0DC" w:sz="4"/>
          <w:left w:val="single" w:color="C6D0DC" w:sz="4"/>
          <w:bottom w:val="single" w:color="C6D0DC" w:sz="4"/>
          <w:right w:val="single" w:color="C6D0DC" w:sz="4"/>
          <w:insideH w:val="single" w:color="C6D0DC" w:sz="4"/>
          <w:insideV w:val="single" w:color="C6D0DC" w:sz="4"/>
        </w:tblBorders>
      </w:tblPr>
      <w:tblGrid>
        <w:gridCol w:w="4000"/>
        <w:gridCol w:w="5360"/>
      </w:tblGrid>
      <w:tr>
        <w:trPr>
          <w:cantSplit/>
          <w:tblHeader/>
        </w:trPr>
        <w:tc>
          <w:tcPr>
            <w:tcW w:type="dxa" w:w="400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Step</w:t>
            </w:r>
          </w:p>
        </w:tc>
        <w:tc>
          <w:tcPr>
            <w:tcW w:type="dxa" w:w="536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How</w:t>
            </w:r>
          </w:p>
        </w:tc>
      </w:tr>
      <w:tr>
        <w:trPr>
          <w:cantSplit/>
        </w:trPr>
        <w:tc>
          <w:tcPr>
            <w:tcW w:type="dxa" w:w="4000"/>
            <w:tcMar>
              <w:top w:type="dxa" w:w="70"/>
              <w:left w:type="dxa" w:w="110"/>
              <w:bottom w:type="dxa" w:w="70"/>
              <w:right w:type="dxa" w:w="110"/>
            </w:tcMar>
          </w:tcPr>
          <w:p>
            <w:pPr>
              <w:spacing w:after="0"/>
            </w:pPr>
            <w:r>
              <w:rPr>
                <w:rFonts w:ascii="Calibri" w:cs="Calibri" w:eastAsia="Calibri" w:hAnsi="Calibri"/>
                <w:color w:val="22303F"/>
                <w:sz w:val="19"/>
                <w:szCs w:val="19"/>
              </w:rPr>
              <w:t xml:space="preserve">Find changed files</w:t>
            </w:r>
          </w:p>
        </w:tc>
        <w:tc>
          <w:tcPr>
            <w:tcW w:type="dxa" w:w="5360"/>
            <w:tcMar>
              <w:top w:type="dxa" w:w="70"/>
              <w:left w:type="dxa" w:w="110"/>
              <w:bottom w:type="dxa" w:w="70"/>
              <w:right w:type="dxa" w:w="110"/>
            </w:tcMar>
          </w:tcPr>
          <w:p>
            <w:pPr>
              <w:spacing w:after="0"/>
            </w:pPr>
            <w:r>
              <w:rPr>
                <w:rFonts w:ascii="Calibri" w:cs="Calibri" w:eastAsia="Calibri" w:hAnsi="Calibri"/>
                <w:color w:val="22303F"/>
                <w:sz w:val="19"/>
                <w:szCs w:val="19"/>
              </w:rPr>
              <w:t xml:space="preserve">GitLab Compare API — deterministic</w:t>
            </w:r>
          </w:p>
        </w:tc>
      </w:tr>
      <w:tr>
        <w:trPr>
          <w:cantSplit/>
        </w:trPr>
        <w:tc>
          <w:tcPr>
            <w:tcW w:type="dxa" w:w="400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Find changed functions and calls</w:t>
            </w:r>
          </w:p>
        </w:tc>
        <w:tc>
          <w:tcPr>
            <w:tcW w:type="dxa" w:w="536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AST diff — deterministic</w:t>
            </w:r>
          </w:p>
        </w:tc>
      </w:tr>
      <w:tr>
        <w:trPr>
          <w:cantSplit/>
        </w:trPr>
        <w:tc>
          <w:tcPr>
            <w:tcW w:type="dxa" w:w="4000"/>
            <w:tcMar>
              <w:top w:type="dxa" w:w="70"/>
              <w:left w:type="dxa" w:w="110"/>
              <w:bottom w:type="dxa" w:w="70"/>
              <w:right w:type="dxa" w:w="110"/>
            </w:tcMar>
          </w:tcPr>
          <w:p>
            <w:pPr>
              <w:spacing w:after="0"/>
            </w:pPr>
            <w:r>
              <w:rPr>
                <w:rFonts w:ascii="Calibri" w:cs="Calibri" w:eastAsia="Calibri" w:hAnsi="Calibri"/>
                <w:color w:val="22303F"/>
                <w:sz w:val="19"/>
                <w:szCs w:val="19"/>
              </w:rPr>
              <w:t xml:space="preserve">Build the DAG hierarchy, before and after</w:t>
            </w:r>
          </w:p>
        </w:tc>
        <w:tc>
          <w:tcPr>
            <w:tcW w:type="dxa" w:w="5360"/>
            <w:tcMar>
              <w:top w:type="dxa" w:w="70"/>
              <w:left w:type="dxa" w:w="110"/>
              <w:bottom w:type="dxa" w:w="70"/>
              <w:right w:type="dxa" w:w="110"/>
            </w:tcMar>
          </w:tcPr>
          <w:p>
            <w:pPr>
              <w:spacing w:after="0"/>
            </w:pPr>
            <w:r>
              <w:rPr>
                <w:rFonts w:ascii="Calibri" w:cs="Calibri" w:eastAsia="Calibri" w:hAnsi="Calibri"/>
                <w:color w:val="22303F"/>
                <w:sz w:val="19"/>
                <w:szCs w:val="19"/>
              </w:rPr>
              <w:t xml:space="preserve">reuses the existing hierarchy builder</w:t>
            </w:r>
          </w:p>
        </w:tc>
      </w:tr>
      <w:tr>
        <w:trPr>
          <w:cantSplit/>
        </w:trPr>
        <w:tc>
          <w:tcPr>
            <w:tcW w:type="dxa" w:w="400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Decide what matters, and what is missing</w:t>
            </w:r>
          </w:p>
        </w:tc>
        <w:tc>
          <w:tcPr>
            <w:tcW w:type="dxa" w:w="536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the LLM agent, via autonomous tool use</w:t>
            </w:r>
          </w:p>
        </w:tc>
      </w:tr>
    </w:tbl>
    <w:p>
      <w:pPr>
        <w:spacing w:after="120" w:before="100"/>
      </w:pPr>
      <w:r>
        <w:rPr>
          <w:rFonts w:ascii="Calibri" w:cs="Calibri" w:eastAsia="Calibri" w:hAnsi="Calibri"/>
          <w:color w:val="22303F"/>
          <w:sz w:val="21"/>
          <w:szCs w:val="21"/>
        </w:rPr>
        <w:t xml:space="preserve">Keeping the first three deterministic means every fact the agent receives is reproducible. Its job is interpreting evidence, not gathering it.</w:t>
      </w:r>
    </w:p>
    <w:p>
      <w:pPr>
        <w:pStyle w:val="Heading2"/>
        <w:spacing w:after="140" w:before="240"/>
      </w:pPr>
      <w:r>
        <w:rPr>
          <w:rFonts w:ascii="Calibri" w:cs="Calibri" w:eastAsia="Calibri" w:hAnsi="Calibri"/>
          <w:b/>
          <w:bCs/>
          <w:color w:val="2E8B8B"/>
          <w:sz w:val="25"/>
          <w:szCs w:val="25"/>
        </w:rPr>
        <w:t xml:space="preserve">Question one — impact</w:t>
      </w:r>
    </w:p>
    <w:p>
      <w:pPr>
        <w:spacing w:after="120" w:before="0"/>
      </w:pPr>
      <w:r>
        <w:rPr>
          <w:rFonts w:ascii="Calibri" w:cs="Calibri" w:eastAsia="Calibri" w:hAnsi="Calibri"/>
          <w:color w:val="22303F"/>
          <w:sz w:val="21"/>
          <w:szCs w:val="21"/>
        </w:rPr>
        <w:t xml:space="preserve">What does this change affect? The agent investigates as it sees fit — there is no scripted sequence of tool calls. It decides which changes warrant a closer look, whether to re-check a surprising result, and when it has enough evidence. A comment edit, a brand-new function nothing calls yet, and a change to a method ninety tasks reach are not treated alike just because all three are “changes”.</w:t>
      </w:r>
    </w:p>
    <w:p>
      <w:pPr>
        <w:pStyle w:val="Heading2"/>
        <w:spacing w:after="140" w:before="240"/>
      </w:pPr>
      <w:r>
        <w:rPr>
          <w:rFonts w:ascii="Calibri" w:cs="Calibri" w:eastAsia="Calibri" w:hAnsi="Calibri"/>
          <w:b/>
          <w:bCs/>
          <w:color w:val="C55A11"/>
          <w:sz w:val="25"/>
          <w:szCs w:val="25"/>
        </w:rPr>
        <w:t xml:space="preserve">Question two — completeness</w:t>
      </w:r>
    </w:p>
    <w:p>
      <w:pPr>
        <w:spacing w:after="120" w:before="0"/>
      </w:pPr>
      <w:r>
        <w:rPr>
          <w:rFonts w:ascii="Calibri" w:cs="Calibri" w:eastAsia="Calibri" w:hAnsi="Calibri"/>
          <w:color w:val="22303F"/>
          <w:sz w:val="21"/>
          <w:szCs w:val="21"/>
        </w:rPr>
        <w:t xml:space="preserve">What does this change imply that was not done? This needs the whole branch rather than the diff, because the evidence for an omission is in files nobody touched. Five repo-wide tools:</w:t>
      </w:r>
    </w:p>
    <w:tbl>
      <w:tblPr>
        <w:tblW w:type="auto" w:w="100"/>
        <w:tblBorders>
          <w:top w:val="single" w:color="C6D0DC" w:sz="4"/>
          <w:left w:val="single" w:color="C6D0DC" w:sz="4"/>
          <w:bottom w:val="single" w:color="C6D0DC" w:sz="4"/>
          <w:right w:val="single" w:color="C6D0DC" w:sz="4"/>
          <w:insideH w:val="single" w:color="C6D0DC" w:sz="4"/>
          <w:insideV w:val="single" w:color="C6D0DC" w:sz="4"/>
        </w:tblBorders>
      </w:tblPr>
      <w:tblGrid>
        <w:gridCol w:w="2600"/>
        <w:gridCol w:w="6760"/>
      </w:tblGrid>
      <w:tr>
        <w:trPr>
          <w:cantSplit/>
          <w:tblHeader/>
        </w:trPr>
        <w:tc>
          <w:tcPr>
            <w:tcW w:type="dxa" w:w="260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Tool</w:t>
            </w:r>
          </w:p>
        </w:tc>
        <w:tc>
          <w:tcPr>
            <w:tcW w:type="dxa" w:w="6760"/>
            <w:shd w:fill="1F386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Answers</w:t>
            </w:r>
          </w:p>
        </w:tc>
      </w:tr>
      <w:tr>
        <w:trPr>
          <w:cantSplit/>
        </w:trPr>
        <w:tc>
          <w:tcPr>
            <w:tcW w:type="dxa" w:w="2600"/>
            <w:tcMar>
              <w:top w:type="dxa" w:w="70"/>
              <w:left w:type="dxa" w:w="110"/>
              <w:bottom w:type="dxa" w:w="70"/>
              <w:right w:type="dxa" w:w="110"/>
            </w:tcMar>
          </w:tcPr>
          <w:p>
            <w:pPr>
              <w:spacing w:after="0"/>
            </w:pPr>
            <w:r>
              <w:rPr>
                <w:rFonts w:ascii="Consolas" w:cs="Consolas" w:eastAsia="Consolas" w:hAnsi="Consolas"/>
                <w:color w:val="22303F"/>
                <w:sz w:val="17"/>
                <w:szCs w:val="17"/>
              </w:rPr>
              <w:t xml:space="preserve">search_code</w:t>
            </w:r>
          </w:p>
        </w:tc>
        <w:tc>
          <w:tcPr>
            <w:tcW w:type="dxa" w:w="6760"/>
            <w:tcMar>
              <w:top w:type="dxa" w:w="70"/>
              <w:left w:type="dxa" w:w="110"/>
              <w:bottom w:type="dxa" w:w="70"/>
              <w:right w:type="dxa" w:w="110"/>
            </w:tcMar>
          </w:tcPr>
          <w:p>
            <w:pPr>
              <w:spacing w:after="0"/>
            </w:pPr>
            <w:r>
              <w:rPr>
                <w:rFonts w:ascii="Calibri" w:cs="Calibri" w:eastAsia="Calibri" w:hAnsi="Calibri"/>
                <w:color w:val="22303F"/>
                <w:sz w:val="19"/>
                <w:szCs w:val="19"/>
              </w:rPr>
              <w:t xml:space="preserve">every line matching a pattern, and which matching files the branch did NOT change</w:t>
            </w:r>
          </w:p>
        </w:tc>
      </w:tr>
      <w:tr>
        <w:trPr>
          <w:cantSplit/>
        </w:trPr>
        <w:tc>
          <w:tcPr>
            <w:tcW w:type="dxa" w:w="2600"/>
            <w:shd w:fill="EEF2F7" w:val="clear"/>
            <w:tcMar>
              <w:top w:type="dxa" w:w="70"/>
              <w:left w:type="dxa" w:w="110"/>
              <w:bottom w:type="dxa" w:w="70"/>
              <w:right w:type="dxa" w:w="110"/>
            </w:tcMar>
          </w:tcPr>
          <w:p>
            <w:pPr>
              <w:spacing w:after="0"/>
            </w:pPr>
            <w:r>
              <w:rPr>
                <w:rFonts w:ascii="Consolas" w:cs="Consolas" w:eastAsia="Consolas" w:hAnsi="Consolas"/>
                <w:color w:val="22303F"/>
                <w:sz w:val="17"/>
                <w:szCs w:val="17"/>
              </w:rPr>
              <w:t xml:space="preserve">find_usages</w:t>
            </w:r>
          </w:p>
        </w:tc>
        <w:tc>
          <w:tcPr>
            <w:tcW w:type="dxa" w:w="676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every call site of a symbol repo-wide, and which of those files went untouched</w:t>
            </w:r>
          </w:p>
        </w:tc>
      </w:tr>
      <w:tr>
        <w:trPr>
          <w:cantSplit/>
        </w:trPr>
        <w:tc>
          <w:tcPr>
            <w:tcW w:type="dxa" w:w="2600"/>
            <w:tcMar>
              <w:top w:type="dxa" w:w="70"/>
              <w:left w:type="dxa" w:w="110"/>
              <w:bottom w:type="dxa" w:w="70"/>
              <w:right w:type="dxa" w:w="110"/>
            </w:tcMar>
          </w:tcPr>
          <w:p>
            <w:pPr>
              <w:spacing w:after="0"/>
            </w:pPr>
            <w:r>
              <w:rPr>
                <w:rFonts w:ascii="Consolas" w:cs="Consolas" w:eastAsia="Consolas" w:hAnsi="Consolas"/>
                <w:color w:val="22303F"/>
                <w:sz w:val="17"/>
                <w:szCs w:val="17"/>
              </w:rPr>
              <w:t xml:space="preserve">find_definition</w:t>
            </w:r>
          </w:p>
        </w:tc>
        <w:tc>
          <w:tcPr>
            <w:tcW w:type="dxa" w:w="6760"/>
            <w:tcMar>
              <w:top w:type="dxa" w:w="70"/>
              <w:left w:type="dxa" w:w="110"/>
              <w:bottom w:type="dxa" w:w="70"/>
              <w:right w:type="dxa" w:w="110"/>
            </w:tcMar>
          </w:tcPr>
          <w:p>
            <w:pPr>
              <w:spacing w:after="0"/>
            </w:pPr>
            <w:r>
              <w:rPr>
                <w:rFonts w:ascii="Calibri" w:cs="Calibri" w:eastAsia="Calibri" w:hAnsi="Calibri"/>
                <w:color w:val="22303F"/>
                <w:sz w:val="19"/>
                <w:szCs w:val="19"/>
              </w:rPr>
              <w:t xml:space="preserve">where a function or class is defined</w:t>
            </w:r>
          </w:p>
        </w:tc>
      </w:tr>
      <w:tr>
        <w:trPr>
          <w:cantSplit/>
        </w:trPr>
        <w:tc>
          <w:tcPr>
            <w:tcW w:type="dxa" w:w="2600"/>
            <w:shd w:fill="EEF2F7" w:val="clear"/>
            <w:tcMar>
              <w:top w:type="dxa" w:w="70"/>
              <w:left w:type="dxa" w:w="110"/>
              <w:bottom w:type="dxa" w:w="70"/>
              <w:right w:type="dxa" w:w="110"/>
            </w:tcMar>
          </w:tcPr>
          <w:p>
            <w:pPr>
              <w:spacing w:after="0"/>
            </w:pPr>
            <w:r>
              <w:rPr>
                <w:rFonts w:ascii="Consolas" w:cs="Consolas" w:eastAsia="Consolas" w:hAnsi="Consolas"/>
                <w:color w:val="22303F"/>
                <w:sz w:val="17"/>
                <w:szCs w:val="17"/>
              </w:rPr>
              <w:t xml:space="preserve">read_file</w:t>
            </w:r>
          </w:p>
        </w:tc>
        <w:tc>
          <w:tcPr>
            <w:tcW w:type="dxa" w:w="6760"/>
            <w:shd w:fill="EEF2F7" w:val="clear"/>
            <w:tcMar>
              <w:top w:type="dxa" w:w="70"/>
              <w:left w:type="dxa" w:w="110"/>
              <w:bottom w:type="dxa" w:w="70"/>
              <w:right w:type="dxa" w:w="110"/>
            </w:tcMar>
          </w:tcPr>
          <w:p>
            <w:pPr>
              <w:spacing w:after="0"/>
            </w:pPr>
            <w:r>
              <w:rPr>
                <w:rFonts w:ascii="Calibri" w:cs="Calibri" w:eastAsia="Calibri" w:hAnsi="Calibri"/>
                <w:color w:val="22303F"/>
                <w:sz w:val="19"/>
                <w:szCs w:val="19"/>
              </w:rPr>
              <w:t xml:space="preserve">any file, changed or not — to confirm a suspicion before reporting it</w:t>
            </w:r>
          </w:p>
        </w:tc>
      </w:tr>
      <w:tr>
        <w:trPr>
          <w:cantSplit/>
        </w:trPr>
        <w:tc>
          <w:tcPr>
            <w:tcW w:type="dxa" w:w="2600"/>
            <w:tcMar>
              <w:top w:type="dxa" w:w="70"/>
              <w:left w:type="dxa" w:w="110"/>
              <w:bottom w:type="dxa" w:w="70"/>
              <w:right w:type="dxa" w:w="110"/>
            </w:tcMar>
          </w:tcPr>
          <w:p>
            <w:pPr>
              <w:spacing w:after="0"/>
            </w:pPr>
            <w:r>
              <w:rPr>
                <w:rFonts w:ascii="Consolas" w:cs="Consolas" w:eastAsia="Consolas" w:hAnsi="Consolas"/>
                <w:color w:val="22303F"/>
                <w:sz w:val="17"/>
                <w:szCs w:val="17"/>
              </w:rPr>
              <w:t xml:space="preserve">list_repo_files</w:t>
            </w:r>
          </w:p>
        </w:tc>
        <w:tc>
          <w:tcPr>
            <w:tcW w:type="dxa" w:w="6760"/>
            <w:tcMar>
              <w:top w:type="dxa" w:w="70"/>
              <w:left w:type="dxa" w:w="110"/>
              <w:bottom w:type="dxa" w:w="70"/>
              <w:right w:type="dxa" w:w="110"/>
            </w:tcMar>
          </w:tcPr>
          <w:p>
            <w:pPr>
              <w:spacing w:after="0"/>
            </w:pPr>
            <w:r>
              <w:rPr>
                <w:rFonts w:ascii="Calibri" w:cs="Calibri" w:eastAsia="Calibri" w:hAnsi="Calibri"/>
                <w:color w:val="22303F"/>
                <w:sz w:val="19"/>
                <w:szCs w:val="19"/>
              </w:rPr>
              <w:t xml:space="preserve">the siblings of a changed file</w:t>
            </w:r>
          </w:p>
        </w:tc>
      </w:tr>
    </w:tbl>
    <w:p>
      <w:pPr>
        <w:spacing w:after="120" w:before="100"/>
      </w:pPr>
      <w:r>
        <w:rPr>
          <w:rFonts w:ascii="Calibri" w:cs="Calibri" w:eastAsia="Calibri" w:hAnsi="Calibri"/>
          <w:color w:val="22303F"/>
          <w:sz w:val="21"/>
          <w:szCs w:val="21"/>
        </w:rPr>
        <w:t xml:space="preserve">Typical findings: an insight_type wired into the SQL mapping but never into the dummy config; a signature change applied to three of four call sites; a key added to one environment section but not the other.</w:t>
      </w:r>
    </w:p>
    <w:p>
      <w:pPr>
        <w:spacing w:after="120" w:before="0"/>
      </w:pPr>
      <w:r>
        <w:rPr>
          <w:rFonts w:ascii="Calibri" w:cs="Calibri" w:eastAsia="Calibri" w:hAnsi="Calibri"/>
          <w:color w:val="22303F"/>
          <w:sz w:val="21"/>
          <w:szCs w:val="21"/>
        </w:rPr>
        <w:t xml:space="preserve">Every gap carries evidence — file paths and line numbers the agent actually looked at — plus files to check, a confidence level and a recommendation.</w:t>
      </w:r>
    </w:p>
    <w:tbl>
      <w:tblPr>
        <w:tblW w:type="auto" w:w="100"/>
        <w:tblBorders>
          <w:top w:val="none"/>
          <w:left w:val="single" w:color="auto" w:sz="4"/>
          <w:bottom w:val="none"/>
          <w:right w:val="none"/>
          <w:insideH w:val="none"/>
          <w:insideV w:val="none"/>
        </w:tblBorders>
      </w:tblPr>
      <w:tblGrid>
        <w:gridCol w:w="9360"/>
      </w:tblGrid>
      <w:tr>
        <w:trPr>
          <w:cantSplit/>
        </w:trPr>
        <w:tc>
          <w:tcPr>
            <w:tcW w:type="dxa" w:w="9360"/>
            <w:tcBorders>
              <w:left w:val="single" w:color="2E8B8B" w:sz="22"/>
            </w:tcBorders>
            <w:shd w:fill="E8F4F4" w:val="clear"/>
            <w:tcMar>
              <w:top w:type="dxa" w:w="130"/>
              <w:left w:type="dxa" w:w="170"/>
              <w:bottom w:type="dxa" w:w="130"/>
              <w:right w:type="dxa" w:w="170"/>
            </w:tcMar>
          </w:tcPr>
          <w:p>
            <w:pPr>
              <w:spacing w:after="60"/>
            </w:pPr>
            <w:r>
              <w:rPr>
                <w:rFonts w:ascii="Calibri" w:cs="Calibri" w:eastAsia="Calibri" w:hAnsi="Calibri"/>
                <w:b/>
                <w:bCs/>
                <w:color w:val="2E8B8B"/>
                <w:sz w:val="21"/>
                <w:szCs w:val="21"/>
              </w:rPr>
              <w:t xml:space="preserve">Low-confidence gaps are reported on purpose</w:t>
            </w:r>
          </w:p>
          <w:p>
            <w:pPr>
              <w:spacing w:after="0"/>
            </w:pPr>
            <w:r>
              <w:rPr>
                <w:rFonts w:ascii="Calibri" w:cs="Calibri" w:eastAsia="Calibri" w:hAnsi="Calibri"/>
                <w:color w:val="22303F"/>
                <w:sz w:val="20"/>
                <w:szCs w:val="20"/>
              </w:rPr>
              <w:t xml:space="preserve">The agent is told to raise a doubtful gap rather than stay silent. A developer dismisses a wrong suggestion in seconds; nobody ever finds an omission that was never mentioned. Equally, it does not invent gaps — an empty sheet is the right answer when the branch is consistent, and it says so explicitly rather than just being blank.</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abde63ce150dfc6846f2fc7453432f84da3f0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NLG Change Impact</dc:title>
  <dc:creator>STAAT Data Science</dc:creator>
  <dc:description>Purpose and process</dc:description>
  <cp:lastModifiedBy>Un-named</cp:lastModifiedBy>
  <cp:revision>1</cp:revision>
  <dcterms:created xsi:type="dcterms:W3CDTF">2026-09-04T19:59:43.073Z</dcterms:created>
  <dcterms:modified xsi:type="dcterms:W3CDTF">2026-09-04T19:59:43.085Z</dcterms:modified>
</cp:coreProperties>
</file>

<file path=docProps/custom.xml><?xml version="1.0" encoding="utf-8"?>
<Properties xmlns="http://schemas.openxmlformats.org/officeDocument/2006/custom-properties" xmlns:vt="http://schemas.openxmlformats.org/officeDocument/2006/docPropsVTypes"/>
</file>