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jc w:val="center"/>
      </w:pPr>
      <w:r>
        <w:rPr>
          <w:rFonts w:ascii="Calibri" w:cs="Calibri" w:eastAsia="Calibri" w:hAnsi="Calibri"/>
          <w:b/>
          <w:bCs/>
          <w:color w:val="1F3864"/>
          <w:sz w:val="64"/>
          <w:szCs w:val="64"/>
        </w:rPr>
        <w:t xml:space="preserve">CID Analysis</w:t>
      </w:r>
    </w:p>
    <w:p>
      <w:pPr>
        <w:spacing w:after="60"/>
        <w:jc w:val="center"/>
      </w:pPr>
      <w:r>
        <w:rPr>
          <w:rFonts w:ascii="Calibri" w:cs="Calibri" w:eastAsia="Calibri" w:hAnsi="Calibri"/>
          <w:color w:val="2E5C9A"/>
          <w:sz w:val="26"/>
          <w:szCs w:val="26"/>
        </w:rPr>
        <w:t xml:space="preserve">Client-Identifying Data check for the NLG dummy pipeline</w:t>
      </w:r>
    </w:p>
    <w:p>
      <w:pPr>
        <w:spacing w:after="520"/>
        <w:jc w:val="center"/>
      </w:pPr>
      <w:r>
        <w:rPr>
          <w:rFonts w:ascii="Calibri" w:cs="Calibri" w:eastAsia="Calibri" w:hAnsi="Calibri"/>
          <w:color w:val="5B6B7C"/>
          <w:sz w:val="22"/>
          <w:szCs w:val="22"/>
        </w:rPr>
        <w:t xml:space="preserve">nlg_dummy   ·   nlg_dummy2</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400"/>
        <w:gridCol w:w="6960"/>
      </w:tblGrid>
      <w:tr>
        <w:trPr>
          <w:cantSplit/>
        </w:trPr>
        <w:tc>
          <w:tcPr>
            <w:tcW w:type="dxa" w:w="2400"/>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Purpose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Stop client-identifying data reaching the narrative output unmasked</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Runs as</w:t>
            </w:r>
          </w:p>
        </w:tc>
        <w:tc>
          <w:tcPr>
            <w:tcW w:type="dxa" w:w="6960"/>
            <w:shd w:fill="EEF2F7" w:val="clear"/>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A task in the existing nlg_dummy and nlg_dummy2 DAGs, after start_nlg</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Outcome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XLSX + HTML report, emailed on every run; the task fails when a person must look</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Owner</w:t>
            </w:r>
          </w:p>
        </w:tc>
        <w:tc>
          <w:tcPr>
            <w:tcW w:type="dxa" w:w="6960"/>
            <w:shd w:fill="EEF2F7" w:val="clear"/>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STAAT Data Science</w:t>
            </w:r>
          </w:p>
        </w:tc>
      </w:tr>
    </w:tbl>
    <w:p>
      <w:r>
        <w:br w:type="page"/>
      </w:r>
    </w:p>
    <w:p>
      <w:pPr>
        <w:pStyle w:val="Heading1"/>
        <w:spacing w:after="140" w:before="320"/>
      </w:pPr>
      <w:r>
        <w:rPr>
          <w:rFonts w:ascii="Calibri" w:cs="Calibri" w:eastAsia="Calibri" w:hAnsi="Calibri"/>
          <w:b/>
          <w:bCs/>
          <w:color w:val="1F3864"/>
          <w:sz w:val="30"/>
          <w:szCs w:val="30"/>
        </w:rPr>
        <w:t xml:space="preserve">1.  Purpose</w:t>
      </w:r>
    </w:p>
    <w:p>
      <w:pPr>
        <w:spacing w:after="120" w:before="0"/>
      </w:pPr>
      <w:r>
        <w:rPr>
          <w:rFonts w:ascii="Calibri" w:cs="Calibri" w:eastAsia="Calibri" w:hAnsi="Calibri"/>
          <w:color w:val="22303F"/>
          <w:sz w:val="21"/>
          <w:szCs w:val="21"/>
        </w:rPr>
        <w:t xml:space="preserve">The NLG pipeline turns rows from profile tables into narrative text that a client or an adviser reads. Some of those columns hold client-identifying data — names, addresses, account identifiers. Where such a value is written into narrative text, or selected into the dummy configuration without being hashed, it is exposed.</w:t>
      </w:r>
    </w:p>
    <w:p>
      <w:pPr>
        <w:spacing w:after="120" w:before="0"/>
      </w:pPr>
      <w:r>
        <w:rPr>
          <w:rFonts w:ascii="Calibri" w:cs="Calibri" w:eastAsia="Calibri" w:hAnsi="Calibri"/>
          <w:color w:val="22303F"/>
          <w:sz w:val="21"/>
          <w:szCs w:val="21"/>
        </w:rPr>
        <w:t xml:space="preserve">This check reads the code deployed on the worker — the code about to run — works out exactly where each CID column's value would reach the output, and stops the pipeline when it finds one that is not masked. It also reports every column newly added to a profile table, because until somebody decides whether a new column is client-identifying, nobody can say the pipeline is safe.</w:t>
      </w:r>
    </w:p>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B3261E" w:sz="22"/>
            </w:tcBorders>
            <w:shd w:fill="FDECEA" w:val="clear"/>
            <w:tcMar>
              <w:top w:type="dxa" w:w="130"/>
              <w:left w:type="dxa" w:w="170"/>
              <w:bottom w:type="dxa" w:w="130"/>
              <w:right w:type="dxa" w:w="170"/>
            </w:tcMar>
          </w:tcPr>
          <w:p>
            <w:pPr>
              <w:spacing w:after="60"/>
            </w:pPr>
            <w:r>
              <w:rPr>
                <w:rFonts w:ascii="Calibri" w:cs="Calibri" w:eastAsia="Calibri" w:hAnsi="Calibri"/>
                <w:b/>
                <w:bCs/>
                <w:color w:val="B3261E"/>
                <w:sz w:val="21"/>
                <w:szCs w:val="21"/>
              </w:rPr>
              <w:t xml:space="preserve">Why it fails the task rather than just warning</w:t>
            </w:r>
          </w:p>
          <w:p>
            <w:pPr>
              <w:spacing w:after="0"/>
            </w:pPr>
            <w:r>
              <w:rPr>
                <w:rFonts w:ascii="Calibri" w:cs="Calibri" w:eastAsia="Calibri" w:hAnsi="Calibri"/>
                <w:color w:val="22303F"/>
                <w:sz w:val="20"/>
                <w:szCs w:val="20"/>
              </w:rPr>
              <w:t xml:space="preserve">A warning in a log is read after the fact. Failing the task stops the run at the point the problem was introduced, while the change is still someone's active work — which is the only moment the fix is cheap.</w:t>
            </w:r>
          </w:p>
        </w:tc>
      </w:tr>
    </w:tbl>
    <w:p>
      <w:pPr>
        <w:pStyle w:val="Heading2"/>
        <w:spacing w:after="140" w:before="240"/>
      </w:pPr>
      <w:r>
        <w:rPr>
          <w:rFonts w:ascii="Calibri" w:cs="Calibri" w:eastAsia="Calibri" w:hAnsi="Calibri"/>
          <w:b/>
          <w:bCs/>
          <w:color w:val="2E5C9A"/>
          <w:sz w:val="25"/>
          <w:szCs w:val="25"/>
        </w:rPr>
        <w:t xml:space="preserve">What it protects against</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3100"/>
        <w:gridCol w:w="6260"/>
      </w:tblGrid>
      <w:tr>
        <w:trPr>
          <w:cantSplit/>
          <w:tblHeader/>
        </w:trPr>
        <w:tc>
          <w:tcPr>
            <w:tcW w:type="dxa" w:w="3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Risk</w:t>
            </w:r>
          </w:p>
        </w:tc>
        <w:tc>
          <w:tcPr>
            <w:tcW w:type="dxa" w:w="62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the check catches it</w:t>
            </w:r>
          </w:p>
        </w:tc>
      </w:tr>
      <w:tr>
        <w:trPr>
          <w:cantSplit/>
        </w:trPr>
        <w:tc>
          <w:tcPr>
            <w:tcW w:type="dxa" w:w="3100"/>
            <w:tcMar>
              <w:top w:type="dxa" w:w="70"/>
              <w:left w:type="dxa" w:w="110"/>
              <w:bottom w:type="dxa" w:w="70"/>
              <w:right w:type="dxa" w:w="110"/>
            </w:tcMar>
          </w:tcPr>
          <w:p>
            <w:pPr>
              <w:spacing w:after="0"/>
            </w:pPr>
            <w:r>
              <w:rPr>
                <w:rFonts w:ascii="Calibri" w:cs="Calibri" w:eastAsia="Calibri" w:hAnsi="Calibri"/>
                <w:color w:val="22303F"/>
                <w:sz w:val="19"/>
                <w:szCs w:val="19"/>
              </w:rPr>
              <w:t xml:space="preserve">A CID column written into narrative text</w:t>
            </w:r>
          </w:p>
        </w:tc>
        <w:tc>
          <w:tcPr>
            <w:tcW w:type="dxa" w:w="6260"/>
            <w:tcMar>
              <w:top w:type="dxa" w:w="70"/>
              <w:left w:type="dxa" w:w="110"/>
              <w:bottom w:type="dxa" w:w="70"/>
              <w:right w:type="dxa" w:w="110"/>
            </w:tcMar>
          </w:tcPr>
          <w:p>
            <w:pPr>
              <w:spacing w:after="0"/>
            </w:pPr>
            <w:r>
              <w:rPr>
                <w:rFonts w:ascii="Calibri" w:cs="Calibri" w:eastAsia="Calibri" w:hAnsi="Calibri"/>
                <w:color w:val="22303F"/>
                <w:sz w:val="19"/>
                <w:szCs w:val="19"/>
              </w:rPr>
              <w:t xml:space="preserve">Step 3 — any exposed use in sql_column_mapping</w:t>
            </w:r>
          </w:p>
        </w:tc>
      </w:tr>
      <w:tr>
        <w:trPr>
          <w:cantSplit/>
        </w:trPr>
        <w:tc>
          <w:tcPr>
            <w:tcW w:type="dxa" w:w="31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CID column selected without hashing</w:t>
            </w:r>
          </w:p>
        </w:tc>
        <w:tc>
          <w:tcPr>
            <w:tcW w:type="dxa" w:w="62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Step 4 — any exposed use in input_data_config_dummy without MD5</w:t>
            </w:r>
          </w:p>
        </w:tc>
      </w:tr>
      <w:tr>
        <w:trPr>
          <w:cantSplit/>
        </w:trPr>
        <w:tc>
          <w:tcPr>
            <w:tcW w:type="dxa" w:w="3100"/>
            <w:tcMar>
              <w:top w:type="dxa" w:w="70"/>
              <w:left w:type="dxa" w:w="110"/>
              <w:bottom w:type="dxa" w:w="70"/>
              <w:right w:type="dxa" w:w="110"/>
            </w:tcMar>
          </w:tcPr>
          <w:p>
            <w:pPr>
              <w:spacing w:after="0"/>
            </w:pPr>
            <w:r>
              <w:rPr>
                <w:rFonts w:ascii="Calibri" w:cs="Calibri" w:eastAsia="Calibri" w:hAnsi="Calibri"/>
                <w:color w:val="22303F"/>
                <w:sz w:val="19"/>
                <w:szCs w:val="19"/>
              </w:rPr>
              <w:t xml:space="preserve">A new column nobody has classified</w:t>
            </w:r>
          </w:p>
        </w:tc>
        <w:tc>
          <w:tcPr>
            <w:tcW w:type="dxa" w:w="6260"/>
            <w:tcMar>
              <w:top w:type="dxa" w:w="70"/>
              <w:left w:type="dxa" w:w="110"/>
              <w:bottom w:type="dxa" w:w="70"/>
              <w:right w:type="dxa" w:w="110"/>
            </w:tcMar>
          </w:tcPr>
          <w:p>
            <w:pPr>
              <w:spacing w:after="0"/>
            </w:pPr>
            <w:r>
              <w:rPr>
                <w:rFonts w:ascii="Calibri" w:cs="Calibri" w:eastAsia="Calibri" w:hAnsi="Calibri"/>
                <w:color w:val="22303F"/>
                <w:sz w:val="19"/>
                <w:szCs w:val="19"/>
              </w:rPr>
              <w:t xml:space="preserve">Step 5 — every column present in the schema under test but not in production</w:t>
            </w:r>
          </w:p>
        </w:tc>
      </w:tr>
      <w:tr>
        <w:trPr>
          <w:cantSplit/>
        </w:trPr>
        <w:tc>
          <w:tcPr>
            <w:tcW w:type="dxa" w:w="31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CID column added upstream and used immediately</w:t>
            </w:r>
          </w:p>
        </w:tc>
        <w:tc>
          <w:tcPr>
            <w:tcW w:type="dxa" w:w="62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Step 5 re-runs steps 3 and 4 on each new CID column</w:t>
            </w:r>
          </w:p>
        </w:tc>
      </w:tr>
    </w:tbl>
    <w:p>
      <w:pPr>
        <w:pStyle w:val="Heading1"/>
        <w:pageBreakBefore/>
        <w:spacing w:after="140" w:before="320"/>
      </w:pPr>
      <w:r>
        <w:rPr>
          <w:rFonts w:ascii="Calibri" w:cs="Calibri" w:eastAsia="Calibri" w:hAnsi="Calibri"/>
          <w:b/>
          <w:bCs/>
          <w:color w:val="1F3864"/>
          <w:sz w:val="30"/>
          <w:szCs w:val="30"/>
        </w:rPr>
        <w:t xml:space="preserve">2.  Process flow</w:t>
      </w:r>
    </w:p>
    <w:p>
      <w:pPr>
        <w:spacing w:after="200" w:before="0"/>
      </w:pPr>
      <w:r>
        <w:rPr>
          <w:rFonts w:ascii="Calibri" w:cs="Calibri" w:eastAsia="Calibri" w:hAnsi="Calibri"/>
          <w:color w:val="22303F"/>
          <w:sz w:val="21"/>
          <w:szCs w:val="21"/>
        </w:rPr>
        <w:t xml:space="preserve">The task sits immediately after start_nlg. Everything below happens inside it.</w:t>
      </w:r>
    </w:p>
    <w:p>
      <w:pPr>
        <w:spacing w:after="120"/>
        <w:jc w:val="center"/>
      </w:pPr>
      <w:r>
        <w:drawing>
          <wp:inline distT="0" distB="0" distL="0" distR="0">
            <wp:extent cx="57150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581775"/>
                    </a:xfrm>
                    <a:prstGeom prst="rect">
                      <a:avLst/>
                    </a:prstGeom>
                  </pic:spPr>
                </pic:pic>
              </a:graphicData>
            </a:graphic>
          </wp:inline>
        </w:drawing>
      </w:r>
    </w:p>
    <w:p>
      <w:r>
        <w:br w:type="page"/>
      </w:r>
    </w:p>
    <w:p>
      <w:pPr>
        <w:pStyle w:val="Heading1"/>
        <w:pageBreakBefore/>
        <w:spacing w:after="140" w:before="320"/>
      </w:pPr>
      <w:r>
        <w:rPr>
          <w:rFonts w:ascii="Calibri" w:cs="Calibri" w:eastAsia="Calibri" w:hAnsi="Calibri"/>
          <w:b/>
          <w:bCs/>
          <w:color w:val="1F3864"/>
          <w:sz w:val="30"/>
          <w:szCs w:val="30"/>
        </w:rPr>
        <w:t xml:space="preserve">3.  The six steps</w:t>
      </w:r>
    </w:p>
    <w:p>
      <w:pPr>
        <w:pStyle w:val="Heading2"/>
        <w:spacing w:after="140" w:before="240"/>
      </w:pPr>
      <w:r>
        <w:rPr>
          <w:rFonts w:ascii="Calibri" w:cs="Calibri" w:eastAsia="Calibri" w:hAnsi="Calibri"/>
          <w:b/>
          <w:bCs/>
          <w:color w:val="7030A0"/>
          <w:sz w:val="25"/>
          <w:szCs w:val="25"/>
        </w:rPr>
        <w:t xml:space="preserve">Step 1 — which DAG, and therefore which schema</w:t>
      </w:r>
    </w:p>
    <w:p>
      <w:pPr>
        <w:spacing w:after="120" w:before="0"/>
      </w:pPr>
      <w:r>
        <w:rPr>
          <w:rFonts w:ascii="Calibri" w:cs="Calibri" w:eastAsia="Calibri" w:hAnsi="Calibri"/>
          <w:color w:val="22303F"/>
          <w:sz w:val="21"/>
          <w:szCs w:val="21"/>
        </w:rPr>
        <w:t xml:space="preserve">The task reads its own DAG id from the Airflow context. That decides which schema the profile tables are compared against in step 5.</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DAG</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Schema compared against production core_ikg</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nlg_dummy</w:t>
            </w:r>
          </w:p>
        </w:tc>
        <w:tc>
          <w:tcPr>
            <w:tcW w:type="dxa" w:w="6760"/>
            <w:tcMar>
              <w:top w:type="dxa" w:w="70"/>
              <w:left w:type="dxa" w:w="110"/>
              <w:bottom w:type="dxa" w:w="70"/>
              <w:right w:type="dxa" w:w="110"/>
            </w:tcMar>
          </w:tcPr>
          <w:p>
            <w:pPr>
              <w:spacing w:after="0"/>
            </w:pPr>
            <w:r>
              <w:rPr>
                <w:rFonts w:ascii="Consolas" w:cs="Consolas" w:eastAsia="Consolas" w:hAnsi="Consolas"/>
                <w:color w:val="22303F"/>
                <w:sz w:val="17"/>
                <w:szCs w:val="17"/>
              </w:rPr>
              <w:t xml:space="preserve">IKG_PRE_PROD_SCHEMA   (UAT)</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nlg_dummy2</w:t>
            </w:r>
          </w:p>
        </w:tc>
        <w:tc>
          <w:tcPr>
            <w:tcW w:type="dxa" w:w="676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IKG_SCHEMA   (Dev)</w:t>
            </w:r>
          </w:p>
        </w:tc>
      </w:tr>
    </w:tbl>
    <w:p>
      <w:pPr>
        <w:spacing w:after="160" w:before="0"/>
      </w:pPr>
      <w:r>
        <w:rPr>
          <w:rFonts w:ascii="Calibri" w:cs="Calibri" w:eastAsia="Calibri" w:hAnsi="Calibri"/>
          <w:color w:val="22303F"/>
          <w:sz w:val="21"/>
          <w:szCs w:val="21"/>
        </w:rPr>
        <w:t xml:space="preserve">Nothing else has to be supplied. The code being analysed is the deployment on the worker, so there is nothing to select and no source-control credential to manage.</w:t>
      </w:r>
    </w:p>
    <w:p>
      <w:pPr>
        <w:pStyle w:val="Heading2"/>
        <w:spacing w:after="140" w:before="240"/>
      </w:pPr>
      <w:r>
        <w:rPr>
          <w:rFonts w:ascii="Calibri" w:cs="Calibri" w:eastAsia="Calibri" w:hAnsi="Calibri"/>
          <w:b/>
          <w:bCs/>
          <w:color w:val="7030A0"/>
          <w:sz w:val="25"/>
          <w:szCs w:val="25"/>
        </w:rPr>
        <w:t xml:space="preserve">Step 2 — the CID column list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SELECT * FROM core_ikg.cid_columns_metadata_manual_refresh</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WHERE upper(trim(is_cid)) = 'Y'</w:t>
      </w:r>
    </w:p>
    <w:p>
      <w:pPr>
        <w:spacing w:after="120" w:before="80"/>
      </w:pPr>
      <w:r>
        <w:rPr>
          <w:rFonts w:ascii="Calibri" w:cs="Calibri" w:eastAsia="Calibri" w:hAnsi="Calibri"/>
          <w:color w:val="22303F"/>
          <w:sz w:val="21"/>
          <w:szCs w:val="21"/>
        </w:rPr>
        <w:t xml:space="preserve">Always from production core_ikg, whichever DAG is running. A development copy of “which columns are client-identifying” would make the whole check meaningless.</w:t>
      </w:r>
    </w:p>
    <w:p>
      <w:pPr>
        <w:pStyle w:val="Heading2"/>
        <w:spacing w:after="140" w:before="240"/>
      </w:pPr>
      <w:r>
        <w:rPr>
          <w:rFonts w:ascii="Calibri" w:cs="Calibri" w:eastAsia="Calibri" w:hAnsi="Calibri"/>
          <w:b/>
          <w:bCs/>
          <w:color w:val="1F7A4D"/>
          <w:sz w:val="25"/>
          <w:szCs w:val="25"/>
        </w:rPr>
        <w:t xml:space="preserve">Steps 3 and 4 — where the columns are used</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500"/>
        <w:gridCol w:w="3300"/>
        <w:gridCol w:w="3560"/>
      </w:tblGrid>
      <w:tr>
        <w:trPr>
          <w:cantSplit/>
          <w:tblHeader/>
        </w:trPr>
        <w:tc>
          <w:tcPr>
            <w:tcW w:type="dxa" w:w="25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Folder</w:t>
            </w:r>
          </w:p>
        </w:tc>
        <w:tc>
          <w:tcPr>
            <w:tcW w:type="dxa" w:w="33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is flagged</w:t>
            </w:r>
          </w:p>
        </w:tc>
        <w:tc>
          <w:tcPr>
            <w:tcW w:type="dxa" w:w="3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the rule differs</w:t>
            </w:r>
          </w:p>
        </w:tc>
      </w:tr>
      <w:tr>
        <w:trPr>
          <w:cantSplit/>
        </w:trPr>
        <w:tc>
          <w:tcPr>
            <w:tcW w:type="dxa" w:w="2500"/>
            <w:tcMar>
              <w:top w:type="dxa" w:w="70"/>
              <w:left w:type="dxa" w:w="110"/>
              <w:bottom w:type="dxa" w:w="70"/>
              <w:right w:type="dxa" w:w="110"/>
            </w:tcMar>
          </w:tcPr>
          <w:p>
            <w:pPr>
              <w:spacing w:after="0"/>
            </w:pPr>
            <w:r>
              <w:rPr>
                <w:rFonts w:ascii="Calibri" w:cs="Calibri" w:eastAsia="Calibri" w:hAnsi="Calibri"/>
                <w:color w:val="22303F"/>
                <w:sz w:val="19"/>
                <w:szCs w:val="19"/>
              </w:rPr>
              <w:t xml:space="preserve">sql_column_mapping</w:t>
            </w:r>
          </w:p>
        </w:tc>
        <w:tc>
          <w:tcPr>
            <w:tcW w:type="dxa" w:w="3300"/>
            <w:tcMar>
              <w:top w:type="dxa" w:w="70"/>
              <w:left w:type="dxa" w:w="110"/>
              <w:bottom w:type="dxa" w:w="70"/>
              <w:right w:type="dxa" w:w="110"/>
            </w:tcMar>
          </w:tcPr>
          <w:p>
            <w:pPr>
              <w:spacing w:after="0"/>
            </w:pPr>
            <w:r>
              <w:rPr>
                <w:rFonts w:ascii="Calibri" w:cs="Calibri" w:eastAsia="Calibri" w:hAnsi="Calibri"/>
                <w:color w:val="22303F"/>
                <w:sz w:val="19"/>
                <w:szCs w:val="19"/>
              </w:rPr>
              <w:t xml:space="preserve">the value reaches narrative text unmasked</w:t>
            </w:r>
          </w:p>
        </w:tc>
        <w:tc>
          <w:tcPr>
            <w:tcW w:type="dxa" w:w="3560"/>
            <w:tcMar>
              <w:top w:type="dxa" w:w="70"/>
              <w:left w:type="dxa" w:w="110"/>
              <w:bottom w:type="dxa" w:w="70"/>
              <w:right w:type="dxa" w:w="110"/>
            </w:tcMar>
          </w:tcPr>
          <w:p>
            <w:pPr>
              <w:spacing w:after="0"/>
            </w:pPr>
            <w:r>
              <w:rPr>
                <w:rFonts w:ascii="Calibri" w:cs="Calibri" w:eastAsia="Calibri" w:hAnsi="Calibri"/>
                <w:color w:val="22303F"/>
                <w:sz w:val="19"/>
                <w:szCs w:val="19"/>
              </w:rPr>
              <w:t xml:space="preserve">these expressions build the text a person reads</w:t>
            </w:r>
          </w:p>
        </w:tc>
      </w:tr>
      <w:tr>
        <w:trPr>
          <w:cantSplit/>
        </w:trPr>
        <w:tc>
          <w:tcPr>
            <w:tcW w:type="dxa" w:w="25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input_data_config_dummy</w:t>
            </w:r>
          </w:p>
        </w:tc>
        <w:tc>
          <w:tcPr>
            <w:tcW w:type="dxa" w:w="33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value is selected without MD5</w:t>
            </w:r>
          </w:p>
        </w:tc>
        <w:tc>
          <w:tcPr>
            <w:tcW w:type="dxa" w:w="35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this layer may carry CID columns provided they are hashed</w:t>
            </w:r>
          </w:p>
        </w:tc>
      </w:tr>
    </w:tbl>
    <w:p>
      <w:pPr>
        <w:pStyle w:val="Heading2"/>
        <w:spacing w:after="140" w:before="240"/>
      </w:pPr>
      <w:r>
        <w:rPr>
          <w:rFonts w:ascii="Calibri" w:cs="Calibri" w:eastAsia="Calibri" w:hAnsi="Calibri"/>
          <w:b/>
          <w:bCs/>
          <w:color w:val="1F7A4D"/>
          <w:sz w:val="25"/>
          <w:szCs w:val="25"/>
        </w:rPr>
        <w:t xml:space="preserve">Step 5 — new columns</w:t>
      </w:r>
    </w:p>
    <w:p>
      <w:pPr>
        <w:spacing w:after="120" w:before="0"/>
      </w:pPr>
      <w:r>
        <w:rPr>
          <w:rFonts w:ascii="Calibri" w:cs="Calibri" w:eastAsia="Calibri" w:hAnsi="Calibri"/>
          <w:color w:val="22303F"/>
          <w:sz w:val="21"/>
          <w:szCs w:val="21"/>
        </w:rPr>
        <w:t xml:space="preserve">Profile tables behind each dummy config are compared between the schema under test and production. A column present in one and not the other is new. Each new CID column then goes through steps 3 and 4; every new column is reported either way, with its data type and each place the deployed code uses it.</w:t>
      </w:r>
    </w:p>
    <w:p>
      <w:pPr>
        <w:spacing w:after="120" w:before="0"/>
      </w:pPr>
      <w:r>
        <w:rPr>
          <w:rFonts w:ascii="Calibri" w:cs="Calibri" w:eastAsia="Calibri" w:hAnsi="Calibri"/>
          <w:i/>
          <w:iCs/>
          <w:color w:val="5B6B7C"/>
          <w:sz w:val="21"/>
          <w:szCs w:val="21"/>
        </w:rPr>
        <w:t xml:space="preserve">Views are excluded from the comparison: a view's columns are a projection of a table's, so counting them would report the same new column several times over.</w:t>
      </w:r>
    </w:p>
    <w:p>
      <w:pPr>
        <w:pStyle w:val="Heading2"/>
        <w:pageBreakBefore/>
        <w:spacing w:after="140" w:before="240"/>
      </w:pPr>
      <w:r>
        <w:rPr>
          <w:rFonts w:ascii="Calibri" w:cs="Calibri" w:eastAsia="Calibri" w:hAnsi="Calibri"/>
          <w:b/>
          <w:bCs/>
          <w:color w:val="C55A11"/>
          <w:sz w:val="25"/>
          <w:szCs w:val="25"/>
        </w:rPr>
        <w:t xml:space="preserve">Step 6 — the verdict</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4600"/>
        <w:gridCol w:w="2200"/>
        <w:gridCol w:w="2560"/>
      </w:tblGrid>
      <w:tr>
        <w:trPr>
          <w:cantSplit/>
          <w:tblHeader/>
        </w:trPr>
        <w:tc>
          <w:tcPr>
            <w:tcW w:type="dxa" w:w="4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Situation</w:t>
            </w:r>
          </w:p>
        </w:tc>
        <w:tc>
          <w:tcPr>
            <w:tcW w:type="dxa" w:w="2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Task</w:t>
            </w:r>
          </w:p>
        </w:tc>
        <w:tc>
          <w:tcPr>
            <w:tcW w:type="dxa" w:w="2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Email</w:t>
            </w:r>
          </w:p>
        </w:tc>
      </w:tr>
      <w:tr>
        <w:trPr>
          <w:cantSplit/>
        </w:trPr>
        <w:tc>
          <w:tcPr>
            <w:tcW w:type="dxa" w:w="4600"/>
            <w:tcMar>
              <w:top w:type="dxa" w:w="70"/>
              <w:left w:type="dxa" w:w="110"/>
              <w:bottom w:type="dxa" w:w="70"/>
              <w:right w:type="dxa" w:w="110"/>
            </w:tcMar>
          </w:tcPr>
          <w:p>
            <w:pPr>
              <w:spacing w:after="0"/>
            </w:pPr>
            <w:r>
              <w:rPr>
                <w:rFonts w:ascii="Calibri" w:cs="Calibri" w:eastAsia="Calibri" w:hAnsi="Calibri"/>
                <w:color w:val="22303F"/>
                <w:sz w:val="19"/>
                <w:szCs w:val="19"/>
              </w:rPr>
              <w:t xml:space="preserve">Nothing flagged, no new columns</w:t>
            </w:r>
          </w:p>
        </w:tc>
        <w:tc>
          <w:tcPr>
            <w:tcW w:type="dxa" w:w="2200"/>
            <w:tcMar>
              <w:top w:type="dxa" w:w="70"/>
              <w:left w:type="dxa" w:w="110"/>
              <w:bottom w:type="dxa" w:w="70"/>
              <w:right w:type="dxa" w:w="110"/>
            </w:tcMar>
          </w:tcPr>
          <w:p>
            <w:pPr>
              <w:spacing w:after="0"/>
            </w:pPr>
            <w:r>
              <w:rPr>
                <w:rFonts w:ascii="Calibri" w:cs="Calibri" w:eastAsia="Calibri" w:hAnsi="Calibri"/>
                <w:color w:val="22303F"/>
                <w:sz w:val="19"/>
                <w:szCs w:val="19"/>
              </w:rPr>
              <w:t xml:space="preserve">passes</w:t>
            </w:r>
          </w:p>
        </w:tc>
        <w:tc>
          <w:tcPr>
            <w:tcW w:type="dxa" w:w="2560"/>
            <w:tcMar>
              <w:top w:type="dxa" w:w="70"/>
              <w:left w:type="dxa" w:w="110"/>
              <w:bottom w:type="dxa" w:w="70"/>
              <w:right w:type="dxa" w:w="110"/>
            </w:tcMar>
          </w:tcPr>
          <w:p>
            <w:pPr>
              <w:spacing w:after="0"/>
            </w:pPr>
            <w:r>
              <w:rPr>
                <w:rFonts w:ascii="Calibri" w:cs="Calibri" w:eastAsia="Calibri" w:hAnsi="Calibri"/>
                <w:color w:val="22303F"/>
                <w:sz w:val="19"/>
                <w:szCs w:val="19"/>
              </w:rPr>
              <w:t xml:space="preserve">report sent</w:t>
            </w:r>
          </w:p>
        </w:tc>
      </w:tr>
      <w:tr>
        <w:trPr>
          <w:cantSplit/>
        </w:trPr>
        <w:tc>
          <w:tcPr>
            <w:tcW w:type="dxa" w:w="46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Anything flagged</w:t>
            </w:r>
          </w:p>
        </w:tc>
        <w:tc>
          <w:tcPr>
            <w:tcW w:type="dxa" w:w="22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FAILS</w:t>
            </w:r>
          </w:p>
        </w:tc>
        <w:tc>
          <w:tcPr>
            <w:tcW w:type="dxa" w:w="25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report sent</w:t>
            </w:r>
          </w:p>
        </w:tc>
      </w:tr>
      <w:tr>
        <w:trPr>
          <w:cantSplit/>
        </w:trPr>
        <w:tc>
          <w:tcPr>
            <w:tcW w:type="dxa" w:w="46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 flags but any new column</w:t>
            </w:r>
          </w:p>
        </w:tc>
        <w:tc>
          <w:tcPr>
            <w:tcW w:type="dxa" w:w="22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FAILS</w:t>
            </w:r>
          </w:p>
        </w:tc>
        <w:tc>
          <w:tcPr>
            <w:tcW w:type="dxa" w:w="25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report sent</w:t>
            </w:r>
          </w:p>
        </w:tc>
      </w:tr>
      <w:tr>
        <w:trPr>
          <w:cantSplit/>
        </w:trPr>
        <w:tc>
          <w:tcPr>
            <w:tcW w:type="dxa" w:w="46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Analysis could not run</w:t>
            </w:r>
          </w:p>
        </w:tc>
        <w:tc>
          <w:tcPr>
            <w:tcW w:type="dxa" w:w="22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FAILS</w:t>
            </w:r>
          </w:p>
        </w:tc>
        <w:tc>
          <w:tcPr>
            <w:tcW w:type="dxa" w:w="25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error sent</w:t>
            </w:r>
          </w:p>
        </w:tc>
      </w:tr>
    </w:tbl>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C55A11" w:sz="22"/>
            </w:tcBorders>
            <w:shd w:fill="FDF1E7" w:val="clear"/>
            <w:tcMar>
              <w:top w:type="dxa" w:w="130"/>
              <w:left w:type="dxa" w:w="170"/>
              <w:bottom w:type="dxa" w:w="130"/>
              <w:right w:type="dxa" w:w="170"/>
            </w:tcMar>
          </w:tcPr>
          <w:p>
            <w:pPr>
              <w:spacing w:after="60"/>
            </w:pPr>
            <w:r>
              <w:rPr>
                <w:rFonts w:ascii="Calibri" w:cs="Calibri" w:eastAsia="Calibri" w:hAnsi="Calibri"/>
                <w:b/>
                <w:bCs/>
                <w:color w:val="C55A11"/>
                <w:sz w:val="21"/>
                <w:szCs w:val="21"/>
              </w:rPr>
              <w:t xml:space="preserve">Why a new column alone fails the task</w:t>
            </w:r>
          </w:p>
          <w:p>
            <w:pPr>
              <w:spacing w:after="0"/>
            </w:pPr>
            <w:r>
              <w:rPr>
                <w:rFonts w:ascii="Calibri" w:cs="Calibri" w:eastAsia="Calibri" w:hAnsi="Calibri"/>
                <w:color w:val="22303F"/>
                <w:sz w:val="20"/>
                <w:szCs w:val="20"/>
              </w:rPr>
              <w:t xml:space="preserve">A new column is not a violation. But nobody has yet decided whether it is client-identifying, and a silent pass would let that decision be skipped entirely — the column would reach production unreviewed. This holds whether or not it is marked CID, and whether or not the deployed code uses it yet.</w:t>
            </w:r>
          </w:p>
        </w:tc>
      </w:tr>
    </w:tbl>
    <w:p>
      <w:pPr>
        <w:pStyle w:val="Heading1"/>
        <w:pageBreakBefore/>
        <w:spacing w:after="140" w:before="320"/>
      </w:pPr>
      <w:r>
        <w:rPr>
          <w:rFonts w:ascii="Calibri" w:cs="Calibri" w:eastAsia="Calibri" w:hAnsi="Calibri"/>
          <w:b/>
          <w:bCs/>
          <w:color w:val="1F3864"/>
          <w:sz w:val="30"/>
          <w:szCs w:val="30"/>
        </w:rPr>
        <w:t xml:space="preserve">4.  Where masking is actually required</w:t>
      </w:r>
    </w:p>
    <w:p>
      <w:pPr>
        <w:spacing w:after="120" w:before="0"/>
      </w:pPr>
      <w:r>
        <w:rPr>
          <w:rFonts w:ascii="Calibri" w:cs="Calibri" w:eastAsia="Calibri" w:hAnsi="Calibri"/>
          <w:color w:val="22303F"/>
          <w:sz w:val="21"/>
          <w:szCs w:val="21"/>
        </w:rPr>
        <w:t xml:space="preserve">A CID column leaks only when its value reaches the output. Using it to filter, count, group, compare or order reveals nothing, so those uses are not findings. Consider:</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case when b.x &gt; 0 then b.x else b.y end</w:t>
      </w:r>
    </w:p>
    <w:p>
      <w:pPr>
        <w:spacing w:after="120" w:before="80"/>
      </w:pPr>
      <w:r>
        <w:rPr>
          <w:rFonts w:ascii="Calibri" w:cs="Calibri" w:eastAsia="Calibri" w:hAnsi="Calibri"/>
          <w:color w:val="22303F"/>
          <w:sz w:val="21"/>
          <w:szCs w:val="21"/>
        </w:rPr>
        <w:t xml:space="preserve">The column appears twice and the two are judged separately:</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400"/>
        <w:gridCol w:w="4600"/>
        <w:gridCol w:w="2360"/>
      </w:tblGrid>
      <w:tr>
        <w:trPr>
          <w:cantSplit/>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Occurrence</w:t>
            </w:r>
          </w:p>
        </w:tc>
        <w:tc>
          <w:tcPr>
            <w:tcW w:type="dxa" w:w="4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Context</w:t>
            </w:r>
          </w:p>
        </w:tc>
        <w:tc>
          <w:tcPr>
            <w:tcW w:type="dxa" w:w="23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Verdict</w:t>
            </w:r>
          </w:p>
        </w:tc>
      </w:tr>
      <w:tr>
        <w:trPr>
          <w:cantSplit/>
        </w:trPr>
        <w:tc>
          <w:tcPr>
            <w:tcW w:type="dxa" w:w="2400"/>
            <w:shd w:fill="E7F6EC"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when b.x &gt; 0</w:t>
            </w:r>
          </w:p>
        </w:tc>
        <w:tc>
          <w:tcPr>
            <w:tcW w:type="dxa" w:w="4600"/>
            <w:shd w:fill="E7F6EC"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test — the reader sees only whether it passed</w:t>
            </w:r>
          </w:p>
        </w:tc>
        <w:tc>
          <w:tcPr>
            <w:tcW w:type="dxa" w:w="2360"/>
            <w:shd w:fill="E7F6EC"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 masking needed</w:t>
            </w:r>
          </w:p>
        </w:tc>
      </w:tr>
      <w:tr>
        <w:trPr>
          <w:cantSplit/>
        </w:trPr>
        <w:tc>
          <w:tcPr>
            <w:tcW w:type="dxa" w:w="2400"/>
            <w:shd w:fill="FDECEA"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then b.x</w:t>
            </w:r>
          </w:p>
        </w:tc>
        <w:tc>
          <w:tcPr>
            <w:tcW w:type="dxa" w:w="460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returned value</w:t>
            </w:r>
          </w:p>
        </w:tc>
        <w:tc>
          <w:tcPr>
            <w:tcW w:type="dxa" w:w="23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must be hashed</w:t>
            </w:r>
          </w:p>
        </w:tc>
      </w:tr>
    </w:tbl>
    <w:p>
      <w:pPr>
        <w:spacing w:after="120" w:before="60"/>
      </w:pPr>
      <w:r>
        <w:rPr>
          <w:rFonts w:ascii="Consolas" w:cs="Consolas" w:eastAsia="Consolas" w:hAnsi="Consolas"/>
          <w:color w:val="22303F"/>
          <w:sz w:val="19"/>
          <w:szCs w:val="19"/>
        </w:rPr>
        <w:t xml:space="preserve">So the fix is  case when b.x &gt; 0 then MD5(b.x) else b.y end  — not masking the comparison, which would change what the test does.</w:t>
      </w:r>
    </w:p>
    <w:p>
      <w:pPr>
        <w:pStyle w:val="Heading2"/>
        <w:spacing w:after="140" w:before="240"/>
      </w:pPr>
      <w:r>
        <w:rPr>
          <w:rFonts w:ascii="Calibri" w:cs="Calibri" w:eastAsia="Calibri" w:hAnsi="Calibri"/>
          <w:b/>
          <w:bCs/>
          <w:color w:val="1F7A4D"/>
          <w:sz w:val="25"/>
          <w:szCs w:val="25"/>
        </w:rPr>
        <w:t xml:space="preserve">Contexts that need no masking</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4200"/>
        <w:gridCol w:w="5160"/>
      </w:tblGrid>
      <w:tr>
        <w:trPr>
          <w:cantSplit/>
          <w:tblHeader/>
        </w:trPr>
        <w:tc>
          <w:tcPr>
            <w:tcW w:type="dxa" w:w="4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Context</w:t>
            </w:r>
          </w:p>
        </w:tc>
        <w:tc>
          <w:tcPr>
            <w:tcW w:type="dxa" w:w="5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Example</w:t>
            </w:r>
          </w:p>
        </w:tc>
      </w:tr>
      <w:tr>
        <w:trPr>
          <w:cantSplit/>
        </w:trPr>
        <w:tc>
          <w:tcPr>
            <w:tcW w:type="dxa" w:w="4200"/>
            <w:tcMar>
              <w:top w:type="dxa" w:w="70"/>
              <w:left w:type="dxa" w:w="110"/>
              <w:bottom w:type="dxa" w:w="70"/>
              <w:right w:type="dxa" w:w="110"/>
            </w:tcMar>
          </w:tcPr>
          <w:p>
            <w:pPr>
              <w:spacing w:after="0"/>
            </w:pPr>
            <w:r>
              <w:rPr>
                <w:rFonts w:ascii="Calibri" w:cs="Calibri" w:eastAsia="Calibri" w:hAnsi="Calibri"/>
                <w:color w:val="22303F"/>
                <w:sz w:val="19"/>
                <w:szCs w:val="19"/>
              </w:rPr>
              <w:t xml:space="preserve">COUNT, LENGTH, ARRAY_LENGTH, POSITION</w:t>
            </w:r>
          </w:p>
        </w:tc>
        <w:tc>
          <w:tcPr>
            <w:tcW w:type="dxa" w:w="5160"/>
            <w:tcMar>
              <w:top w:type="dxa" w:w="70"/>
              <w:left w:type="dxa" w:w="110"/>
              <w:bottom w:type="dxa" w:w="70"/>
              <w:right w:type="dxa" w:w="110"/>
            </w:tcMar>
          </w:tcPr>
          <w:p>
            <w:pPr>
              <w:spacing w:after="0"/>
            </w:pPr>
            <w:r>
              <w:rPr>
                <w:rFonts w:ascii="Consolas" w:cs="Consolas" w:eastAsia="Consolas" w:hAnsi="Consolas"/>
                <w:color w:val="22303F"/>
                <w:sz w:val="17"/>
                <w:szCs w:val="17"/>
              </w:rPr>
              <w:t xml:space="preserve">count(b.acc_i)</w:t>
            </w:r>
          </w:p>
        </w:tc>
      </w:tr>
      <w:tr>
        <w:trPr>
          <w:cantSplit/>
        </w:trPr>
        <w:tc>
          <w:tcPr>
            <w:tcW w:type="dxa" w:w="42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PARTITION BY</w:t>
            </w:r>
          </w:p>
        </w:tc>
        <w:tc>
          <w:tcPr>
            <w:tcW w:type="dxa" w:w="516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OVER (PARTITION BY b.acc_mhh_n)</w:t>
            </w:r>
          </w:p>
        </w:tc>
      </w:tr>
      <w:tr>
        <w:trPr>
          <w:cantSplit/>
        </w:trPr>
        <w:tc>
          <w:tcPr>
            <w:tcW w:type="dxa" w:w="4200"/>
            <w:tcMar>
              <w:top w:type="dxa" w:w="70"/>
              <w:left w:type="dxa" w:w="110"/>
              <w:bottom w:type="dxa" w:w="70"/>
              <w:right w:type="dxa" w:w="110"/>
            </w:tcMar>
          </w:tcPr>
          <w:p>
            <w:pPr>
              <w:spacing w:after="0"/>
            </w:pPr>
            <w:r>
              <w:rPr>
                <w:rFonts w:ascii="Calibri" w:cs="Calibri" w:eastAsia="Calibri" w:hAnsi="Calibri"/>
                <w:color w:val="22303F"/>
                <w:sz w:val="19"/>
                <w:szCs w:val="19"/>
              </w:rPr>
              <w:t xml:space="preserve">ORDER BY / GROUP BY</w:t>
            </w:r>
          </w:p>
        </w:tc>
        <w:tc>
          <w:tcPr>
            <w:tcW w:type="dxa" w:w="5160"/>
            <w:tcMar>
              <w:top w:type="dxa" w:w="70"/>
              <w:left w:type="dxa" w:w="110"/>
              <w:bottom w:type="dxa" w:w="70"/>
              <w:right w:type="dxa" w:w="110"/>
            </w:tcMar>
          </w:tcPr>
          <w:p>
            <w:pPr>
              <w:spacing w:after="0"/>
            </w:pPr>
            <w:r>
              <w:rPr>
                <w:rFonts w:ascii="Consolas" w:cs="Consolas" w:eastAsia="Consolas" w:hAnsi="Consolas"/>
                <w:color w:val="22303F"/>
                <w:sz w:val="17"/>
                <w:szCs w:val="17"/>
              </w:rPr>
              <w:t xml:space="preserve">order by b.ip_frst_x</w:t>
            </w:r>
          </w:p>
        </w:tc>
      </w:tr>
      <w:tr>
        <w:trPr>
          <w:cantSplit/>
        </w:trPr>
        <w:tc>
          <w:tcPr>
            <w:tcW w:type="dxa" w:w="42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WHERE / HAVING / FILTER / join ON</w:t>
            </w:r>
          </w:p>
        </w:tc>
        <w:tc>
          <w:tcPr>
            <w:tcW w:type="dxa" w:w="516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filter (where b.ip_cli_i = '1')</w:t>
            </w:r>
          </w:p>
        </w:tc>
      </w:tr>
      <w:tr>
        <w:trPr>
          <w:cantSplit/>
        </w:trPr>
        <w:tc>
          <w:tcPr>
            <w:tcW w:type="dxa" w:w="4200"/>
            <w:tcMar>
              <w:top w:type="dxa" w:w="70"/>
              <w:left w:type="dxa" w:w="110"/>
              <w:bottom w:type="dxa" w:w="70"/>
              <w:right w:type="dxa" w:w="110"/>
            </w:tcMar>
          </w:tcPr>
          <w:p>
            <w:pPr>
              <w:spacing w:after="0"/>
            </w:pPr>
            <w:r>
              <w:rPr>
                <w:rFonts w:ascii="Calibri" w:cs="Calibri" w:eastAsia="Calibri" w:hAnsi="Calibri"/>
                <w:color w:val="22303F"/>
                <w:sz w:val="19"/>
                <w:szCs w:val="19"/>
              </w:rPr>
              <w:t xml:space="preserve">A CASE WHEN condition</w:t>
            </w:r>
          </w:p>
        </w:tc>
        <w:tc>
          <w:tcPr>
            <w:tcW w:type="dxa" w:w="5160"/>
            <w:tcMar>
              <w:top w:type="dxa" w:w="70"/>
              <w:left w:type="dxa" w:w="110"/>
              <w:bottom w:type="dxa" w:w="70"/>
              <w:right w:type="dxa" w:w="110"/>
            </w:tcMar>
          </w:tcPr>
          <w:p>
            <w:pPr>
              <w:spacing w:after="0"/>
            </w:pPr>
            <w:r>
              <w:rPr>
                <w:rFonts w:ascii="Consolas" w:cs="Consolas" w:eastAsia="Consolas" w:hAnsi="Consolas"/>
                <w:color w:val="22303F"/>
                <w:sz w:val="17"/>
                <w:szCs w:val="17"/>
              </w:rPr>
              <w:t xml:space="preserve">when b.x is not null</w:t>
            </w:r>
          </w:p>
        </w:tc>
      </w:tr>
      <w:tr>
        <w:trPr>
          <w:cantSplit/>
        </w:trPr>
        <w:tc>
          <w:tcPr>
            <w:tcW w:type="dxa" w:w="42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Either operand of a comparison</w:t>
            </w:r>
          </w:p>
        </w:tc>
        <w:tc>
          <w:tcPr>
            <w:tcW w:type="dxa" w:w="516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b.x &gt; 0,   b.x in (…),   b.x is null</w:t>
            </w:r>
          </w:p>
        </w:tc>
      </w:tr>
    </w:tbl>
    <w:p>
      <w:pPr>
        <w:spacing w:after="120" w:before="100"/>
      </w:pPr>
      <w:r>
        <w:rPr>
          <w:rFonts w:ascii="Calibri" w:cs="Calibri" w:eastAsia="Calibri" w:hAnsi="Calibri"/>
          <w:color w:val="22303F"/>
          <w:sz w:val="21"/>
          <w:szCs w:val="21"/>
        </w:rPr>
        <w:t xml:space="preserve">Contexts that DO expose the value: a bare selection, a THEN or ELSE result, STRING_AGG, MAX/MIN, COALESCE, SUBSTRING, UPPER/TRIM/INITCAP, string concatenation — anything whose output carries the value itself.</w:t>
      </w:r>
    </w:p>
    <w:p>
      <w:pPr>
        <w:pStyle w:val="Heading2"/>
        <w:spacing w:after="140" w:before="240"/>
      </w:pPr>
      <w:r>
        <w:rPr>
          <w:rFonts w:ascii="Calibri" w:cs="Calibri" w:eastAsia="Calibri" w:hAnsi="Calibri"/>
          <w:b/>
          <w:bCs/>
          <w:color w:val="1F7A4D"/>
          <w:sz w:val="25"/>
          <w:szCs w:val="25"/>
        </w:rPr>
        <w:t xml:space="preserve">Masking is parsed, not pattern-matched</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6400"/>
        <w:gridCol w:w="2960"/>
      </w:tblGrid>
      <w:tr>
        <w:trPr>
          <w:cantSplit/>
          <w:tblHeader/>
        </w:trPr>
        <w:tc>
          <w:tcPr>
            <w:tcW w:type="dxa" w:w="6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Expression</w:t>
            </w:r>
          </w:p>
        </w:tc>
        <w:tc>
          <w:tcPr>
            <w:tcW w:type="dxa" w:w="2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Masked?</w:t>
            </w:r>
          </w:p>
        </w:tc>
      </w:tr>
      <w:tr>
        <w:trPr>
          <w:cantSplit/>
        </w:trPr>
        <w:tc>
          <w:tcPr>
            <w:tcW w:type="dxa" w:w="6400"/>
            <w:shd w:fill="E7F6EC"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substring(MD5(b.ip_frst_x),1,8)</w:t>
            </w:r>
          </w:p>
        </w:tc>
        <w:tc>
          <w:tcPr>
            <w:tcW w:type="dxa" w:w="2960"/>
            <w:shd w:fill="E7F6EC"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yes</w:t>
            </w:r>
          </w:p>
        </w:tc>
      </w:tr>
      <w:tr>
        <w:trPr>
          <w:cantSplit/>
        </w:trPr>
        <w:tc>
          <w:tcPr>
            <w:tcW w:type="dxa" w:w="6400"/>
            <w:shd w:fill="FDECEA"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b.ip_frst_x</w:t>
            </w:r>
          </w:p>
        </w:tc>
        <w:tc>
          <w:tcPr>
            <w:tcW w:type="dxa" w:w="29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w:t>
            </w:r>
          </w:p>
        </w:tc>
      </w:tr>
      <w:tr>
        <w:trPr>
          <w:cantSplit/>
        </w:trPr>
        <w:tc>
          <w:tcPr>
            <w:tcW w:type="dxa" w:w="6400"/>
            <w:shd w:fill="FDECEA"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MD5(b.a) || b.ip_frst_x</w:t>
            </w:r>
          </w:p>
        </w:tc>
        <w:tc>
          <w:tcPr>
            <w:tcW w:type="dxa" w:w="2960"/>
            <w:shd w:fill="FDECEA"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 — the second use is bare</w:t>
            </w:r>
          </w:p>
        </w:tc>
      </w:tr>
    </w:tbl>
    <w:p>
      <w:pPr>
        <w:spacing w:after="120" w:before="60"/>
      </w:pPr>
      <w:r>
        <w:rPr>
          <w:rFonts w:ascii="Calibri" w:cs="Calibri" w:eastAsia="Calibri" w:hAnsi="Calibri"/>
          <w:color w:val="22303F"/>
          <w:sz w:val="21"/>
          <w:szCs w:val="21"/>
        </w:rPr>
        <w:t xml:space="preserve">The third case is why searching the text for “md5” is not enough: the expression contains MD5, but one of the two uses is bare, and one bare use is enough to leak the value. Masking counts only when every occurrence sits inside a hashing call.</w:t>
      </w:r>
    </w:p>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2E8B8B" w:sz="22"/>
            </w:tcBorders>
            <w:shd w:fill="E8F4F4" w:val="clear"/>
            <w:tcMar>
              <w:top w:type="dxa" w:w="130"/>
              <w:left w:type="dxa" w:w="170"/>
              <w:bottom w:type="dxa" w:w="130"/>
              <w:right w:type="dxa" w:w="170"/>
            </w:tcMar>
          </w:tcPr>
          <w:p>
            <w:pPr>
              <w:spacing w:after="60"/>
            </w:pPr>
            <w:r>
              <w:rPr>
                <w:rFonts w:ascii="Calibri" w:cs="Calibri" w:eastAsia="Calibri" w:hAnsi="Calibri"/>
                <w:b/>
                <w:bCs/>
                <w:color w:val="2E8B8B"/>
                <w:sz w:val="21"/>
                <w:szCs w:val="21"/>
              </w:rPr>
              <w:t xml:space="preserve">Output aliases are not uses</w:t>
            </w:r>
          </w:p>
          <w:p>
            <w:pPr>
              <w:spacing w:after="0"/>
            </w:pPr>
            <w:r>
              <w:rPr>
                <w:rFonts w:ascii="Calibri" w:cs="Calibri" w:eastAsia="Calibri" w:hAnsi="Calibri"/>
                <w:color w:val="22303F"/>
                <w:sz w:val="20"/>
                <w:szCs w:val="20"/>
              </w:rPr>
              <w:t xml:space="preserve">An alias usually repeats the column it came from — substring(MD5(b.lead_acc_title),1,8) as lead_acc_title. Counting the alias as a second occurrence would make a correctly hashed expression look like a leak, so the trailing alias is removed before anything is examined.</w:t>
            </w:r>
          </w:p>
        </w:tc>
      </w:tr>
    </w:tbl>
    <w:p>
      <w:pPr>
        <w:pStyle w:val="Heading1"/>
        <w:pageBreakBefore/>
        <w:spacing w:after="140" w:before="320"/>
      </w:pPr>
      <w:r>
        <w:rPr>
          <w:rFonts w:ascii="Calibri" w:cs="Calibri" w:eastAsia="Calibri" w:hAnsi="Calibri"/>
          <w:b/>
          <w:bCs/>
          <w:color w:val="1F3864"/>
          <w:sz w:val="30"/>
          <w:szCs w:val="30"/>
        </w:rPr>
        <w:t xml:space="preserve">5.  How it runs</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400"/>
        <w:gridCol w:w="6960"/>
      </w:tblGrid>
      <w:tr>
        <w:trPr>
          <w:cantSplit/>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Aspect</w:t>
            </w:r>
          </w:p>
        </w:tc>
        <w:tc>
          <w:tcPr>
            <w:tcW w:type="dxa" w:w="6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Detail</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Source of the code</w:t>
            </w:r>
          </w:p>
        </w:tc>
        <w:tc>
          <w:tcPr>
            <w:tcW w:type="dxa" w:w="6960"/>
            <w:tcMar>
              <w:top w:type="dxa" w:w="70"/>
              <w:left w:type="dxa" w:w="110"/>
              <w:bottom w:type="dxa" w:w="70"/>
              <w:right w:type="dxa" w:w="110"/>
            </w:tcMar>
          </w:tcPr>
          <w:p>
            <w:pPr>
              <w:spacing w:after="0"/>
            </w:pPr>
            <w:r>
              <w:rPr>
                <w:rFonts w:ascii="Calibri" w:cs="Calibri" w:eastAsia="Calibri" w:hAnsi="Calibri"/>
                <w:color w:val="22303F"/>
                <w:sz w:val="19"/>
                <w:szCs w:val="19"/>
              </w:rPr>
              <w:t xml:space="preserve">the deployment on this worker — /opt/airflow/dags/nlg/src</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Folders read</w:t>
            </w:r>
          </w:p>
        </w:tc>
        <w:tc>
          <w:tcPr>
            <w:tcW w:type="dxa" w:w="69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input_data_config_dummy and sql_column_mapping, located by folder name at any depth</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Network calls</w:t>
            </w:r>
          </w:p>
        </w:tc>
        <w:tc>
          <w:tcPr>
            <w:tcW w:type="dxa" w:w="6960"/>
            <w:tcMar>
              <w:top w:type="dxa" w:w="70"/>
              <w:left w:type="dxa" w:w="110"/>
              <w:bottom w:type="dxa" w:w="70"/>
              <w:right w:type="dxa" w:w="110"/>
            </w:tcMar>
          </w:tcPr>
          <w:p>
            <w:pPr>
              <w:spacing w:after="0"/>
            </w:pPr>
            <w:r>
              <w:rPr>
                <w:rFonts w:ascii="Calibri" w:cs="Calibri" w:eastAsia="Calibri" w:hAnsi="Calibri"/>
                <w:color w:val="22303F"/>
                <w:sz w:val="19"/>
                <w:szCs w:val="19"/>
              </w:rPr>
              <w:t xml:space="preserve">Greenplum only — no source-control access, no token</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Position</w:t>
            </w:r>
          </w:p>
        </w:tc>
        <w:tc>
          <w:tcPr>
            <w:tcW w:type="dxa" w:w="69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immediately after start_nlg</w:t>
            </w:r>
          </w:p>
        </w:tc>
      </w:tr>
    </w:tbl>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2E8B8B" w:sz="22"/>
            </w:tcBorders>
            <w:shd w:fill="E8F4F4" w:val="clear"/>
            <w:tcMar>
              <w:top w:type="dxa" w:w="130"/>
              <w:left w:type="dxa" w:w="170"/>
              <w:bottom w:type="dxa" w:w="130"/>
              <w:right w:type="dxa" w:w="170"/>
            </w:tcMar>
          </w:tcPr>
          <w:p>
            <w:pPr>
              <w:spacing w:after="60"/>
            </w:pPr>
            <w:r>
              <w:rPr>
                <w:rFonts w:ascii="Calibri" w:cs="Calibri" w:eastAsia="Calibri" w:hAnsi="Calibri"/>
                <w:b/>
                <w:bCs/>
                <w:color w:val="2E8B8B"/>
                <w:sz w:val="21"/>
                <w:szCs w:val="21"/>
              </w:rPr>
              <w:t xml:space="preserve">Why it reads from disk</w:t>
            </w:r>
          </w:p>
          <w:p>
            <w:pPr>
              <w:spacing w:after="0"/>
            </w:pPr>
            <w:r>
              <w:rPr>
                <w:rFonts w:ascii="Calibri" w:cs="Calibri" w:eastAsia="Calibri" w:hAnsi="Calibri"/>
                <w:color w:val="22303F"/>
                <w:sz w:val="20"/>
                <w:szCs w:val="20"/>
              </w:rPr>
              <w:t xml:space="preserve">The code the task analyses is the deployment that is about to run. Fetching the source from anywhere else could analyse a different revision from the one on the worker — the one thing this check must never do. Reading from disk removes that gap entirely, and is faster besides.</w:t>
            </w:r>
          </w:p>
        </w:tc>
      </w:tr>
    </w:tbl>
    <w:p>
      <w:pPr>
        <w:pStyle w:val="Heading2"/>
        <w:spacing w:after="140" w:before="240"/>
      </w:pPr>
      <w:r>
        <w:rPr>
          <w:rFonts w:ascii="Calibri" w:cs="Calibri" w:eastAsia="Calibri" w:hAnsi="Calibri"/>
          <w:b/>
          <w:bCs/>
          <w:color w:val="2E5C9A"/>
          <w:sz w:val="25"/>
          <w:szCs w:val="25"/>
        </w:rPr>
        <w:t xml:space="preserve">Wiring it into the DAG — two lines</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from nlg.src.cid import build_task</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cid_analysis = build_task()</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chain(start_nlg, cid_analysis, nlg_latest_odm_insights, ...)</w:t>
      </w:r>
    </w:p>
    <w:p>
      <w:pPr>
        <w:spacing w:after="120" w:before="120"/>
      </w:pPr>
      <w:r>
        <w:rPr>
          <w:rFonts w:ascii="Calibri" w:cs="Calibri" w:eastAsia="Calibri" w:hAnsi="Calibri"/>
          <w:color w:val="22303F"/>
          <w:sz w:val="21"/>
          <w:szCs w:val="21"/>
        </w:rPr>
        <w:t xml:space="preserve">One task does the whole job: it analyses, writes both reports, emails them, and only then raises. Sending before raising is what makes a single task work — the attachment exists whether the run passed, found something, or errored.</w:t>
      </w:r>
    </w:p>
    <w:p>
      <w:pPr>
        <w:pStyle w:val="Heading2"/>
        <w:spacing w:after="140" w:before="240"/>
      </w:pPr>
      <w:r>
        <w:rPr>
          <w:rFonts w:ascii="Calibri" w:cs="Calibri" w:eastAsia="Calibri" w:hAnsi="Calibri"/>
          <w:b/>
          <w:bCs/>
          <w:color w:val="2E5C9A"/>
          <w:sz w:val="25"/>
          <w:szCs w:val="25"/>
        </w:rPr>
        <w:t xml:space="preserve">Configuration</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3200"/>
        <w:gridCol w:w="6160"/>
      </w:tblGrid>
      <w:tr>
        <w:trPr>
          <w:cantSplit/>
          <w:tblHeader/>
        </w:trPr>
        <w:tc>
          <w:tcPr>
            <w:tcW w:type="dxa" w:w="3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Setting</w:t>
            </w:r>
          </w:p>
        </w:tc>
        <w:tc>
          <w:tcPr>
            <w:tcW w:type="dxa" w:w="6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rPr>
          <w:cantSplit/>
        </w:trPr>
        <w:tc>
          <w:tcPr>
            <w:tcW w:type="dxa" w:w="3200"/>
            <w:tcMar>
              <w:top w:type="dxa" w:w="70"/>
              <w:left w:type="dxa" w:w="110"/>
              <w:bottom w:type="dxa" w:w="70"/>
              <w:right w:type="dxa" w:w="110"/>
            </w:tcMar>
          </w:tcPr>
          <w:p>
            <w:pPr>
              <w:spacing w:after="0"/>
            </w:pPr>
            <w:r>
              <w:rPr>
                <w:rFonts w:ascii="Consolas" w:cs="Consolas" w:eastAsia="Consolas" w:hAnsi="Consolas"/>
                <w:color w:val="22303F"/>
                <w:sz w:val="17"/>
                <w:szCs w:val="17"/>
              </w:rPr>
              <w:t xml:space="preserve">IKG_SCHEMA</w:t>
            </w:r>
          </w:p>
        </w:tc>
        <w:tc>
          <w:tcPr>
            <w:tcW w:type="dxa" w:w="6160"/>
            <w:tcMar>
              <w:top w:type="dxa" w:w="70"/>
              <w:left w:type="dxa" w:w="110"/>
              <w:bottom w:type="dxa" w:w="70"/>
              <w:right w:type="dxa" w:w="110"/>
            </w:tcMar>
          </w:tcPr>
          <w:p>
            <w:pPr>
              <w:spacing w:after="0"/>
            </w:pPr>
            <w:r>
              <w:rPr>
                <w:rFonts w:ascii="Calibri" w:cs="Calibri" w:eastAsia="Calibri" w:hAnsi="Calibri"/>
                <w:color w:val="22303F"/>
                <w:sz w:val="19"/>
                <w:szCs w:val="19"/>
              </w:rPr>
              <w:t xml:space="preserve">Dev schema — used by nlg_dummy2</w:t>
            </w:r>
          </w:p>
        </w:tc>
      </w:tr>
      <w:tr>
        <w:trPr>
          <w:cantSplit/>
        </w:trPr>
        <w:tc>
          <w:tcPr>
            <w:tcW w:type="dxa" w:w="32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IKG_PRE_PROD_SCHEMA</w:t>
            </w:r>
          </w:p>
        </w:tc>
        <w:tc>
          <w:tcPr>
            <w:tcW w:type="dxa" w:w="61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UAT schema — used by nlg_dummy</w:t>
            </w:r>
          </w:p>
        </w:tc>
      </w:tr>
      <w:tr>
        <w:trPr>
          <w:cantSplit/>
        </w:trPr>
        <w:tc>
          <w:tcPr>
            <w:tcW w:type="dxa" w:w="3200"/>
            <w:tcMar>
              <w:top w:type="dxa" w:w="70"/>
              <w:left w:type="dxa" w:w="110"/>
              <w:bottom w:type="dxa" w:w="70"/>
              <w:right w:type="dxa" w:w="110"/>
            </w:tcMar>
          </w:tcPr>
          <w:p>
            <w:pPr>
              <w:spacing w:after="0"/>
            </w:pPr>
            <w:r>
              <w:rPr>
                <w:rFonts w:ascii="Consolas" w:cs="Consolas" w:eastAsia="Consolas" w:hAnsi="Consolas"/>
                <w:color w:val="22303F"/>
                <w:sz w:val="17"/>
                <w:szCs w:val="17"/>
              </w:rPr>
              <w:t xml:space="preserve">IKG_GP_GPRDSP</w:t>
            </w:r>
          </w:p>
        </w:tc>
        <w:tc>
          <w:tcPr>
            <w:tcW w:type="dxa" w:w="6160"/>
            <w:tcMar>
              <w:top w:type="dxa" w:w="70"/>
              <w:left w:type="dxa" w:w="110"/>
              <w:bottom w:type="dxa" w:w="70"/>
              <w:right w:type="dxa" w:w="110"/>
            </w:tcMar>
          </w:tcPr>
          <w:p>
            <w:pPr>
              <w:spacing w:after="0"/>
            </w:pPr>
            <w:r>
              <w:rPr>
                <w:rFonts w:ascii="Calibri" w:cs="Calibri" w:eastAsia="Calibri" w:hAnsi="Calibri"/>
                <w:color w:val="22303F"/>
                <w:sz w:val="19"/>
                <w:szCs w:val="19"/>
              </w:rPr>
              <w:t xml:space="preserve">Greenplum connection</w:t>
            </w:r>
          </w:p>
        </w:tc>
      </w:tr>
      <w:tr>
        <w:trPr>
          <w:cantSplit/>
        </w:trPr>
        <w:tc>
          <w:tcPr>
            <w:tcW w:type="dxa" w:w="32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CID_EXCLUDE_KEYS</w:t>
            </w:r>
          </w:p>
        </w:tc>
        <w:tc>
          <w:tcPr>
            <w:tcW w:type="dxa" w:w="61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YAML keys exempt from the masking check; defaults to input_db_join_col</w:t>
            </w:r>
          </w:p>
        </w:tc>
      </w:tr>
      <w:tr>
        <w:trPr>
          <w:cantSplit/>
        </w:trPr>
        <w:tc>
          <w:tcPr>
            <w:tcW w:type="dxa" w:w="3200"/>
            <w:tcMar>
              <w:top w:type="dxa" w:w="70"/>
              <w:left w:type="dxa" w:w="110"/>
              <w:bottom w:type="dxa" w:w="70"/>
              <w:right w:type="dxa" w:w="110"/>
            </w:tcMar>
          </w:tcPr>
          <w:p>
            <w:pPr>
              <w:spacing w:after="0"/>
            </w:pPr>
            <w:r>
              <w:rPr>
                <w:rFonts w:ascii="Consolas" w:cs="Consolas" w:eastAsia="Consolas" w:hAnsi="Consolas"/>
                <w:color w:val="22303F"/>
                <w:sz w:val="17"/>
                <w:szCs w:val="17"/>
              </w:rPr>
              <w:t xml:space="preserve">CID_EMAIL_RECIPIENTS</w:t>
            </w:r>
          </w:p>
        </w:tc>
        <w:tc>
          <w:tcPr>
            <w:tcW w:type="dxa" w:w="6160"/>
            <w:tcMar>
              <w:top w:type="dxa" w:w="70"/>
              <w:left w:type="dxa" w:w="110"/>
              <w:bottom w:type="dxa" w:w="70"/>
              <w:right w:type="dxa" w:w="110"/>
            </w:tcMar>
          </w:tcPr>
          <w:p>
            <w:pPr>
              <w:spacing w:after="0"/>
            </w:pPr>
            <w:r>
              <w:rPr>
                <w:rFonts w:ascii="Calibri" w:cs="Calibri" w:eastAsia="Calibri" w:hAnsi="Calibri"/>
                <w:color w:val="22303F"/>
                <w:sz w:val="19"/>
                <w:szCs w:val="19"/>
              </w:rPr>
              <w:t xml:space="preserve">comma-separated; defaults to the STAAT DS list</w:t>
            </w:r>
          </w:p>
        </w:tc>
      </w:tr>
    </w:tbl>
    <w:p>
      <w:pPr>
        <w:spacing w:after="120" w:before="0"/>
      </w:pPr>
      <w:r>
        <w:rPr>
          <w:rFonts w:ascii="Calibri" w:cs="Calibri" w:eastAsia="Calibri" w:hAnsi="Calibri"/>
          <w:i/>
          <w:iCs/>
          <w:color w:val="5B6B7C"/>
          <w:sz w:val="21"/>
          <w:szCs w:val="21"/>
        </w:rPr>
        <w:t xml:space="preserve">input_db_join_col is excluded by default because it names the join key, which is never displayed — masking it would break the join without protecting anything.</w:t>
      </w:r>
    </w:p>
    <w:p>
      <w:pPr>
        <w:pStyle w:val="Heading1"/>
        <w:pageBreakBefore/>
        <w:spacing w:after="140" w:before="320"/>
      </w:pPr>
      <w:r>
        <w:rPr>
          <w:rFonts w:ascii="Calibri" w:cs="Calibri" w:eastAsia="Calibri" w:hAnsi="Calibri"/>
          <w:b/>
          <w:bCs/>
          <w:color w:val="1F3864"/>
          <w:sz w:val="30"/>
          <w:szCs w:val="30"/>
        </w:rPr>
        <w:t xml:space="preserve">6.  What the report contains</w:t>
      </w:r>
    </w:p>
    <w:p>
      <w:pPr>
        <w:spacing w:after="120" w:before="0"/>
      </w:pPr>
      <w:r>
        <w:rPr>
          <w:rFonts w:ascii="Calibri" w:cs="Calibri" w:eastAsia="Calibri" w:hAnsi="Calibri"/>
          <w:color w:val="22303F"/>
          <w:sz w:val="21"/>
          <w:szCs w:val="21"/>
        </w:rPr>
        <w:t xml:space="preserve">XLSX and HTML, produced on every run and attached to the notification email. A clean report is the evidence the check ran, and is as much a part of the audit trail as a failing one.</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400"/>
        <w:gridCol w:w="6960"/>
      </w:tblGrid>
      <w:tr>
        <w:trPr>
          <w:cantSplit/>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Sheet</w:t>
            </w:r>
          </w:p>
        </w:tc>
        <w:tc>
          <w:tcPr>
            <w:tcW w:type="dxa" w:w="6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Contents</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Summary</w:t>
            </w:r>
          </w:p>
        </w:tc>
        <w:tc>
          <w:tcPr>
            <w:tcW w:type="dxa" w:w="6960"/>
            <w:tcMar>
              <w:top w:type="dxa" w:w="70"/>
              <w:left w:type="dxa" w:w="110"/>
              <w:bottom w:type="dxa" w:w="70"/>
              <w:right w:type="dxa" w:w="110"/>
            </w:tcMar>
          </w:tcPr>
          <w:p>
            <w:pPr>
              <w:spacing w:after="0"/>
            </w:pPr>
            <w:r>
              <w:rPr>
                <w:rFonts w:ascii="Calibri" w:cs="Calibri" w:eastAsia="Calibri" w:hAnsi="Calibri"/>
                <w:color w:val="22303F"/>
                <w:sz w:val="19"/>
                <w:szCs w:val="19"/>
              </w:rPr>
              <w:t xml:space="preserve">outcome, DAG, source scanned, schemas, counts, and the flagged tally by rule</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Flagged</w:t>
            </w:r>
          </w:p>
        </w:tc>
        <w:tc>
          <w:tcPr>
            <w:tcW w:type="dxa" w:w="69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only the findings that fail the task</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All findings</w:t>
            </w:r>
          </w:p>
        </w:tc>
        <w:tc>
          <w:tcPr>
            <w:tcW w:type="dxa" w:w="6960"/>
            <w:tcMar>
              <w:top w:type="dxa" w:w="70"/>
              <w:left w:type="dxa" w:w="110"/>
              <w:bottom w:type="dxa" w:w="70"/>
              <w:right w:type="dxa" w:w="110"/>
            </w:tcMar>
          </w:tcPr>
          <w:p>
            <w:pPr>
              <w:spacing w:after="0"/>
            </w:pPr>
            <w:r>
              <w:rPr>
                <w:rFonts w:ascii="Calibri" w:cs="Calibri" w:eastAsia="Calibri" w:hAnsi="Calibri"/>
                <w:color w:val="22303F"/>
                <w:sz w:val="19"/>
                <w:szCs w:val="19"/>
              </w:rPr>
              <w:t xml:space="preserve">including the acceptable masked uses, so the report shows everything examined</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New columns</w:t>
            </w:r>
          </w:p>
        </w:tc>
        <w:tc>
          <w:tcPr>
            <w:tcW w:type="dxa" w:w="69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every new column, one row per place it is used — see below</w:t>
            </w:r>
          </w:p>
        </w:tc>
      </w:tr>
    </w:tbl>
    <w:p>
      <w:pPr>
        <w:pStyle w:val="Heading2"/>
        <w:spacing w:after="140" w:before="240"/>
      </w:pPr>
      <w:r>
        <w:rPr>
          <w:rFonts w:ascii="Calibri" w:cs="Calibri" w:eastAsia="Calibri" w:hAnsi="Calibri"/>
          <w:b/>
          <w:bCs/>
          <w:color w:val="2E5C9A"/>
          <w:sz w:val="25"/>
          <w:szCs w:val="25"/>
        </w:rPr>
        <w:t xml:space="preserve">The New columns sheet</w:t>
      </w:r>
    </w:p>
    <w:p>
      <w:pPr>
        <w:spacing w:after="120" w:before="0"/>
      </w:pPr>
      <w:r>
        <w:rPr>
          <w:rFonts w:ascii="Calibri" w:cs="Calibri" w:eastAsia="Calibri" w:hAnsi="Calibri"/>
          <w:color w:val="22303F"/>
          <w:sz w:val="21"/>
          <w:szCs w:val="21"/>
        </w:rPr>
        <w:t xml:space="preserve">Self-contained, so the CID decision can be made without opening another sheet. One row per new column per place it is used, or a single row where it is not used yet.</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3000"/>
        <w:gridCol w:w="6360"/>
      </w:tblGrid>
      <w:tr>
        <w:trPr>
          <w:cantSplit/>
          <w:tblHeader/>
        </w:trPr>
        <w:tc>
          <w:tcPr>
            <w:tcW w:type="dxa" w:w="3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Column</w:t>
            </w:r>
          </w:p>
        </w:tc>
        <w:tc>
          <w:tcPr>
            <w:tcW w:type="dxa" w:w="63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Contents</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Profile Table · Target Type</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where the column appeared</w:t>
            </w:r>
          </w:p>
        </w:tc>
      </w:tr>
      <w:tr>
        <w:trPr>
          <w:cantSplit/>
        </w:trPr>
        <w:tc>
          <w:tcPr>
            <w:tcW w:type="dxa" w:w="3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New Column · Data Type</w:t>
            </w:r>
          </w:p>
        </w:tc>
        <w:tc>
          <w:tcPr>
            <w:tcW w:type="dxa" w:w="63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e.g. character varying(50) — a text field and a numeric flag call for very different judgements</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Is CID · Status</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as recorded today, and whether this row needs action</w:t>
            </w:r>
          </w:p>
        </w:tc>
      </w:tr>
      <w:tr>
        <w:trPr>
          <w:cantSplit/>
        </w:trPr>
        <w:tc>
          <w:tcPr>
            <w:tcW w:type="dxa" w:w="3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Used In · File Path · YAML Key</w:t>
            </w:r>
          </w:p>
        </w:tc>
        <w:tc>
          <w:tcPr>
            <w:tcW w:type="dxa" w:w="63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exactly where</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Masked · Exposure · Why</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whether the value reaches the output, and the reason</w:t>
            </w:r>
          </w:p>
        </w:tc>
      </w:tr>
      <w:tr>
        <w:trPr>
          <w:cantSplit/>
        </w:trPr>
        <w:tc>
          <w:tcPr>
            <w:tcW w:type="dxa" w:w="3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Logic</w:t>
            </w:r>
          </w:p>
        </w:tc>
        <w:tc>
          <w:tcPr>
            <w:tcW w:type="dxa" w:w="63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expression, verbatim</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Action</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what to do about this row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1ad8cee17cc0afc37e8e00e8e0d365deb63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 Analysis</dc:title>
  <dc:creator>STAAT Data Science</dc:creator>
  <dc:description>Purpose and process</dc:description>
  <cp:lastModifiedBy>Un-named</cp:lastModifiedBy>
  <cp:revision>1</cp:revision>
  <dcterms:created xsi:type="dcterms:W3CDTF">2026-08-22T01:57:03.983Z</dcterms:created>
  <dcterms:modified xsi:type="dcterms:W3CDTF">2026-08-22T01:57:03.984Z</dcterms:modified>
</cp:coreProperties>
</file>

<file path=docProps/custom.xml><?xml version="1.0" encoding="utf-8"?>
<Properties xmlns="http://schemas.openxmlformats.org/officeDocument/2006/custom-properties" xmlns:vt="http://schemas.openxmlformats.org/officeDocument/2006/docPropsVTypes"/>
</file>