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IKG-ODM Development Assistant – one pager</w:t>
      </w:r>
    </w:p>
    <w:p>
      <w:pPr/>
      <w:r>
        <w:t xml:space="preserve">Oct 9, 2026</w:t>
      </w:r>
      <w:r>
        <w:t xml:space="preserve"> · </w:t>
      </w:r>
      <w:r>
        <w:t xml:space="preserve">@Pratik</w:t>
      </w:r>
    </w:p>
    <w:p>
      <w:pPr/>
      <w:r>
        <w:t xml:space="preserve">Type a GitLab story number into a chat window and get back the IKG and/or ODM code for it: written in the style of the existing repositories, checked against the SQL standards, reviewed, with the evidence and a confidence score, and pushed to GitLab as story branches when you say so.</w:t>
      </w:r>
    </w:p>
    <w:p>
      <w:pPr>
        <w:pStyle w:val="Heading2"/>
      </w:pPr>
      <w:r>
        <w:t xml:space="preserve">What it does</w:t>
      </w:r>
    </w:p>
    <w:p>
      <w:pPr/>
      <w:r>
        <w:t xml:space="preserve">The assistant is a chat window (like ChatGPT) that works like a careful junior developer who has read the whole code base and the data dictionary before starting.</w:t>
      </w:r>
    </w:p>
    <w:p>
      <w:pPr>
        <w:pStyle w:val="ListParagraph"/>
        <w:numPr>
          <w:ilvl w:val="0"/>
          <w:numId w:val="2"/>
        </w:numPr>
      </w:pPr>
      <w:r>
        <w:rPr>
          <w:b/>
        </w:rPr>
        <w:t xml:space="preserve">In:</w:t>
      </w:r>
      <w:r>
        <w:t xml:space="preserve"> a story number from the GitLab issue board (for example </w:t>
      </w:r>
      <w:r>
        <w:rPr>
          <w:rStyle w:val="CodeChar"/>
        </w:rPr>
        <w:t xml:space="preserve">story 1234</w:t>
      </w:r>
      <w:r>
        <w:t xml:space="preserve">).</w:t>
      </w:r>
    </w:p>
    <w:p>
      <w:pPr>
        <w:pStyle w:val="ListParagraph"/>
        <w:numPr>
          <w:ilvl w:val="0"/>
          <w:numId w:val="2"/>
        </w:numPr>
      </w:pPr>
      <w:r>
        <w:rPr>
          <w:b/>
        </w:rPr>
        <w:t xml:space="preserve">Out:</w:t>
      </w:r>
      <w:r>
        <w:t xml:space="preserve"> the SQL and Python files the story needs – new intermediate tables, the extra column on a profile table, the DAG task line, the ODM rule file – each with an explanation, the evidence it was built on and a confidence score.</w:t>
      </w:r>
    </w:p>
    <w:p>
      <w:pPr>
        <w:pStyle w:val="ListParagraph"/>
        <w:numPr>
          <w:ilvl w:val="0"/>
          <w:numId w:val="2"/>
        </w:numPr>
      </w:pPr>
      <w:r>
        <w:rPr>
          <w:b/>
        </w:rPr>
        <w:t xml:space="preserve">Then:</w:t>
      </w:r>
      <w:r>
        <w:t xml:space="preserve"> ask for changes in plain English, download everything as a zip, or say </w:t>
      </w:r>
      <w:r>
        <w:rPr>
          <w:rStyle w:val="CodeChar"/>
        </w:rPr>
        <w:t xml:space="preserve">push</w:t>
      </w:r>
      <w:r>
        <w:t xml:space="preserve"> and it creates the branches </w:t>
      </w:r>
      <w:r>
        <w:rPr>
          <w:rStyle w:val="CodeChar"/>
        </w:rPr>
        <w:t xml:space="preserve">&lt;story id&gt;-&lt;brief title&gt;-ikg</w:t>
      </w:r>
      <w:r>
        <w:t xml:space="preserve"> (from </w:t>
      </w:r>
      <w:r>
        <w:rPr>
          <w:rStyle w:val="CodeChar"/>
        </w:rPr>
        <w:t xml:space="preserve">ikg-master</w:t>
      </w:r>
      <w:r>
        <w:t xml:space="preserve">) and </w:t>
      </w:r>
      <w:r>
        <w:rPr>
          <w:rStyle w:val="CodeChar"/>
        </w:rPr>
        <w:t xml:space="preserve">&lt;story id&gt;-&lt;brief title&gt;-odm</w:t>
      </w:r>
      <w:r>
        <w:t xml:space="preserve"> (from </w:t>
      </w:r>
      <w:r>
        <w:rPr>
          <w:rStyle w:val="CodeChar"/>
        </w:rPr>
        <w:t xml:space="preserve">odm-master</w:t>
      </w:r>
      <w:r>
        <w:t xml:space="preserve">) and commits the files.</w:t>
      </w:r>
    </w:p>
    <w:p>
      <w:pPr/>
      <w:r>
        <w:t xml:space="preserve">It never deploys anything: the branches are for a developer to review and merge. Every step is written to a log shown in a side panel, and every chat is saved in Greenplum so it can be reopened later.</w:t>
      </w:r>
    </w:p>
    <w:p>
      <w:pPr>
        <w:pStyle w:val="Heading2"/>
      </w:pPr>
      <w:r>
        <w:t xml:space="preserve">How it understands a story</w:t>
      </w:r>
    </w:p>
    <w:p>
      <w:pPr/>
      <w:r>
        <w:t xml:space="preserve">Before writing a line of code the assistant answers five questions, the same ones a developer asks when a story lands.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Where the answer comes from</w:t>
            </w:r>
          </w:p>
        </w:tc>
      </w:tr>
      <w:tr>
        <w:tc>
          <w:tcPr>
            <w:tcW w:w="4680" w:type="dxa"/>
          </w:tcPr>
          <w:p>
            <w:pPr/>
            <w:r>
              <w:t xml:space="preserve">What is being asked?</w:t>
            </w:r>
          </w:p>
        </w:tc>
        <w:tc>
          <w:tcPr>
            <w:tcW w:w="4680" w:type="dxa"/>
          </w:tcPr>
          <w:p>
            <w:pPr/>
            <w:r>
              <w:t xml:space="preserve">The story title, description, labels and the comments on the issue</w:t>
            </w:r>
          </w:p>
        </w:tc>
      </w:tr>
      <w:tr>
        <w:tc>
          <w:tcPr>
            <w:tcW w:w="4680" w:type="dxa"/>
          </w:tcPr>
          <w:p>
            <w:pPr/>
            <w:r>
              <w:t xml:space="preserve">Is it IKG, ODM or both?</w:t>
            </w:r>
          </w:p>
        </w:tc>
        <w:tc>
          <w:tcPr>
            <w:tcW w:w="4680" w:type="dxa"/>
          </w:tcPr>
          <w:p>
            <w:pPr/>
            <w:r>
              <w:t xml:space="preserve">Words like </w:t>
            </w:r>
            <w:r>
              <w:rPr>
                <w:i/>
              </w:rPr>
              <w:t xml:space="preserve">profile column</w:t>
            </w:r>
            <w:r>
              <w:t xml:space="preserve">, </w:t>
            </w:r>
            <w:r>
              <w:rPr>
                <w:i/>
              </w:rPr>
              <w:t xml:space="preserve">table</w:t>
            </w:r>
            <w:r>
              <w:t xml:space="preserve">, </w:t>
            </w:r>
            <w:r>
              <w:rPr>
                <w:i/>
              </w:rPr>
              <w:t xml:space="preserve">weekly refresh</w:t>
            </w:r>
            <w:r>
              <w:t xml:space="preserve"> point to IKG; </w:t>
            </w:r>
            <w:r>
              <w:rPr>
                <w:i/>
              </w:rPr>
              <w:t xml:space="preserve">insight</w:t>
            </w:r>
            <w:r>
              <w:t xml:space="preserve">, </w:t>
            </w:r>
            <w:r>
              <w:rPr>
                <w:i/>
              </w:rPr>
              <w:t xml:space="preserve">rule</w:t>
            </w:r>
            <w:r>
              <w:t xml:space="preserve">, </w:t>
            </w:r>
            <w:r>
              <w:rPr>
                <w:i/>
              </w:rPr>
              <w:t xml:space="preserve">trigger</w:t>
            </w:r>
            <w:r>
              <w:t xml:space="preserve">, </w:t>
            </w:r>
            <w:r>
              <w:rPr>
                <w:i/>
              </w:rPr>
              <w:t xml:space="preserve">client/prospect/field leader</w:t>
            </w:r>
            <w:r>
              <w:t xml:space="preserve"> point to ODM; a new insight that needs a new column is both</w:t>
            </w:r>
          </w:p>
        </w:tc>
      </w:tr>
      <w:tr>
        <w:tc>
          <w:tcPr>
            <w:tcW w:w="4680" w:type="dxa"/>
          </w:tcPr>
          <w:p>
            <w:pPr/>
            <w:r>
              <w:t xml:space="preserve">Which data does it need?</w:t>
            </w:r>
          </w:p>
        </w:tc>
        <w:tc>
          <w:tcPr>
            <w:tcW w:w="4680" w:type="dxa"/>
          </w:tcPr>
          <w:p>
            <w:pPr/>
            <w:r>
              <w:t xml:space="preserve">The business metadata of every profile column (</w:t>
            </w:r>
            <w:r>
              <w:rPr>
                <w:rStyle w:val="CodeChar"/>
              </w:rPr>
              <w:t xml:space="preserve">ikg_attribute_business_description</w:t>
            </w:r>
            <w:r>
              <w:t xml:space="preserve">), the glossary, the join keys, and the lineage tables that say which source table and logic produce each profile column</w:t>
            </w:r>
          </w:p>
        </w:tc>
      </w:tr>
      <w:tr>
        <w:tc>
          <w:tcPr>
            <w:tcW w:w="4680" w:type="dxa"/>
          </w:tcPr>
          <w:p>
            <w:pPr/>
            <w:r>
              <w:t xml:space="preserve">Where does similar code live?</w:t>
            </w:r>
          </w:p>
        </w:tc>
        <w:tc>
          <w:tcPr>
            <w:tcW w:w="4680" w:type="dxa"/>
          </w:tcPr>
          <w:p>
            <w:pPr/>
            <w:r>
              <w:t xml:space="preserve">The indexed repositories: which script creates which table, which scripts read it, which DAG task runs it, which folder holds that subject</w:t>
            </w:r>
          </w:p>
        </w:tc>
      </w:tr>
      <w:tr>
        <w:tc>
          <w:tcPr>
            <w:tcW w:w="4680" w:type="dxa"/>
          </w:tcPr>
          <w:p>
            <w:pPr/>
            <w:r>
              <w:t xml:space="preserve">What is still unclear?</w:t>
            </w:r>
          </w:p>
        </w:tc>
        <w:tc>
          <w:tcPr>
            <w:tcW w:w="4680" w:type="dxa"/>
          </w:tcPr>
          <w:p>
            <w:pPr/>
            <w:r>
              <w:t xml:space="preserve">Anything the story does not say (a threshold, a grain, a window). A </w:t>
            </w:r>
            <w:r>
              <w:rPr>
                <w:b/>
              </w:rPr>
              <w:t xml:space="preserve">blocking</w:t>
            </w:r>
            <w:r>
              <w:t xml:space="preserve"> gap is asked back in the chat before any code is written; a small one is taken as an assumption and listed</w:t>
            </w:r>
          </w:p>
        </w:tc>
      </w:tr>
    </w:tbl>
    <w:p>
      <w:pPr/>
      <w:r>
        <w:t xml:space="preserve">Two rules shape every answer: inside IKG scripts a profile table is </w:t>
      </w:r>
      <w:r>
        <w:rPr>
          <w:b/>
        </w:rPr>
        <w:t xml:space="preserve">never</w:t>
      </w:r>
      <w:r>
        <w:t xml:space="preserve"> a source – the column is traced back to the intermediate table that produces it – and all schemas go through Airflow parameters (</w:t>
      </w:r>
      <w:r>
        <w:rPr>
          <w:rStyle w:val="CodeChar"/>
        </w:rPr>
        <w:t xml:space="preserve">{{params.IKG_SCHEMA}}</w:t>
      </w:r>
      <w:r>
        <w:t xml:space="preserve">, </w:t>
      </w:r>
      <w:r>
        <w:rPr>
          <w:rStyle w:val="CodeChar"/>
        </w:rPr>
        <w:t xml:space="preserve">{{params.EDW_INPUT_SCHEMA}}</w:t>
      </w:r>
      <w:r>
        <w:t xml:space="preserve">), never the literal names.</w:t>
      </w:r>
    </w:p>
    <w:p>
      <w:pPr>
        <w:pStyle w:val="Heading2"/>
      </w:pPr>
      <w:r>
        <w:t xml:space="preserve">Workflow</w:t>
      </w:r>
    </w:p>
    <w:p>
      <w:pPr/>
      <w:r>
        <w:drawing>
          <wp:inline distT="0" distB="0" distL="0" distR="0">
            <wp:extent cx="5486400" cy="1869621"/>
            <wp:docPr id="1" name="image1" descr="story to branch · 6 steps, 1 review loop"/>
            <a:graphic xmlns:a="http://schemas.openxmlformats.org/drawingml/2006/main">
              <a:graphicData uri="http://schemas.openxmlformats.org/drawingml/2006/picture">
                <pic:pic xmlns:pic="http://schemas.openxmlformats.org/drawingml/2006/picture">
                  <pic:nvPicPr>
                    <pic:cNvPr id="1" name="image1" descr="story to branch · 6 steps, 1 review loop"/>
                    <pic:cNvPicPr/>
                  </pic:nvPicPr>
                  <pic:blipFill>
                    <a:blip r:embed="rId3"/>
                    <a:stretch>
                      <a:fillRect/>
                    </a:stretch>
                  </pic:blipFill>
                  <pic:spPr>
                    <a:xfrm>
                      <a:off x="0" y="0"/>
                      <a:ext cx="5486400" cy="1869621"/>
                    </a:xfrm>
                    <a:prstGeom prst="rect">
                      <a:avLst/>
                    </a:prstGeom>
                  </pic:spPr>
                </pic:pic>
              </a:graphicData>
            </a:graphic>
          </wp:inline>
        </w:drawing>
      </w:r>
    </w:p>
    <w:p>
      <w:pPr/>
      <w:r>
        <w:t xml:space="preserve">story to branch · 6 steps, 1 review loop</w:t>
      </w:r>
    </w:p>
    <w:p>
      <w:pPr/>
      <w:r>
        <w:t xml:space="preserve">Steps 1 to 5 run on their own after you type the story number; each step writes what it did to the log in the side panel. The loop between review and code repeats at most twice, so a story never runs for ever. Step 6 is always yours: nothing reaches GitLab without a </w:t>
      </w:r>
      <w:r>
        <w:rPr>
          <w:rStyle w:val="CodeChar"/>
        </w:rPr>
        <w:t xml:space="preserve">push</w:t>
      </w:r>
      <w:r>
        <w:t xml:space="preserve"> and a </w:t>
      </w:r>
      <w:r>
        <w:rPr>
          <w:rStyle w:val="CodeChar"/>
        </w:rPr>
        <w:t xml:space="preserve">yes</w:t>
      </w:r>
      <w:r>
        <w:t xml:space="preserve">.</w:t>
      </w:r>
    </w:p>
    <w:p>
      <w:pPr>
        <w:pStyle w:val="Heading2"/>
      </w:pPr>
      <w:r>
        <w:t xml:space="preserve">How it generates code</w:t>
      </w:r>
    </w:p>
    <w:p>
      <w:pPr/>
      <w:r>
        <w:t xml:space="preserve">The model never writes from memory. For each file in the plan it works the way a developer copying a neighbour's script would:</w:t>
      </w:r>
    </w:p>
    <w:p>
      <w:pPr>
        <w:pStyle w:val="ListParagraph"/>
        <w:numPr>
          <w:ilvl w:val="0"/>
          <w:numId w:val="3"/>
        </w:numPr>
      </w:pPr>
      <w:r>
        <w:rPr>
          <w:b/>
        </w:rPr>
        <w:t xml:space="preserve">Find the pattern.</w:t>
      </w:r>
      <w:r>
        <w:t xml:space="preserve"> It opens one or two existing scripts of the same folder (for example </w:t>
      </w:r>
      <w:r>
        <w:rPr>
          <w:rStyle w:val="CodeChar"/>
        </w:rPr>
        <w:t xml:space="preserve">ikg_cash_distribution/</w:t>
      </w:r>
      <w:r>
        <w:t xml:space="preserve">) and the DAG lines that run them, and copies their shape: </w:t>
      </w:r>
      <w:r>
        <w:rPr>
          <w:rStyle w:val="CodeChar"/>
        </w:rPr>
        <w:t xml:space="preserve">DROP TABLE IF EXISTS</w:t>
      </w:r>
      <w:r>
        <w:t xml:space="preserve"> → </w:t>
      </w:r>
      <w:r>
        <w:rPr>
          <w:rStyle w:val="CodeChar"/>
        </w:rPr>
        <w:t xml:space="preserve">CREATE TABLE ... AS SELECT</w:t>
      </w:r>
      <w:r>
        <w:t xml:space="preserve"> → </w:t>
      </w:r>
      <w:r>
        <w:rPr>
          <w:rStyle w:val="CodeChar"/>
        </w:rPr>
        <w:t xml:space="preserve">DISTRIBUTED BY</w:t>
      </w:r>
      <w:r>
        <w:t xml:space="preserve"> → </w:t>
      </w:r>
      <w:r>
        <w:rPr>
          <w:rStyle w:val="CodeChar"/>
        </w:rPr>
        <w:t xml:space="preserve">OWNER TO</w:t>
      </w:r>
      <w:r>
        <w:t xml:space="preserve"> → </w:t>
      </w:r>
      <w:r>
        <w:rPr>
          <w:rStyle w:val="CodeChar"/>
        </w:rPr>
        <w:t xml:space="preserve">GRANT SELECT</w:t>
      </w:r>
      <w:r>
        <w:t xml:space="preserve">, with </w:t>
      </w:r>
      <w:r>
        <w:rPr>
          <w:rStyle w:val="CodeChar"/>
        </w:rPr>
        <w:t xml:space="preserve">{{params.IKG_SCHEMA}}</w:t>
      </w:r>
      <w:r>
        <w:t xml:space="preserve">, </w:t>
      </w:r>
      <w:r>
        <w:rPr>
          <w:rStyle w:val="CodeChar"/>
        </w:rPr>
        <w:t xml:space="preserve">'{{params.IKG_PROFILE_DATE}}'</w:t>
      </w:r>
      <w:r>
        <w:t xml:space="preserve">, an </w:t>
      </w:r>
      <w:r>
        <w:rPr>
          <w:rStyle w:val="CodeChar"/>
        </w:rPr>
        <w:t xml:space="preserve">ikg_key</w:t>
      </w:r>
      <w:r>
        <w:t xml:space="preserve"> and a </w:t>
      </w:r>
      <w:r>
        <w:rPr>
          <w:rStyle w:val="CodeChar"/>
        </w:rPr>
        <w:t xml:space="preserve">profile_date</w:t>
      </w:r>
      <w:r>
        <w:t xml:space="preserve"> column.</w:t>
      </w:r>
    </w:p>
    <w:p>
      <w:pPr>
        <w:pStyle w:val="ListParagraph"/>
        <w:numPr>
          <w:ilvl w:val="0"/>
          <w:numId w:val="3"/>
        </w:numPr>
      </w:pPr>
      <w:r>
        <w:rPr>
          <w:b/>
        </w:rPr>
        <w:t xml:space="preserve">Verify every input.</w:t>
      </w:r>
      <w:r>
        <w:t xml:space="preserve"> Source columns are checked against the real table in Greenplum (</w:t>
      </w:r>
      <w:r>
        <w:rPr>
          <w:rStyle w:val="CodeChar"/>
        </w:rPr>
        <w:t xml:space="preserve">information_schema</w:t>
      </w:r>
      <w:r>
        <w:t xml:space="preserve">) or against the script that creates the table; it may run a small read-only </w:t>
      </w:r>
      <w:r>
        <w:rPr>
          <w:rStyle w:val="CodeChar"/>
        </w:rPr>
        <w:t xml:space="preserve">SELECT ... LIMIT 50</w:t>
      </w:r>
      <w:r>
        <w:t xml:space="preserve"> to see sample values or distinct codes. A column it cannot find is not used – it is reported as an open point instead.</w:t>
      </w:r>
    </w:p>
    <w:p>
      <w:pPr>
        <w:pStyle w:val="ListParagraph"/>
        <w:numPr>
          <w:ilvl w:val="0"/>
          <w:numId w:val="3"/>
        </w:numPr>
      </w:pPr>
      <w:r>
        <w:rPr>
          <w:b/>
        </w:rPr>
        <w:t xml:space="preserve">Write the file</w:t>
      </w:r>
      <w:r>
        <w:t xml:space="preserve"> – a new file in full; a changed file (a profile script, the DAG) as the original plus the new lines, so nothing else moves. Profile changes add the column to the column list and the SELECT, with a </w:t>
      </w:r>
      <w:r>
        <w:rPr>
          <w:rStyle w:val="CodeChar"/>
        </w:rPr>
        <w:t xml:space="preserve">LEFT JOIN</w:t>
      </w:r>
      <w:r>
        <w:t xml:space="preserve"> on the entity key, and the matching history script.</w:t>
      </w:r>
    </w:p>
    <w:p>
      <w:pPr>
        <w:pStyle w:val="ListParagraph"/>
        <w:numPr>
          <w:ilvl w:val="0"/>
          <w:numId w:val="3"/>
        </w:numPr>
      </w:pPr>
      <w:r>
        <w:rPr>
          <w:b/>
        </w:rPr>
        <w:t xml:space="preserve">Check the standards</w:t>
      </w:r>
      <w:r>
        <w:t xml:space="preserve"> with a fixed rule set read from the three standards files (naming, params instead of literal schemas, no </w:t>
      </w:r>
      <w:r>
        <w:rPr>
          <w:rStyle w:val="CodeChar"/>
        </w:rPr>
        <w:t xml:space="preserve">SELECT *</w:t>
      </w:r>
      <w:r>
        <w:t xml:space="preserve">, join conditions, </w:t>
      </w:r>
      <w:r>
        <w:rPr>
          <w:rStyle w:val="CodeChar"/>
        </w:rPr>
        <w:t xml:space="preserve">DISTRIBUTED BY</w:t>
      </w:r>
      <w:r>
        <w:t xml:space="preserve">, owner/grant, one table per file, file name = table name, a DAG task for every new SQL file, no new R code, ODM rule file conventions). Each finding has a severity; the score is 100 minus 10 per critical, 5 per high, 2 per medium, 1 per low. Findings on lines that already existed in the repository are listed but not scored.</w:t>
      </w:r>
    </w:p>
    <w:p>
      <w:pPr>
        <w:pStyle w:val="ListParagraph"/>
        <w:numPr>
          <w:ilvl w:val="0"/>
          <w:numId w:val="3"/>
        </w:numPr>
      </w:pPr>
      <w:r>
        <w:rPr>
          <w:b/>
        </w:rPr>
        <w:t xml:space="preserve">Review.</w:t>
      </w:r>
      <w:r>
        <w:t xml:space="preserve"> A separate reviewer agent reads the requirement, the plan, every generated file and the standards findings, and either approves or sends findings back to the coder. At most two rounds.</w:t>
      </w:r>
    </w:p>
    <w:p>
      <w:pPr/>
      <w:r>
        <w:t xml:space="preserve">For ODM the same loop produces a rule file </w:t>
      </w:r>
      <w:r>
        <w:rPr>
          <w:rStyle w:val="CodeChar"/>
        </w:rPr>
        <w:t xml:space="preserve">si_&lt;insight&gt;.sql</w:t>
      </w:r>
      <w:r>
        <w:t xml:space="preserve"> in the right rule folder (client, prospect or field leader), with </w:t>
      </w:r>
      <w:r>
        <w:rPr>
          <w:rStyle w:val="CodeChar"/>
        </w:rPr>
        <w:t xml:space="preserve">insight_type</w:t>
      </w:r>
      <w:r>
        <w:t xml:space="preserve"> = file name, the target type, the profile table and where-logic from the story, the metric fields, and </w:t>
      </w:r>
      <w:r>
        <w:rPr>
          <w:rStyle w:val="CodeChar"/>
        </w:rPr>
        <w:t xml:space="preserve">run_id = {{ params.ODM_RUN_UUID }}</w:t>
      </w:r>
      <w:r>
        <w:t xml:space="preserve">.</w:t>
      </w:r>
    </w:p>
    <w:p>
      <w:pPr/>
      <w:r>
        <w:t xml:space="preserve">The design step also writes down the </w:t>
      </w:r>
      <w:r>
        <w:rPr>
          <w:b/>
        </w:rPr>
        <w:t xml:space="preserve">impact</w:t>
      </w:r>
      <w:r>
        <w:t xml:space="preserve"> (every script that reads a changed table, every DAG group touched), </w:t>
      </w:r>
      <w:r>
        <w:rPr>
          <w:b/>
        </w:rPr>
        <w:t xml:space="preserve">performance notes</w:t>
      </w:r>
      <w:r>
        <w:t xml:space="preserve"> (filter by profile date early, aggregate before joining, distribute on the join key) and two or three </w:t>
      </w:r>
      <w:r>
        <w:rPr>
          <w:b/>
        </w:rPr>
        <w:t xml:space="preserve">validation queries</w:t>
      </w:r>
      <w:r>
        <w:t xml:space="preserve"> (row counts, key uniqueness, null share of the new column) for the reviewer to run.</w:t>
      </w:r>
    </w:p>
    <w:p>
      <w:pPr>
        <w:pStyle w:val="Heading2"/>
      </w:pPr>
      <w:r>
        <w:t xml:space="preserve">A simple example</w:t>
      </w:r>
    </w:p>
    <w:p>
      <w:pPr/>
      <w:r>
        <w:rPr>
          <w:b/>
        </w:rPr>
        <w:t xml:space="preserve">Story 1234:</w:t>
      </w:r>
      <w:r>
        <w:t xml:space="preserve"> "Add a household-level count of accounts that had a cash distribution in the last 4 weeks to the household profile, and raise a client insight when the count is 3 or more." A comment on the story says: threshold = 3.</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What happens</w:t>
            </w:r>
          </w:p>
        </w:tc>
        <w:tc>
          <w:tcPr>
            <w:tcW w:w="3120" w:type="dxa"/>
            <w:shd w:val="clear" w:color="auto" w:fill="F2F2F2"/>
          </w:tcPr>
          <w:p>
            <w:pPr/>
            <w:r>
              <w:t xml:space="preserve">What you see in the chat</w:t>
            </w:r>
          </w:p>
        </w:tc>
      </w:tr>
      <w:tr>
        <w:tc>
          <w:tcPr>
            <w:tcW w:w="3120" w:type="dxa"/>
          </w:tcPr>
          <w:p>
            <w:pPr/>
            <w:r>
              <w:t xml:space="preserve">Read the story</w:t>
            </w:r>
          </w:p>
        </w:tc>
        <w:tc>
          <w:tcPr>
            <w:tcW w:w="3120" w:type="dxa"/>
          </w:tcPr>
          <w:p>
            <w:pPr/>
            <w:r>
              <w:t xml:space="preserve">Scope = both (a profile column </w:t>
            </w:r>
            <w:r>
              <w:rPr>
                <w:i/>
              </w:rPr>
              <w:t xml:space="preserve">and</w:t>
            </w:r>
            <w:r>
              <w:t xml:space="preserve"> an insight). Source found by search: </w:t>
            </w:r>
            <w:r>
              <w:rPr>
                <w:rStyle w:val="CodeChar"/>
              </w:rPr>
              <w:t xml:space="preserve">cash_dist_4wk_acc_agg_ikg</w:t>
            </w:r>
            <w:r>
              <w:t xml:space="preserve"> (account level, already has the 4-week window). Open question: is the threshold fixed or configurable? – marked blocking</w:t>
            </w:r>
          </w:p>
        </w:tc>
        <w:tc>
          <w:tcPr>
            <w:tcW w:w="3120" w:type="dxa"/>
          </w:tcPr>
          <w:p>
            <w:pPr/>
            <w:r>
              <w:t xml:space="preserve">"Before I write code I need: which threshold … (suggested: 3)"</w:t>
            </w:r>
          </w:p>
        </w:tc>
      </w:tr>
      <w:tr>
        <w:tc>
          <w:tcPr>
            <w:tcW w:w="3120" w:type="dxa"/>
          </w:tcPr>
          <w:p>
            <w:pPr/>
            <w:r>
              <w:t xml:space="preserve">You answer</w:t>
            </w:r>
          </w:p>
        </w:tc>
        <w:tc>
          <w:tcPr>
            <w:tcW w:w="3120" w:type="dxa"/>
          </w:tcPr>
          <w:p>
            <w:pPr/>
            <w:r>
              <w:rPr>
                <w:rStyle w:val="CodeChar"/>
              </w:rPr>
              <w:t xml:space="preserve">use 3</w:t>
            </w:r>
          </w:p>
        </w:tc>
        <w:tc>
          <w:tcPr>
            <w:tcW w:w="3120" w:type="dxa"/>
          </w:tcPr>
          <w:p>
            <w:pPr/>
          </w:p>
        </w:tc>
      </w:tr>
      <w:tr>
        <w:tc>
          <w:tcPr>
            <w:tcW w:w="3120" w:type="dxa"/>
          </w:tcPr>
          <w:p>
            <w:pPr/>
            <w:r>
              <w:t xml:space="preserve">Design</w:t>
            </w:r>
          </w:p>
        </w:tc>
        <w:tc>
          <w:tcPr>
            <w:tcW w:w="3120" w:type="dxa"/>
          </w:tcPr>
          <w:p>
            <w:pPr/>
            <w:r>
              <w:t xml:space="preserve">4 files: new </w:t>
            </w:r>
            <w:r>
              <w:rPr>
                <w:rStyle w:val="CodeChar"/>
              </w:rPr>
              <w:t xml:space="preserve">ikg_cash_distribution/cash_dist_4wk_cnt_mhh_ikg.sql</w:t>
            </w:r>
            <w:r>
              <w:t xml:space="preserve"> (household grain, </w:t>
            </w:r>
            <w:r>
              <w:rPr>
                <w:rStyle w:val="CodeChar"/>
              </w:rPr>
              <w:t xml:space="preserve">COUNT(DISTINCT acc_n)</w:t>
            </w:r>
            <w:r>
              <w:t xml:space="preserve">); the household profile script gets the column via </w:t>
            </w:r>
            <w:r>
              <w:rPr>
                <w:rStyle w:val="CodeChar"/>
              </w:rPr>
              <w:t xml:space="preserve">LEFT JOIN</w:t>
            </w:r>
            <w:r>
              <w:t xml:space="preserve"> on </w:t>
            </w:r>
            <w:r>
              <w:rPr>
                <w:rStyle w:val="CodeChar"/>
              </w:rPr>
              <w:t xml:space="preserve">acc_mhh_n</w:t>
            </w:r>
            <w:r>
              <w:t xml:space="preserve">; the DAG gets one task line + task_map entry in group </w:t>
            </w:r>
            <w:r>
              <w:rPr>
                <w:rStyle w:val="CodeChar"/>
              </w:rPr>
              <w:t xml:space="preserve">ikg_cash_distribution</w:t>
            </w:r>
            <w:r>
              <w:t xml:space="preserve">; new ODM rule </w:t>
            </w:r>
            <w:r>
              <w:rPr>
                <w:rStyle w:val="CodeChar"/>
              </w:rPr>
              <w:t xml:space="preserve">ds_client_insights/si_cash_dist_multi_acc.sql</w:t>
            </w:r>
          </w:p>
        </w:tc>
        <w:tc>
          <w:tcPr>
            <w:tcW w:w="3120" w:type="dxa"/>
          </w:tcPr>
          <w:p>
            <w:pPr/>
            <w:r>
              <w:t xml:space="preserve">plan in the side panel: files, impact (history script reads the profile), validation queries</w:t>
            </w:r>
          </w:p>
        </w:tc>
      </w:tr>
      <w:tr>
        <w:tc>
          <w:tcPr>
            <w:tcW w:w="3120" w:type="dxa"/>
          </w:tcPr>
          <w:p>
            <w:pPr/>
            <w:r>
              <w:t xml:space="preserve">Write + check</w:t>
            </w:r>
          </w:p>
        </w:tc>
        <w:tc>
          <w:tcPr>
            <w:tcW w:w="3120" w:type="dxa"/>
          </w:tcPr>
          <w:p>
            <w:pPr/>
            <w:r>
              <w:t xml:space="preserve">First draft of the new SQL used the literal schema </w:t>
            </w:r>
            <w:r>
              <w:rPr>
                <w:rStyle w:val="CodeChar"/>
              </w:rPr>
              <w:t xml:space="preserve">core_ikg</w:t>
            </w:r>
            <w:r>
              <w:t xml:space="preserve"> and forgot the GRANT → standards score 65 (D)</w:t>
            </w:r>
          </w:p>
        </w:tc>
        <w:tc>
          <w:tcPr>
            <w:tcW w:w="3120" w:type="dxa"/>
          </w:tcPr>
          <w:p>
            <w:pPr/>
            <w:r>
              <w:t xml:space="preserve">log: "standards: ikg score 65 … 5 findings"</w:t>
            </w:r>
          </w:p>
        </w:tc>
      </w:tr>
      <w:tr>
        <w:tc>
          <w:tcPr>
            <w:tcW w:w="3120" w:type="dxa"/>
          </w:tcPr>
          <w:p>
            <w:pPr/>
            <w:r>
              <w:t xml:space="preserve">Review</w:t>
            </w:r>
          </w:p>
        </w:tc>
        <w:tc>
          <w:tcPr>
            <w:tcW w:w="3120" w:type="dxa"/>
          </w:tcPr>
          <w:p>
            <w:pPr/>
            <w:r>
              <w:t xml:space="preserve">Reviewer: </w:t>
            </w:r>
            <w:r>
              <w:rPr>
                <w:i/>
              </w:rPr>
              <w:t xml:space="preserve">revise</w:t>
            </w:r>
            <w:r>
              <w:t xml:space="preserve"> – two findings on that file; coder rewrites it with </w:t>
            </w:r>
            <w:r>
              <w:rPr>
                <w:rStyle w:val="CodeChar"/>
              </w:rPr>
              <w:t xml:space="preserve">{{params.IKG_SCHEMA}}</w:t>
            </w:r>
            <w:r>
              <w:t xml:space="preserve"> and the owner/grant pair → score 100 (A), reviewer: </w:t>
            </w:r>
            <w:r>
              <w:rPr>
                <w:i/>
              </w:rPr>
              <w:t xml:space="preserve">approve</w:t>
            </w:r>
          </w:p>
        </w:tc>
        <w:tc>
          <w:tcPr>
            <w:tcW w:w="3120" w:type="dxa"/>
          </w:tcPr>
          <w:p>
            <w:pPr/>
            <w:r>
              <w:t xml:space="preserve">log: "review: approve"</w:t>
            </w:r>
          </w:p>
        </w:tc>
      </w:tr>
      <w:tr>
        <w:tc>
          <w:tcPr>
            <w:tcW w:w="3120" w:type="dxa"/>
          </w:tcPr>
          <w:p>
            <w:pPr/>
            <w:r>
              <w:t xml:space="preserve">Report</w:t>
            </w:r>
          </w:p>
        </w:tc>
        <w:tc>
          <w:tcPr>
            <w:tcW w:w="3120" w:type="dxa"/>
          </w:tcPr>
          <w:p>
            <w:pPr/>
            <w:r>
              <w:t xml:space="preserve">4 files, standards 100 (A), confidence </w:t>
            </w:r>
            <w:r>
              <w:rPr>
                <w:b/>
              </w:rPr>
              <w:t xml:space="preserve">88 (High)</w:t>
            </w:r>
            <w:r>
              <w:t xml:space="preserve">. Needs a human check: "confirm the household key of </w:t>
            </w:r>
            <w:r>
              <w:rPr>
                <w:rStyle w:val="CodeChar"/>
              </w:rPr>
              <w:t xml:space="preserve">art_review_daily_ikg</w:t>
            </w:r>
            <w:r>
              <w:t xml:space="preserve"> is </w:t>
            </w:r>
            <w:r>
              <w:rPr>
                <w:rStyle w:val="CodeChar"/>
              </w:rPr>
              <w:t xml:space="preserve">acc_mhh_n</w:t>
            </w:r>
            <w:r>
              <w:t xml:space="preserve">"</w:t>
            </w:r>
          </w:p>
        </w:tc>
        <w:tc>
          <w:tcPr>
            <w:tcW w:w="3120" w:type="dxa"/>
          </w:tcPr>
          <w:p>
            <w:pPr/>
            <w:r>
              <w:t xml:space="preserve">file list with confidence per file, evidence, branches </w:t>
            </w:r>
            <w:r>
              <w:rPr>
                <w:rStyle w:val="CodeChar"/>
              </w:rPr>
              <w:t xml:space="preserve">1234-add-household-4-week-cash-distribution-count-…-ikg</w:t>
            </w:r>
            <w:r>
              <w:t xml:space="preserve"> and </w:t>
            </w:r>
            <w:r>
              <w:rPr>
                <w:rStyle w:val="CodeChar"/>
              </w:rPr>
              <w:t xml:space="preserve">…-odm</w:t>
            </w:r>
          </w:p>
        </w:tc>
      </w:tr>
      <w:tr>
        <w:tc>
          <w:tcPr>
            <w:tcW w:w="3120" w:type="dxa"/>
          </w:tcPr>
          <w:p>
            <w:pPr/>
            <w:r>
              <w:t xml:space="preserve">You</w:t>
            </w:r>
          </w:p>
        </w:tc>
        <w:tc>
          <w:tcPr>
            <w:tcW w:w="3120" w:type="dxa"/>
          </w:tcPr>
          <w:p>
            <w:pPr/>
            <w:r>
              <w:rPr>
                <w:rStyle w:val="CodeChar"/>
              </w:rPr>
              <w:t xml:space="preserve">rename mhh_cash_dist_acc_cnt_4w to mhh_cash_dist_acc_cnt_4wk</w:t>
            </w:r>
            <w:r>
              <w:t xml:space="preserve"> → file changed, standards re-run; </w:t>
            </w:r>
            <w:r>
              <w:rPr>
                <w:rStyle w:val="CodeChar"/>
              </w:rPr>
              <w:t xml:space="preserve">download zip</w:t>
            </w:r>
            <w:r>
              <w:t xml:space="preserve">; </w:t>
            </w:r>
            <w:r>
              <w:rPr>
                <w:rStyle w:val="CodeChar"/>
              </w:rPr>
              <w:t xml:space="preserve">push</w:t>
            </w:r>
            <w:r>
              <w:t xml:space="preserve"> → "I will create these branches … reply yes" → </w:t>
            </w:r>
            <w:r>
              <w:rPr>
                <w:rStyle w:val="CodeChar"/>
              </w:rPr>
              <w:t xml:space="preserve">yes</w:t>
            </w:r>
          </w:p>
        </w:tc>
        <w:tc>
          <w:tcPr>
            <w:tcW w:w="3120" w:type="dxa"/>
          </w:tcPr>
          <w:p>
            <w:pPr/>
            <w:r>
              <w:t xml:space="preserve">two branches, one commit each</w:t>
            </w:r>
          </w:p>
        </w:tc>
      </w:tr>
    </w:tbl>
    <w:p>
      <w:pPr/>
      <w:r>
        <w:t xml:space="preserve">This exact story is the built-in self-test (</w:t>
      </w:r>
      <w:r>
        <w:rPr>
          <w:rStyle w:val="CodeChar"/>
        </w:rPr>
        <w:t xml:space="preserve">python run_devassist.py --selftest</w:t>
      </w:r>
      <w:r>
        <w:t xml:space="preserve">): it runs with a fake GitLab and a scripted model, so the mechanics can be checked without any connection.</w:t>
      </w:r>
    </w:p>
    <w:p>
      <w:pPr>
        <w:pStyle w:val="Heading2"/>
      </w:pPr>
      <w:r>
        <w:t xml:space="preserve">Confidence and evidence</w:t>
      </w:r>
    </w:p>
    <w:p>
      <w:pPr/>
      <w:r>
        <w:t xml:space="preserve">Every generated file carries three things, shown in the chat and in the Files tab of the side panel:</w:t>
      </w:r>
    </w:p>
    <w:p>
      <w:pPr>
        <w:pStyle w:val="ListParagraph"/>
        <w:numPr>
          <w:ilvl w:val="0"/>
          <w:numId w:val="4"/>
        </w:numPr>
      </w:pPr>
      <w:r>
        <w:rPr>
          <w:b/>
        </w:rPr>
        <w:t xml:space="preserve">Evidence</w:t>
      </w:r>
      <w:r>
        <w:t xml:space="preserve"> – the files, tables and columns the coder actually opened or queried ("pattern copied from </w:t>
      </w:r>
      <w:r>
        <w:rPr>
          <w:rStyle w:val="CodeChar"/>
        </w:rPr>
        <w:t xml:space="preserve">cash_dist_4wk_mhh_agg_ikg.sql</w:t>
      </w:r>
      <w:r>
        <w:t xml:space="preserve">", "columns verified in </w:t>
      </w:r>
      <w:r>
        <w:rPr>
          <w:rStyle w:val="CodeChar"/>
        </w:rPr>
        <w:t xml:space="preserve">information_schema</w:t>
      </w:r>
      <w:r>
        <w:t xml:space="preserve">", "story comment: threshold 3").</w:t>
      </w:r>
    </w:p>
    <w:p>
      <w:pPr>
        <w:pStyle w:val="ListParagraph"/>
        <w:numPr>
          <w:ilvl w:val="0"/>
          <w:numId w:val="4"/>
        </w:numPr>
      </w:pPr>
      <w:r>
        <w:rPr>
          <w:b/>
        </w:rPr>
        <w:t xml:space="preserve">Confidence 0–100</w:t>
      </w:r>
      <w:r>
        <w:t xml:space="preserve"> by a fixed rubric: </w:t>
      </w:r>
      <w:r>
        <w:rPr>
          <w:b/>
        </w:rPr>
        <w:t xml:space="preserve">90+</w:t>
      </w:r>
      <w:r>
        <w:t xml:space="preserve"> every column verified in data or code and the pattern copied from an existing file; </w:t>
      </w:r>
      <w:r>
        <w:rPr>
          <w:b/>
        </w:rPr>
        <w:t xml:space="preserve">75–89</w:t>
      </w:r>
      <w:r>
        <w:t xml:space="preserve"> pattern verified, one input assumed; </w:t>
      </w:r>
      <w:r>
        <w:rPr>
          <w:b/>
        </w:rPr>
        <w:t xml:space="preserve">60–74</w:t>
      </w:r>
      <w:r>
        <w:t xml:space="preserve"> a source table or expression inferred; </w:t>
      </w:r>
      <w:r>
        <w:rPr>
          <w:b/>
        </w:rPr>
        <w:t xml:space="preserve">below 60</w:t>
      </w:r>
      <w:r>
        <w:t xml:space="preserve"> the requirement itself is unclear.</w:t>
      </w:r>
    </w:p>
    <w:p>
      <w:pPr>
        <w:pStyle w:val="ListParagraph"/>
        <w:numPr>
          <w:ilvl w:val="0"/>
          <w:numId w:val="4"/>
        </w:numPr>
      </w:pPr>
      <w:r>
        <w:rPr>
          <w:b/>
        </w:rPr>
        <w:t xml:space="preserve">What is required</w:t>
      </w:r>
      <w:r>
        <w:t xml:space="preserve"> – the one or two things a human must confirm before the branch is merged (a key, a business threshold, a window).</w:t>
      </w:r>
    </w:p>
    <w:p>
      <w:pPr/>
      <w:r>
        <w:t xml:space="preserve">The overall confidence of a story is </w:t>
      </w:r>
      <w:r>
        <w:rPr>
          <w:rStyle w:val="CodeChar"/>
        </w:rPr>
        <w:t xml:space="preserve">0.4 × average file confidence + 0.3 × reviewer confidence + 0.3 × standards score</w:t>
      </w:r>
      <w:r>
        <w:t xml:space="preserve">, shown as </w:t>
      </w:r>
      <w:r>
        <w:rPr>
          <w:b/>
        </w:rPr>
        <w:t xml:space="preserve">High</w:t>
      </w:r>
      <w:r>
        <w:t xml:space="preserve"> (85 or more), </w:t>
      </w:r>
      <w:r>
        <w:rPr>
          <w:b/>
        </w:rPr>
        <w:t xml:space="preserve">Medium</w:t>
      </w:r>
      <w:r>
        <w:t xml:space="preserve"> (70–84) or </w:t>
      </w:r>
      <w:r>
        <w:rPr>
          <w:b/>
        </w:rPr>
        <w:t xml:space="preserve">Low</w:t>
      </w:r>
      <w:r>
        <w:t xml:space="preserve">. The reviewer also returns </w:t>
      </w:r>
      <w:r>
        <w:rPr>
          <w:b/>
        </w:rPr>
        <w:t xml:space="preserve">suggestions to improve generation</w:t>
      </w:r>
      <w:r>
        <w:t xml:space="preserve"> – for example a business term that should be added to a skill file, or a column description worth sharpening in the metadata table – so the next story starts better.</w:t>
      </w:r>
    </w:p>
    <w:p>
      <w:pPr>
        <w:pStyle w:val="Heading2"/>
      </w:pPr>
      <w:r>
        <w:t xml:space="preserve">Working in the chat</w:t>
      </w:r>
    </w:p>
    <w:p>
      <w:pPr/>
      <w:r>
        <w:t xml:space="preserve">The window opens from the notebook (cell 4) in a new browser tab: saved chats on the left, the conversation in the middle, and on the right four tabs – </w:t>
      </w:r>
      <w:r>
        <w:rPr>
          <w:b/>
        </w:rPr>
        <w:t xml:space="preserve">Files</w:t>
      </w:r>
      <w:r>
        <w:t xml:space="preserve"> (click a file to see it, or the diff against the repository version), </w:t>
      </w:r>
      <w:r>
        <w:rPr>
          <w:b/>
        </w:rPr>
        <w:t xml:space="preserve">Log</w:t>
      </w:r>
      <w:r>
        <w:t xml:space="preserve"> (every step as it happens), </w:t>
      </w:r>
      <w:r>
        <w:rPr>
          <w:b/>
        </w:rPr>
        <w:t xml:space="preserve">Plan</w:t>
      </w:r>
      <w:r>
        <w:t xml:space="preserve"> (requirement, sources, files, impact, validation queries) and </w:t>
      </w:r>
      <w:r>
        <w:rPr>
          <w:b/>
        </w:rPr>
        <w:t xml:space="preserve">Quality</w:t>
      </w:r>
      <w:r>
        <w:t xml:space="preserve"> (standards findings, reviewer verdict, confidence, what needs a human check).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You type</w:t>
            </w:r>
          </w:p>
        </w:tc>
        <w:tc>
          <w:tcPr>
            <w:tcW w:w="4680" w:type="dxa"/>
            <w:shd w:val="clear" w:color="auto" w:fill="F2F2F2"/>
          </w:tcPr>
          <w:p>
            <w:pPr/>
            <w:r>
              <w:t xml:space="preserve">It does</w:t>
            </w:r>
          </w:p>
        </w:tc>
      </w:tr>
      <w:tr>
        <w:tc>
          <w:tcPr>
            <w:tcW w:w="4680" w:type="dxa"/>
          </w:tcPr>
          <w:p>
            <w:pPr/>
            <w:r>
              <w:rPr>
                <w:rStyle w:val="CodeChar"/>
              </w:rPr>
              <w:t xml:space="preserve">story 1234</w:t>
            </w:r>
          </w:p>
        </w:tc>
        <w:tc>
          <w:tcPr>
            <w:tcW w:w="4680" w:type="dxa"/>
          </w:tcPr>
          <w:p>
            <w:pPr/>
            <w:r>
              <w:t xml:space="preserve">reads the story, designs, writes, checks, reviews, reports</w:t>
            </w:r>
          </w:p>
        </w:tc>
      </w:tr>
      <w:tr>
        <w:tc>
          <w:tcPr>
            <w:tcW w:w="4680" w:type="dxa"/>
          </w:tcPr>
          <w:p>
            <w:pPr/>
            <w:r>
              <w:rPr>
                <w:rStyle w:val="CodeChar"/>
              </w:rPr>
              <w:t xml:space="preserve">use acc_mhh_n instead of acc_hh_n</w:t>
            </w:r>
            <w:r>
              <w:t xml:space="preserve">, </w:t>
            </w:r>
            <w:r>
              <w:rPr>
                <w:rStyle w:val="CodeChar"/>
              </w:rPr>
              <w:t xml:space="preserve">add a null check</w:t>
            </w:r>
            <w:r>
              <w:t xml:space="preserve">, </w:t>
            </w:r>
            <w:r>
              <w:rPr>
                <w:rStyle w:val="CodeChar"/>
              </w:rPr>
              <w:t xml:space="preserve">rename column X to Y</w:t>
            </w:r>
          </w:p>
        </w:tc>
        <w:tc>
          <w:tcPr>
            <w:tcW w:w="4680" w:type="dxa"/>
          </w:tcPr>
          <w:p>
            <w:pPr/>
            <w:r>
              <w:t xml:space="preserve">applies the change to the generated files, re-runs the standards check</w:t>
            </w:r>
          </w:p>
        </w:tc>
      </w:tr>
      <w:tr>
        <w:tc>
          <w:tcPr>
            <w:tcW w:w="4680" w:type="dxa"/>
          </w:tcPr>
          <w:p>
            <w:pPr/>
            <w:r>
              <w:rPr>
                <w:rStyle w:val="CodeChar"/>
              </w:rPr>
              <w:t xml:space="preserve">why is it a distinct count?</w:t>
            </w:r>
            <w:r>
              <w:t xml:space="preserve">, </w:t>
            </w:r>
            <w:r>
              <w:rPr>
                <w:rStyle w:val="CodeChar"/>
              </w:rPr>
              <w:t xml:space="preserve">what feeds table X?</w:t>
            </w:r>
          </w:p>
        </w:tc>
        <w:tc>
          <w:tcPr>
            <w:tcW w:w="4680" w:type="dxa"/>
          </w:tcPr>
          <w:p>
            <w:pPr/>
            <w:r>
              <w:t xml:space="preserve">answers from the code, lineage and metadata</w:t>
            </w:r>
          </w:p>
        </w:tc>
      </w:tr>
      <w:tr>
        <w:tc>
          <w:tcPr>
            <w:tcW w:w="4680" w:type="dxa"/>
          </w:tcPr>
          <w:p>
            <w:pPr/>
            <w:r>
              <w:rPr>
                <w:rStyle w:val="CodeChar"/>
              </w:rPr>
              <w:t xml:space="preserve">show plan</w:t>
            </w:r>
            <w:r>
              <w:t xml:space="preserve">, </w:t>
            </w:r>
            <w:r>
              <w:rPr>
                <w:rStyle w:val="CodeChar"/>
              </w:rPr>
              <w:t xml:space="preserve">show file &lt;name&gt;</w:t>
            </w:r>
            <w:r>
              <w:t xml:space="preserve">, </w:t>
            </w:r>
            <w:r>
              <w:rPr>
                <w:rStyle w:val="CodeChar"/>
              </w:rPr>
              <w:t xml:space="preserve">diff &lt;name&gt;</w:t>
            </w:r>
            <w:r>
              <w:t xml:space="preserve">, </w:t>
            </w:r>
            <w:r>
              <w:rPr>
                <w:rStyle w:val="CodeChar"/>
              </w:rPr>
              <w:t xml:space="preserve">status</w:t>
            </w:r>
            <w:r>
              <w:t xml:space="preserve">, </w:t>
            </w:r>
            <w:r>
              <w:rPr>
                <w:rStyle w:val="CodeChar"/>
              </w:rPr>
              <w:t xml:space="preserve">log</w:t>
            </w:r>
            <w:r>
              <w:t xml:space="preserve">, </w:t>
            </w:r>
            <w:r>
              <w:rPr>
                <w:rStyle w:val="CodeChar"/>
              </w:rPr>
              <w:t xml:space="preserve">review</w:t>
            </w:r>
          </w:p>
        </w:tc>
        <w:tc>
          <w:tcPr>
            <w:tcW w:w="4680" w:type="dxa"/>
          </w:tcPr>
          <w:p>
            <w:pPr/>
            <w:r>
              <w:t xml:space="preserve">shows the plan, a file, its diff, the summary, the log; re-reviews</w:t>
            </w:r>
          </w:p>
        </w:tc>
      </w:tr>
      <w:tr>
        <w:tc>
          <w:tcPr>
            <w:tcW w:w="4680" w:type="dxa"/>
          </w:tcPr>
          <w:p>
            <w:pPr/>
            <w:r>
              <w:rPr>
                <w:rStyle w:val="CodeChar"/>
              </w:rPr>
              <w:t xml:space="preserve">download zip</w:t>
            </w:r>
            <w:r>
              <w:t xml:space="preserve"> (or the button)</w:t>
            </w:r>
          </w:p>
        </w:tc>
        <w:tc>
          <w:tcPr>
            <w:tcW w:w="4680" w:type="dxa"/>
          </w:tcPr>
          <w:p>
            <w:pPr/>
            <w:r>
              <w:t xml:space="preserve">a zip with the repository folder structure plus the plan, review and log</w:t>
            </w:r>
          </w:p>
        </w:tc>
      </w:tr>
      <w:tr>
        <w:tc>
          <w:tcPr>
            <w:tcW w:w="4680" w:type="dxa"/>
          </w:tcPr>
          <w:p>
            <w:pPr/>
            <w:r>
              <w:rPr>
                <w:rStyle w:val="CodeChar"/>
              </w:rPr>
              <w:t xml:space="preserve">push</w:t>
            </w:r>
            <w:r>
              <w:t xml:space="preserve"> (or the button) → </w:t>
            </w:r>
            <w:r>
              <w:rPr>
                <w:rStyle w:val="CodeChar"/>
              </w:rPr>
              <w:t xml:space="preserve">yes</w:t>
            </w:r>
          </w:p>
        </w:tc>
        <w:tc>
          <w:tcPr>
            <w:tcW w:w="4680" w:type="dxa"/>
          </w:tcPr>
          <w:p>
            <w:pPr/>
            <w:r>
              <w:t xml:space="preserve">creates </w:t>
            </w:r>
            <w:r>
              <w:rPr>
                <w:rStyle w:val="CodeChar"/>
              </w:rPr>
              <w:t xml:space="preserve">&lt;story&gt;-&lt;title&gt;-ikg</w:t>
            </w:r>
            <w:r>
              <w:t xml:space="preserve"> from </w:t>
            </w:r>
            <w:r>
              <w:rPr>
                <w:rStyle w:val="CodeChar"/>
              </w:rPr>
              <w:t xml:space="preserve">ikg-master</w:t>
            </w:r>
            <w:r>
              <w:t xml:space="preserve"> and </w:t>
            </w:r>
            <w:r>
              <w:rPr>
                <w:rStyle w:val="CodeChar"/>
              </w:rPr>
              <w:t xml:space="preserve">&lt;story&gt;-&lt;title&gt;-odm</w:t>
            </w:r>
            <w:r>
              <w:t xml:space="preserve"> from </w:t>
            </w:r>
            <w:r>
              <w:rPr>
                <w:rStyle w:val="CodeChar"/>
              </w:rPr>
              <w:t xml:space="preserve">odm-master</w:t>
            </w:r>
            <w:r>
              <w:t xml:space="preserve">, one commit per repository</w:t>
            </w:r>
          </w:p>
        </w:tc>
      </w:tr>
      <w:tr>
        <w:tc>
          <w:tcPr>
            <w:tcW w:w="4680" w:type="dxa"/>
          </w:tcPr>
          <w:p>
            <w:pPr/>
            <w:r>
              <w:rPr>
                <w:rStyle w:val="CodeChar"/>
              </w:rPr>
              <w:t xml:space="preserve">regenerate</w:t>
            </w:r>
          </w:p>
        </w:tc>
        <w:tc>
          <w:tcPr>
            <w:tcW w:w="4680" w:type="dxa"/>
          </w:tcPr>
          <w:p>
            <w:pPr/>
            <w:r>
              <w:t xml:space="preserve">starts the story again from the issue</w:t>
            </w:r>
          </w:p>
        </w:tc>
      </w:tr>
    </w:tbl>
    <w:p>
      <w:pPr/>
      <w:r>
        <w:t xml:space="preserve">The context of a chat is kept (the story, its files, the last answers), </w:t>
      </w:r>
      <w:r>
        <w:rPr>
          <w:b/>
        </w:rPr>
        <w:t xml:space="preserve">New chat</w:t>
      </w:r>
      <w:r>
        <w:t xml:space="preserve"> starts clean, and every message is stored in </w:t>
      </w:r>
      <w:r>
        <w:rPr>
          <w:rStyle w:val="CodeChar"/>
        </w:rPr>
        <w:t xml:space="preserve">core_ikg.ikg_devassist_history</w:t>
      </w:r>
      <w:r>
        <w:t xml:space="preserve"> so a chat can be reopened from the sidebar days later with its files and log.</w:t>
      </w:r>
    </w:p>
    <w:p>
      <w:pPr>
        <w:pStyle w:val="Heading2"/>
      </w:pPr>
      <w:r>
        <w:t xml:space="preserve">Sources and set-up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Source</w:t>
            </w:r>
          </w:p>
        </w:tc>
        <w:tc>
          <w:tcPr>
            <w:tcW w:w="4680" w:type="dxa"/>
            <w:shd w:val="clear" w:color="auto" w:fill="F2F2F2"/>
          </w:tcPr>
          <w:p>
            <w:pPr/>
            <w:r>
              <w:t xml:space="preserve">Used for</w:t>
            </w:r>
          </w:p>
        </w:tc>
      </w:tr>
      <w:tr>
        <w:tc>
          <w:tcPr>
            <w:tcW w:w="4680" w:type="dxa"/>
          </w:tcPr>
          <w:p>
            <w:pPr/>
            <w:r>
              <w:t xml:space="preserve">GitLab issue board </w:t>
            </w:r>
            <w:r>
              <w:rPr>
                <w:rStyle w:val="CodeChar"/>
              </w:rPr>
              <w:t xml:space="preserve">staat-ds-insights-home</w:t>
            </w:r>
            <w:r>
              <w:t xml:space="preserve"> (devcloud.ubs.net)</w:t>
            </w:r>
          </w:p>
        </w:tc>
        <w:tc>
          <w:tcPr>
            <w:tcW w:w="4680" w:type="dxa"/>
          </w:tcPr>
          <w:p>
            <w:pPr/>
            <w:r>
              <w:t xml:space="preserve">the story: title, description, labels, comments, attachments</w:t>
            </w:r>
          </w:p>
        </w:tc>
      </w:tr>
      <w:tr>
        <w:tc>
          <w:tcPr>
            <w:tcW w:w="4680" w:type="dxa"/>
          </w:tcPr>
          <w:p>
            <w:pPr/>
            <w:r>
              <w:t xml:space="preserve">Repository </w:t>
            </w:r>
            <w:r>
              <w:rPr>
                <w:rStyle w:val="CodeChar"/>
              </w:rPr>
              <w:t xml:space="preserve">ikg-dags</w:t>
            </w:r>
            <w:r>
              <w:t xml:space="preserve">, </w:t>
            </w:r>
            <w:r>
              <w:rPr>
                <w:rStyle w:val="CodeChar"/>
              </w:rPr>
              <w:t xml:space="preserve">dags/ikg</w:t>
            </w:r>
            <w:r>
              <w:t xml:space="preserve"> at </w:t>
            </w:r>
            <w:r>
              <w:rPr>
                <w:rStyle w:val="CodeChar"/>
              </w:rPr>
              <w:t xml:space="preserve">ikg-master</w:t>
            </w:r>
          </w:p>
        </w:tc>
        <w:tc>
          <w:tcPr>
            <w:tcW w:w="4680" w:type="dxa"/>
          </w:tcPr>
          <w:p>
            <w:pPr/>
            <w:r>
              <w:t xml:space="preserve">SQL scripts (target, sources, columns, params), DAG tasks, folder conventions, examples to copy</w:t>
            </w:r>
          </w:p>
        </w:tc>
      </w:tr>
      <w:tr>
        <w:tc>
          <w:tcPr>
            <w:tcW w:w="4680" w:type="dxa"/>
          </w:tcPr>
          <w:p>
            <w:pPr/>
            <w:r>
              <w:t xml:space="preserve">Repository </w:t>
            </w:r>
            <w:r>
              <w:rPr>
                <w:rStyle w:val="CodeChar"/>
              </w:rPr>
              <w:t xml:space="preserve">odm-dags</w:t>
            </w:r>
            <w:r>
              <w:t xml:space="preserve">, </w:t>
            </w:r>
            <w:r>
              <w:rPr>
                <w:rStyle w:val="CodeChar"/>
              </w:rPr>
              <w:t xml:space="preserve">dags/odm</w:t>
            </w:r>
            <w:r>
              <w:t xml:space="preserve"> at </w:t>
            </w:r>
            <w:r>
              <w:rPr>
                <w:rStyle w:val="CodeChar"/>
              </w:rPr>
              <w:t xml:space="preserve">odm-master</w:t>
            </w:r>
          </w:p>
        </w:tc>
        <w:tc>
          <w:tcPr>
            <w:tcW w:w="4680" w:type="dxa"/>
          </w:tcPr>
          <w:p>
            <w:pPr/>
            <w:r>
              <w:t xml:space="preserve">rule files </w:t>
            </w:r>
            <w:r>
              <w:rPr>
                <w:rStyle w:val="CodeChar"/>
              </w:rPr>
              <w:t xml:space="preserve">si_*.sql</w:t>
            </w:r>
            <w:r>
              <w:t xml:space="preserve">, rule folders, insight table DDL, task-name files</w:t>
            </w:r>
          </w:p>
        </w:tc>
      </w:tr>
      <w:tr>
        <w:tc>
          <w:tcPr>
            <w:tcW w:w="4680" w:type="dxa"/>
          </w:tcPr>
          <w:p>
            <w:pPr/>
            <w:r>
              <w:t xml:space="preserve">Greenplum </w:t>
            </w:r>
            <w:r>
              <w:rPr>
                <w:rStyle w:val="CodeChar"/>
              </w:rPr>
              <w:t xml:space="preserve">core_ikg</w:t>
            </w:r>
            <w:r>
              <w:t xml:space="preserve">: </w:t>
            </w:r>
            <w:r>
              <w:rPr>
                <w:rStyle w:val="CodeChar"/>
              </w:rPr>
              <w:t xml:space="preserve">ikg_attribute_business_description</w:t>
            </w:r>
            <w:r>
              <w:t xml:space="preserve">, </w:t>
            </w:r>
            <w:r>
              <w:rPr>
                <w:rStyle w:val="CodeChar"/>
              </w:rPr>
              <w:t xml:space="preserve">ikg_graph_relationship</w:t>
            </w:r>
            <w:r>
              <w:t xml:space="preserve">, </w:t>
            </w:r>
            <w:r>
              <w:rPr>
                <w:rStyle w:val="CodeChar"/>
              </w:rPr>
              <w:t xml:space="preserve">ikg_graph_joining_key</w:t>
            </w:r>
            <w:r>
              <w:t xml:space="preserve">, </w:t>
            </w:r>
            <w:r>
              <w:rPr>
                <w:rStyle w:val="CodeChar"/>
              </w:rPr>
              <w:t xml:space="preserve">ikg_metadata_glossary_llm</w:t>
            </w:r>
            <w:r>
              <w:t xml:space="preserve">, </w:t>
            </w:r>
            <w:r>
              <w:rPr>
                <w:rStyle w:val="CodeChar"/>
              </w:rPr>
              <w:t xml:space="preserve">ikg_profile_table_descriptions</w:t>
            </w:r>
          </w:p>
        </w:tc>
        <w:tc>
          <w:tcPr>
            <w:tcW w:w="4680" w:type="dxa"/>
          </w:tcPr>
          <w:p>
            <w:pPr/>
            <w:r>
              <w:t xml:space="preserve">what each profile column means, keys, how tables join</w:t>
            </w:r>
          </w:p>
        </w:tc>
      </w:tr>
      <w:tr>
        <w:tc>
          <w:tcPr>
            <w:tcW w:w="4680" w:type="dxa"/>
          </w:tcPr>
          <w:p>
            <w:pPr/>
            <w:r>
              <w:t xml:space="preserve">Greenplum </w:t>
            </w:r>
            <w:r>
              <w:rPr>
                <w:rStyle w:val="CodeChar"/>
              </w:rPr>
              <w:t xml:space="preserve">core_ikg</w:t>
            </w:r>
            <w:r>
              <w:t xml:space="preserve">: </w:t>
            </w:r>
            <w:r>
              <w:rPr>
                <w:rStyle w:val="CodeChar"/>
              </w:rPr>
              <w:t xml:space="preserve">ikg_table_lineage_metadata_auto_refresh</w:t>
            </w:r>
            <w:r>
              <w:t xml:space="preserve">, </w:t>
            </w:r>
            <w:r>
              <w:rPr>
                <w:rStyle w:val="CodeChar"/>
              </w:rPr>
              <w:t xml:space="preserve">ikg_column_lineage_master_auto_refresh</w:t>
            </w:r>
          </w:p>
        </w:tc>
        <w:tc>
          <w:tcPr>
            <w:tcW w:w="4680" w:type="dxa"/>
          </w:tcPr>
          <w:p>
            <w:pPr/>
            <w:r>
              <w:t xml:space="preserve">where a profile column comes from (so profile tables are never used as sources)</w:t>
            </w:r>
          </w:p>
        </w:tc>
      </w:tr>
      <w:tr>
        <w:tc>
          <w:tcPr>
            <w:tcW w:w="4680" w:type="dxa"/>
          </w:tcPr>
          <w:p>
            <w:pPr/>
            <w:r>
              <w:t xml:space="preserve">Greenplum </w:t>
            </w:r>
            <w:r>
              <w:rPr>
                <w:rStyle w:val="CodeChar"/>
              </w:rPr>
              <w:t xml:space="preserve">information_schema</w:t>
            </w:r>
            <w:r>
              <w:t xml:space="preserve"> and read-only </w:t>
            </w:r>
            <w:r>
              <w:rPr>
                <w:rStyle w:val="CodeChar"/>
              </w:rPr>
              <w:t xml:space="preserve">SELECT … LIMIT 50</w:t>
            </w:r>
          </w:p>
        </w:tc>
        <w:tc>
          <w:tcPr>
            <w:tcW w:w="4680" w:type="dxa"/>
          </w:tcPr>
          <w:p>
            <w:pPr/>
            <w:r>
              <w:t xml:space="preserve">real columns and types of any source table, sample values</w:t>
            </w:r>
          </w:p>
        </w:tc>
      </w:tr>
      <w:tr>
        <w:tc>
          <w:tcPr>
            <w:tcW w:w="4680" w:type="dxa"/>
          </w:tcPr>
          <w:p>
            <w:pPr/>
            <w:r>
              <w:rPr>
                <w:rStyle w:val="CodeChar"/>
              </w:rPr>
              <w:t xml:space="preserve">skills/*.md</w:t>
            </w:r>
            <w:r>
              <w:t xml:space="preserve">, </w:t>
            </w:r>
            <w:r>
              <w:rPr>
                <w:rStyle w:val="CodeChar"/>
              </w:rPr>
              <w:t xml:space="preserve">knowledge/odm_knowledge.md</w:t>
            </w:r>
            <w:r>
              <w:t xml:space="preserve">, </w:t>
            </w:r>
            <w:r>
              <w:rPr>
                <w:rStyle w:val="CodeChar"/>
              </w:rPr>
              <w:t xml:space="preserve">knowledge/ikg_conventions.md</w:t>
            </w:r>
          </w:p>
        </w:tc>
        <w:tc>
          <w:tcPr>
            <w:tcW w:w="4680" w:type="dxa"/>
          </w:tcPr>
          <w:p>
            <w:pPr/>
            <w:r>
              <w:t xml:space="preserve">business definitions and glossary, what ODM is, IKG repository conventions</w:t>
            </w:r>
          </w:p>
        </w:tc>
      </w:tr>
      <w:tr>
        <w:tc>
          <w:tcPr>
            <w:tcW w:w="4680" w:type="dxa"/>
          </w:tcPr>
          <w:p>
            <w:pPr/>
            <w:r>
              <w:rPr>
                <w:rStyle w:val="CodeChar"/>
              </w:rPr>
              <w:t xml:space="preserve">standards/standards_config.yaml</w:t>
            </w:r>
            <w:r>
              <w:t xml:space="preserve">, </w:t>
            </w:r>
            <w:r>
              <w:rPr>
                <w:rStyle w:val="CodeChar"/>
              </w:rPr>
              <w:t xml:space="preserve">sql_rules.yaml</w:t>
            </w:r>
            <w:r>
              <w:t xml:space="preserve">, </w:t>
            </w:r>
            <w:r>
              <w:rPr>
                <w:rStyle w:val="CodeChar"/>
              </w:rPr>
              <w:t xml:space="preserve">severity_mapping.yaml</w:t>
            </w:r>
          </w:p>
        </w:tc>
        <w:tc>
          <w:tcPr>
            <w:tcW w:w="4680" w:type="dxa"/>
          </w:tcPr>
          <w:p>
            <w:pPr/>
            <w:r>
              <w:t xml:space="preserve">the deterministic standards checker, severities, build gates</w:t>
            </w:r>
          </w:p>
        </w:tc>
      </w:tr>
      <w:tr>
        <w:tc>
          <w:tcPr>
            <w:tcW w:w="4680" w:type="dxa"/>
          </w:tcPr>
          <w:p>
            <w:pPr/>
            <w:r>
              <w:t xml:space="preserve">Azure OpenAI GPT-5 (deployment </w:t>
            </w:r>
            <w:r>
              <w:rPr>
                <w:rStyle w:val="CodeChar"/>
              </w:rPr>
              <w:t xml:space="preserve">gpt-5-pshah</w:t>
            </w:r>
            <w:r>
              <w:t xml:space="preserve">)</w:t>
            </w:r>
          </w:p>
        </w:tc>
        <w:tc>
          <w:tcPr>
            <w:tcW w:w="4680" w:type="dxa"/>
          </w:tcPr>
          <w:p>
            <w:pPr/>
            <w:r>
              <w:t xml:space="preserve">reading, planning, writing and reviewing – always through the tools above, never from memory</w:t>
            </w:r>
          </w:p>
        </w:tc>
      </w:tr>
    </w:tbl>
    <w:p>
      <w:pPr/>
      <w:r>
        <w:rPr>
          <w:b/>
        </w:rPr>
        <w:t xml:space="preserve">Set-up:</w:t>
      </w:r>
      <w:r>
        <w:t xml:space="preserve"> unzip </w:t>
      </w:r>
      <w:r>
        <w:rPr>
          <w:rStyle w:val="CodeChar"/>
        </w:rPr>
        <w:t xml:space="preserve">ikg_devassist.zip</w:t>
      </w:r>
      <w:r>
        <w:t xml:space="preserve">, </w:t>
      </w:r>
      <w:r>
        <w:rPr>
          <w:rStyle w:val="CodeChar"/>
        </w:rPr>
        <w:t xml:space="preserve">pip install -r requirements.txt</w:t>
      </w:r>
      <w:r>
        <w:t xml:space="preserve">, open </w:t>
      </w:r>
      <w:r>
        <w:rPr>
          <w:rStyle w:val="CodeChar"/>
        </w:rPr>
        <w:t xml:space="preserve">IKG_DevAssist.ipynb</w:t>
      </w:r>
      <w:r>
        <w:t xml:space="preserve"> and run cells 1–4. All settings (projects, branches, folders, conventions, review rounds, chat-history table) are in </w:t>
      </w:r>
      <w:r>
        <w:rPr>
          <w:rStyle w:val="CodeChar"/>
        </w:rPr>
        <w:t xml:space="preserve">config/devassist_config.yaml</w:t>
      </w:r>
      <w:r>
        <w:t xml:space="preserve">. The three standards files and the ODM knowledge file were transcribed from screenshots – drop the originals in under the same names and they are used at the next start.</w:t>
      </w:r>
    </w:p>
    <w:p>
      <w:pPr/>
      <w:r>
        <w:rPr>
          <w:b/>
        </w:rPr>
        <w:t xml:space="preserve">Secrets</w:t>
      </w:r>
      <w:r>
        <w:t xml:space="preserve"> (Azure OpenAI key, Greenplum password, GitLab token) are typed into a hidden prompt at runtime or read from </w:t>
      </w:r>
      <w:r>
        <w:rPr>
          <w:rStyle w:val="CodeChar"/>
        </w:rPr>
        <w:t xml:space="preserve">IKG_AZURE_OPENAI_API_KEY</w:t>
      </w:r>
      <w:r>
        <w:t xml:space="preserve">, </w:t>
      </w:r>
      <w:r>
        <w:rPr>
          <w:rStyle w:val="CodeChar"/>
        </w:rPr>
        <w:t xml:space="preserve">IKG_GP_PASSWORD</w:t>
      </w:r>
      <w:r>
        <w:t xml:space="preserve">, </w:t>
      </w:r>
      <w:r>
        <w:rPr>
          <w:rStyle w:val="CodeChar"/>
        </w:rPr>
        <w:t xml:space="preserve">IKG_GITLAB_TOKEN</w:t>
      </w:r>
      <w:r>
        <w:t xml:space="preserve">; they are never written to config, code, cache or chat history. The GitLab token needs </w:t>
      </w:r>
      <w:r>
        <w:rPr>
          <w:i/>
        </w:rPr>
        <w:t xml:space="preserve">read</w:t>
      </w:r>
      <w:r>
        <w:t xml:space="preserve"> on the issue project and </w:t>
      </w:r>
      <w:r>
        <w:rPr>
          <w:i/>
        </w:rPr>
        <w:t xml:space="preserve">write repository</w:t>
      </w:r>
      <w:r>
        <w:t xml:space="preserve"> on the two code projects.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IKG-ODM Development Assistant – one pager</dc:title>
  <dc:description>Claude Docs node/de8df350-57bd@8 docx-w6</dc:description>
  <cp:revision>8</cp:revision>
</cp:coreProperties>
</file>