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IKG Metadata &amp; Knowledge Graph Agents</w:t>
      </w:r>
    </w:p>
    <w:p>
      <w:pPr/>
      <w:r>
        <w:t xml:space="preserve">Oct 7, 2026</w:t>
      </w:r>
      <w:r>
        <w:t xml:space="preserve"> · </w:t>
      </w:r>
      <w:r>
        <w:t xml:space="preserve">@Pratik</w:t>
      </w:r>
    </w:p>
    <w:p>
      <w:pPr>
        <w:pStyle w:val="Heading2"/>
      </w:pPr>
      <w:r>
        <w:t xml:space="preserve">Purpose</w:t>
      </w:r>
    </w:p>
    <w:p>
      <w:pPr/>
      <w:r>
        <w:t xml:space="preserve">The program documents every attribute of the 55 IKG profile tables (5,021 columns) with a business name, a precise description and a confidence score, and draws the business entities and their relationships as a knowledge graph. Today those tables are documented only by column names such as </w:t>
      </w:r>
      <w:r>
        <w:rPr>
          <w:rStyle w:val="CodeChar"/>
        </w:rPr>
        <w:t xml:space="preserve">mhh_cash_dist_4w</w:t>
      </w:r>
      <w:r>
        <w:t xml:space="preserve">; advisors, analysts and the IKG question-answering LLM have no reliable definition of what each value means.</w:t>
      </w:r>
    </w:p>
    <w:p>
      <w:pPr/>
      <w:r>
        <w:t xml:space="preserve">It is a multi-agent program on Azure OpenAI GPT-5: a master agent coordinates seven specialist agents, each of which understands one source (skill files, EDW data dictionary, Greenplum catalogue, GitLab code) and calls deterministic tools over it. Every statement is grounded in evidence, independently reviewed, and scored, so the output is a data dictionary the firm can trust rather than a set of guesses from column names.</w:t>
      </w:r>
    </w:p>
    <w:p>
      <w:pPr>
        <w:pStyle w:val="Heading2"/>
      </w:pPr>
      <w:r>
        <w:t xml:space="preserve">Architecture</w:t>
      </w:r>
    </w:p>
    <w:p>
      <w:pPr/>
      <w:r>
        <w:drawing>
          <wp:inline distT="0" distB="0" distL="0" distR="0">
            <wp:extent cx="5486400" cy="4612821"/>
            <wp:docPr id="1" name="image1" descr="architecture · inputs, master agent, seven specialists, evidence store, outputs"/>
            <a:graphic xmlns:a="http://schemas.openxmlformats.org/drawingml/2006/main">
              <a:graphicData uri="http://schemas.openxmlformats.org/drawingml/2006/picture">
                <pic:pic xmlns:pic="http://schemas.openxmlformats.org/drawingml/2006/picture">
                  <pic:nvPicPr>
                    <pic:cNvPr id="1" name="image1" descr="architecture · inputs, master agent, seven specialists, evidence store, outputs"/>
                    <pic:cNvPicPr/>
                  </pic:nvPicPr>
                  <pic:blipFill>
                    <a:blip r:embed="rId3"/>
                    <a:stretch>
                      <a:fillRect/>
                    </a:stretch>
                  </pic:blipFill>
                  <pic:spPr>
                    <a:xfrm>
                      <a:off x="0" y="0"/>
                      <a:ext cx="5486400" cy="4612821"/>
                    </a:xfrm>
                    <a:prstGeom prst="rect">
                      <a:avLst/>
                    </a:prstGeom>
                  </pic:spPr>
                </pic:pic>
              </a:graphicData>
            </a:graphic>
          </wp:inline>
        </w:drawing>
      </w:r>
    </w:p>
    <w:p>
      <w:pPr/>
      <w:r>
        <w:t xml:space="preserve">architecture · inputs, master agent, seven specialists, evidence store, outputs</w:t>
      </w:r>
    </w:p>
    <w:p>
      <w:pPr/>
      <w:r>
        <w:t xml:space="preserve">Every agent reads and writes the same evidence store, so a description is only accepted when the reviewer can trace it back to a skill file, the SQL, lineage or the EDW dictionary.</w:t>
      </w:r>
    </w:p>
    <w:p>
      <w:pPr>
        <w:pStyle w:val="Heading2"/>
      </w:pPr>
      <w:r>
        <w:t xml:space="preserve">The agents</w:t>
      </w:r>
    </w:p>
    <w:p>
      <w:pPr/>
      <w:r>
        <w:t xml:space="preserve">One master agent plans the run and calls seven specialists through function tools; each specialist calls deterministic Python tools over one source and submits a result that code validates before it is accepted.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Agent</w:t>
            </w:r>
          </w:p>
        </w:tc>
        <w:tc>
          <w:tcPr>
            <w:tcW w:w="2340" w:type="dxa"/>
            <w:shd w:val="clear" w:color="auto" w:fill="F2F2F2"/>
          </w:tcPr>
          <w:p>
            <w:pPr/>
            <w:r>
              <w:t xml:space="preserve">Understands</w:t>
            </w:r>
          </w:p>
        </w:tc>
        <w:tc>
          <w:tcPr>
            <w:tcW w:w="2340" w:type="dxa"/>
            <w:shd w:val="clear" w:color="auto" w:fill="F2F2F2"/>
          </w:tcPr>
          <w:p>
            <w:pPr/>
            <w:r>
              <w:t xml:space="preserve">Tools it calls</w:t>
            </w:r>
          </w:p>
        </w:tc>
        <w:tc>
          <w:tcPr>
            <w:tcW w:w="2340" w:type="dxa"/>
            <w:shd w:val="clear" w:color="auto" w:fill="F2F2F2"/>
          </w:tcPr>
          <w:p>
            <w:pPr/>
            <w:r>
              <w:t xml:space="preserve">Produces</w:t>
            </w:r>
          </w:p>
        </w:tc>
      </w:tr>
      <w:tr>
        <w:tc>
          <w:tcPr>
            <w:tcW w:w="2340" w:type="dxa"/>
          </w:tcPr>
          <w:p>
            <w:pPr/>
            <w:r>
              <w:t xml:space="preserve">Master</w:t>
            </w:r>
          </w:p>
        </w:tc>
        <w:tc>
          <w:tcPr>
            <w:tcW w:w="2340" w:type="dxa"/>
          </w:tcPr>
          <w:p>
            <w:pPr/>
            <w:r>
              <w:t xml:space="preserve">the whole program</w:t>
            </w:r>
          </w:p>
        </w:tc>
        <w:tc>
          <w:tcPr>
            <w:tcW w:w="2340" w:type="dxa"/>
          </w:tcPr>
          <w:p>
            <w:pPr/>
            <w:r>
              <w:t xml:space="preserve">run_skill_agent, run_dictionary_agent, run_table_pipelines, quality_report, run_graph_agent, write_outputs</w:t>
            </w:r>
          </w:p>
        </w:tc>
        <w:tc>
          <w:tcPr>
            <w:tcW w:w="2340" w:type="dxa"/>
          </w:tcPr>
          <w:p>
            <w:pPr/>
            <w:r>
              <w:t xml:space="preserve">the plan, quality gates, escalation of Low attributes</w:t>
            </w:r>
          </w:p>
        </w:tc>
      </w:tr>
      <w:tr>
        <w:tc>
          <w:tcPr>
            <w:tcW w:w="2340" w:type="dxa"/>
          </w:tcPr>
          <w:p>
            <w:pPr/>
            <w:r>
              <w:t xml:space="preserve">Skill</w:t>
            </w:r>
          </w:p>
        </w:tc>
        <w:tc>
          <w:tcPr>
            <w:tcW w:w="2340" w:type="dxa"/>
          </w:tcPr>
          <w:p>
            <w:pPr/>
            <w:r>
              <w:rPr>
                <w:rStyle w:val="CodeChar"/>
              </w:rPr>
              <w:t xml:space="preserve">skills/*.md</w:t>
            </w:r>
            <w:r>
              <w:t xml:space="preserve"> (firm knowledge)</w:t>
            </w:r>
          </w:p>
        </w:tc>
        <w:tc>
          <w:tcPr>
            <w:tcW w:w="2340" w:type="dxa"/>
          </w:tcPr>
          <w:p>
            <w:pPr/>
            <w:r>
              <w:t xml:space="preserve">list / read / search skills</w:t>
            </w:r>
          </w:p>
        </w:tc>
        <w:tc>
          <w:tcPr>
            <w:tcW w:w="2340" w:type="dxa"/>
          </w:tcPr>
          <w:p>
            <w:pPr/>
            <w:r>
              <w:t xml:space="preserve">verified definitions, abbreviations, column definitions (e.g. </w:t>
            </w:r>
            <w:r>
              <w:rPr>
                <w:rStyle w:val="CodeChar"/>
              </w:rPr>
              <w:t xml:space="preserve">acc_mhh_n</w:t>
            </w:r>
            <w:r>
              <w:t xml:space="preserve"> = statement household), authoring rules</w:t>
            </w:r>
          </w:p>
        </w:tc>
      </w:tr>
      <w:tr>
        <w:tc>
          <w:tcPr>
            <w:tcW w:w="2340" w:type="dxa"/>
          </w:tcPr>
          <w:p>
            <w:pPr/>
            <w:r>
              <w:t xml:space="preserve">Data Dictionary</w:t>
            </w:r>
          </w:p>
        </w:tc>
        <w:tc>
          <w:tcPr>
            <w:tcW w:w="2340" w:type="dxa"/>
          </w:tcPr>
          <w:p>
            <w:pPr/>
            <w:r>
              <w:t xml:space="preserve">EDW Data Dictionary, glossary</w:t>
            </w:r>
          </w:p>
        </w:tc>
        <w:tc>
          <w:tcPr>
            <w:tcW w:w="2340" w:type="dxa"/>
          </w:tcPr>
          <w:p>
            <w:pPr/>
            <w:r>
              <w:t xml:space="preserve">EDW lookup / search, token usage, repo search</w:t>
            </w:r>
          </w:p>
        </w:tc>
        <w:tc>
          <w:tcPr>
            <w:tcW w:w="2340" w:type="dxa"/>
          </w:tcPr>
          <w:p>
            <w:pPr/>
            <w:r>
              <w:t xml:space="preserve">meaning of every abbreviation token; unknown ones marked NEEDS_INPUT</w:t>
            </w:r>
          </w:p>
        </w:tc>
      </w:tr>
      <w:tr>
        <w:tc>
          <w:tcPr>
            <w:tcW w:w="2340" w:type="dxa"/>
          </w:tcPr>
          <w:p>
            <w:pPr/>
            <w:r>
              <w:t xml:space="preserve">Table Catalog</w:t>
            </w:r>
          </w:p>
        </w:tc>
        <w:tc>
          <w:tcPr>
            <w:tcW w:w="2340" w:type="dxa"/>
          </w:tcPr>
          <w:p>
            <w:pPr/>
            <w:r>
              <w:t xml:space="preserve">Greenplum catalogue, lineage table, actual values</w:t>
            </w:r>
          </w:p>
        </w:tc>
        <w:tc>
          <w:tcPr>
            <w:tcW w:w="2340" w:type="dxa"/>
          </w:tcPr>
          <w:p>
            <w:pPr/>
            <w:r>
              <w:t xml:space="preserve">catalogue, lineage walk, read-only value profiling</w:t>
            </w:r>
          </w:p>
        </w:tc>
        <w:tc>
          <w:tcPr>
            <w:tcW w:w="2340" w:type="dxa"/>
          </w:tcPr>
          <w:p>
            <w:pPr/>
            <w:r>
              <w:t xml:space="preserve">grain check, value profiles of flag / code columns</w:t>
            </w:r>
          </w:p>
        </w:tc>
      </w:tr>
      <w:tr>
        <w:tc>
          <w:tcPr>
            <w:tcW w:w="2340" w:type="dxa"/>
          </w:tcPr>
          <w:p>
            <w:pPr/>
            <w:r>
              <w:t xml:space="preserve">Code</w:t>
            </w:r>
          </w:p>
        </w:tc>
        <w:tc>
          <w:tcPr>
            <w:tcW w:w="2340" w:type="dxa"/>
          </w:tcPr>
          <w:p>
            <w:pPr/>
            <w:r>
              <w:t xml:space="preserve">GitLab </w:t>
            </w:r>
            <w:r>
              <w:rPr>
                <w:rStyle w:val="CodeChar"/>
              </w:rPr>
              <w:t xml:space="preserve">ikg-dags</w:t>
            </w:r>
            <w:r>
              <w:t xml:space="preserve"> SQL and Python</w:t>
            </w:r>
          </w:p>
        </w:tc>
        <w:tc>
          <w:tcPr>
            <w:tcW w:w="2340" w:type="dxa"/>
          </w:tcPr>
          <w:p>
            <w:pPr/>
            <w:r>
              <w:t xml:space="preserve">read profile script, find upstream writers, read any file, regex search, code lineage</w:t>
            </w:r>
          </w:p>
        </w:tc>
        <w:tc>
          <w:tcPr>
            <w:tcW w:w="2340" w:type="dxa"/>
          </w:tcPr>
          <w:p>
            <w:pPr/>
            <w:r>
              <w:t xml:space="preserve">table brief: purpose, grain, business rules quoted from SQL, time windows</w:t>
            </w:r>
          </w:p>
        </w:tc>
      </w:tr>
      <w:tr>
        <w:tc>
          <w:tcPr>
            <w:tcW w:w="2340" w:type="dxa"/>
          </w:tcPr>
          <w:p>
            <w:pPr/>
            <w:r>
              <w:t xml:space="preserve">Author</w:t>
            </w:r>
          </w:p>
        </w:tc>
        <w:tc>
          <w:tcPr>
            <w:tcW w:w="2340" w:type="dxa"/>
          </w:tcPr>
          <w:p>
            <w:pPr/>
            <w:r>
              <w:t xml:space="preserve">all evidence</w:t>
            </w:r>
          </w:p>
        </w:tc>
        <w:tc>
          <w:tcPr>
            <w:tcW w:w="2340" w:type="dxa"/>
          </w:tcPr>
          <w:p>
            <w:pPr/>
            <w:r>
              <w:t xml:space="preserve">evidence pack + every tool above on demand</w:t>
            </w:r>
          </w:p>
        </w:tc>
        <w:tc>
          <w:tcPr>
            <w:tcW w:w="2340" w:type="dxa"/>
          </w:tcPr>
          <w:p>
            <w:pPr/>
            <w:r>
              <w:t xml:space="preserve">business name, description, entity, type, unit, confidence per column</w:t>
            </w:r>
          </w:p>
        </w:tc>
      </w:tr>
      <w:tr>
        <w:tc>
          <w:tcPr>
            <w:tcW w:w="2340" w:type="dxa"/>
          </w:tcPr>
          <w:p>
            <w:pPr/>
            <w:r>
              <w:t xml:space="preserve">Reviewer</w:t>
            </w:r>
          </w:p>
        </w:tc>
        <w:tc>
          <w:tcPr>
            <w:tcW w:w="2340" w:type="dxa"/>
          </w:tcPr>
          <w:p>
            <w:pPr/>
            <w:r>
              <w:t xml:space="preserve">all evidence</w:t>
            </w:r>
          </w:p>
        </w:tc>
        <w:tc>
          <w:tcPr>
            <w:tcW w:w="2340" w:type="dxa"/>
          </w:tcPr>
          <w:p>
            <w:pPr/>
            <w:r>
              <w:t xml:space="preserve">same</w:t>
            </w:r>
          </w:p>
        </w:tc>
        <w:tc>
          <w:tcPr>
            <w:tcW w:w="2340" w:type="dxa"/>
          </w:tcPr>
          <w:p>
            <w:pPr/>
            <w:r>
              <w:t xml:space="preserve">verdict correct / revised / insufficient evidence, corrected text</w:t>
            </w:r>
          </w:p>
        </w:tc>
      </w:tr>
      <w:tr>
        <w:tc>
          <w:tcPr>
            <w:tcW w:w="2340" w:type="dxa"/>
          </w:tcPr>
          <w:p>
            <w:pPr/>
            <w:r>
              <w:t xml:space="preserve">Graph</w:t>
            </w:r>
          </w:p>
        </w:tc>
        <w:tc>
          <w:tcPr>
            <w:tcW w:w="2340" w:type="dxa"/>
          </w:tcPr>
          <w:p>
            <w:pPr/>
            <w:r>
              <w:t xml:space="preserve">entities and relationships</w:t>
            </w:r>
          </w:p>
        </w:tc>
        <w:tc>
          <w:tcPr>
            <w:tcW w:w="2340" w:type="dxa"/>
          </w:tcPr>
          <w:p>
            <w:pPr/>
            <w:r>
              <w:t xml:space="preserve">relationships with evidence, entity attributes, key columns</w:t>
            </w:r>
          </w:p>
        </w:tc>
        <w:tc>
          <w:tcPr>
            <w:tcW w:w="2340" w:type="dxa"/>
          </w:tcPr>
          <w:p>
            <w:pPr/>
            <w:r>
              <w:t xml:space="preserve">validated relationships, joining keys, entity descriptions</w:t>
            </w:r>
          </w:p>
        </w:tc>
      </w:tr>
    </w:tbl>
    <w:p>
      <w:pPr>
        <w:pStyle w:val="Heading2"/>
      </w:pPr>
      <w:r>
        <w:t xml:space="preserve">How one attribute gets its metadata</w:t>
      </w:r>
    </w:p>
    <w:p>
      <w:pPr/>
      <w:r>
        <w:t xml:space="preserve">Every column is described from an evidence pack, never from its name alone. The pack is assembled by code before any model is called: the column's expression in the create script, the lineage walked upstream through </w:t>
      </w:r>
      <w:r>
        <w:rPr>
          <w:rStyle w:val="CodeChar"/>
        </w:rPr>
        <w:t xml:space="preserve">ikg_column_lineage_master_auto_refresh</w:t>
      </w:r>
      <w:r>
        <w:t xml:space="preserve">, the filters on the way, the EDW definition of the source column, the glossary expansion of each name token, and any skill definition or value profile.</w:t>
      </w:r>
    </w:p>
    <w:p>
      <w:pPr>
        <w:pStyle w:val="ListParagraph"/>
        <w:numPr>
          <w:ilvl w:val="0"/>
          <w:numId w:val="2"/>
        </w:numPr>
      </w:pPr>
      <w:r>
        <w:t xml:space="preserve">The author agent receives the table's catalogue entry, the code agent's brief and the create script, plus the packs of 20 columns, and writes name, description, entity, type, unit and a confidence with its reason. It calls tools only where the pack is insufficient.</w:t>
      </w:r>
    </w:p>
    <w:p>
      <w:pPr>
        <w:pStyle w:val="ListParagraph"/>
        <w:numPr>
          <w:ilvl w:val="0"/>
          <w:numId w:val="2"/>
        </w:numPr>
      </w:pPr>
      <w:r>
        <w:t xml:space="preserve">Code validates the submission: allowed entity, unique names within the table, no unresolved abbreviation in a name; rejected items go back to the agent once, then are accepted with the issues recorded.</w:t>
      </w:r>
    </w:p>
    <w:p>
      <w:pPr>
        <w:pStyle w:val="ListParagraph"/>
        <w:numPr>
          <w:ilvl w:val="0"/>
          <w:numId w:val="2"/>
        </w:numPr>
      </w:pPr>
      <w:r>
        <w:t xml:space="preserve">The reviewer agent re-checks every attribute that is not High against the same evidence and may revise it.</w:t>
      </w:r>
    </w:p>
    <w:p>
      <w:pPr>
        <w:pStyle w:val="ListParagraph"/>
        <w:numPr>
          <w:ilvl w:val="0"/>
          <w:numId w:val="2"/>
        </w:numPr>
      </w:pPr>
      <w:r>
        <w:t xml:space="preserve">The confidence score is 0.6 × the model's rubric score + 0.4 × an evidence score (expression in code, lineage reached its source, EDW definition, abbreviations resolved, data type, catalogue entry). It is capped below High while an abbreviation is unresolved; Low attributes carry a concrete </w:t>
      </w:r>
      <w:r>
        <w:rPr>
          <w:rStyle w:val="CodeChar"/>
        </w:rPr>
        <w:t xml:space="preserve">what_is_required</w:t>
      </w:r>
      <w:r>
        <w:t xml:space="preserve">.</w:t>
      </w:r>
    </w:p>
    <w:p>
      <w:pPr>
        <w:pStyle w:val="ListParagraph"/>
        <w:numPr>
          <w:ilvl w:val="0"/>
          <w:numId w:val="2"/>
        </w:numPr>
      </w:pPr>
      <w:r>
        <w:t xml:space="preserve">A column name that occurs in several tables is authored once and copied, so </w:t>
      </w:r>
      <w:r>
        <w:rPr>
          <w:rStyle w:val="CodeChar"/>
        </w:rPr>
        <w:t xml:space="preserve">acc_mhh_n</w:t>
      </w:r>
      <w:r>
        <w:t xml:space="preserve"> reads the same in all 55 tables.</w:t>
      </w:r>
    </w:p>
    <w:p>
      <w:pPr/>
      <w:r>
        <w:t xml:space="preserve">Evidence priority is fixed: skill definitions, then what the SQL and lineage actually populate the column from, then EDW definitions, and the name tokens last.</w:t>
      </w:r>
    </w:p>
    <w:p>
      <w:pPr/>
      <w:r>
        <w:t xml:space="preserve">A simpler case, </w:t>
      </w:r>
      <w:r>
        <w:rPr>
          <w:rStyle w:val="CodeChar"/>
        </w:rPr>
        <w:t xml:space="preserve">account_profile_curr_ikg.has_acc_credit_card</w:t>
      </w:r>
      <w:r>
        <w:t xml:space="preserve">, shows why the lineage walk matters even for a plain pass-through column: the profile script only says </w:t>
      </w:r>
      <w:r>
        <w:rPr>
          <w:rStyle w:val="CodeChar"/>
        </w:rPr>
        <w:t xml:space="preserve">a.has_acc_credit_card</w:t>
      </w:r>
      <w:r>
        <w:t xml:space="preserve">, and the rule that gives the flag its meaning (a credit-card record of type 'C' in the EDW account-card dimension) lives two hops upstream.</w:t>
      </w:r>
    </w:p>
    <w:p>
      <w:pPr/>
      <w:r>
        <w:drawing>
          <wp:inline distT="0" distB="0" distL="0" distR="0">
            <wp:extent cx="5486400" cy="3404507"/>
            <wp:docPr id="2" name="image2" descr="simpler example · has_acc_credit_card, a flag passed through from an upstream rule"/>
            <a:graphic xmlns:a="http://schemas.openxmlformats.org/drawingml/2006/main">
              <a:graphicData uri="http://schemas.openxmlformats.org/drawingml/2006/picture">
                <pic:pic xmlns:pic="http://schemas.openxmlformats.org/drawingml/2006/picture">
                  <pic:nvPicPr>
                    <pic:cNvPr id="2" name="image2" descr="simpler example · has_acc_credit_card, a flag passed through from an upstream rule"/>
                    <pic:cNvPicPr/>
                  </pic:nvPicPr>
                  <pic:blipFill>
                    <a:blip r:embed="rId4"/>
                    <a:stretch>
                      <a:fillRect/>
                    </a:stretch>
                  </pic:blipFill>
                  <pic:spPr>
                    <a:xfrm>
                      <a:off x="0" y="0"/>
                      <a:ext cx="5486400" cy="3404507"/>
                    </a:xfrm>
                    <a:prstGeom prst="rect">
                      <a:avLst/>
                    </a:prstGeom>
                  </pic:spPr>
                </pic:pic>
              </a:graphicData>
            </a:graphic>
          </wp:inline>
        </w:drawing>
      </w:r>
    </w:p>
    <w:p>
      <w:pPr/>
      <w:r>
        <w:t xml:space="preserve">simpler example · has_acc_credit_card, a flag passed through from an upstream rule</w:t>
      </w:r>
    </w:p>
    <w:p>
      <w:pPr/>
      <w:r>
        <w:t xml:space="preserve">The same pack then explains the derived columns beside it: </w:t>
      </w:r>
      <w:r>
        <w:rPr>
          <w:rStyle w:val="CodeChar"/>
        </w:rPr>
        <w:t xml:space="preserve">is_loan_acct</w:t>
      </w:r>
      <w:r>
        <w:t xml:space="preserve"> is </w:t>
      </w:r>
      <w:r>
        <w:rPr>
          <w:rStyle w:val="CodeChar"/>
        </w:rPr>
        <w:t xml:space="preserve">CASE WHEN is_mortgage = 1 or is_sbl_flg = 1 or is_loc = 1 or has_acc_credit_card = 1</w:t>
      </w:r>
      <w:r>
        <w:t xml:space="preserve">, so its description can cite this flag by name.</w:t>
      </w:r>
    </w:p>
    <w:p>
      <w:pPr>
        <w:pStyle w:val="Heading3"/>
      </w:pPr>
      <w:r>
        <w:t xml:space="preserve">Where the review step earns its keep</w:t>
      </w:r>
    </w:p>
    <w:p>
      <w:pPr/>
      <w:r>
        <w:t xml:space="preserve">In plain terms: one agent writes a first draft from the clues, and a second agent checks that draft against the rule book before it is published. </w:t>
      </w:r>
      <w:r>
        <w:rPr>
          <w:rStyle w:val="CodeChar"/>
        </w:rPr>
        <w:t xml:space="preserve">acc_mhh_n</w:t>
      </w:r>
      <w:r>
        <w:t xml:space="preserve"> shows why that second look matters. The name piece </w:t>
      </w:r>
      <w:r>
        <w:rPr>
          <w:rStyle w:val="CodeChar"/>
        </w:rPr>
        <w:t xml:space="preserve">mhh</w:t>
      </w:r>
      <w:r>
        <w:t xml:space="preserve"> can be read two ways, and a draft written from the name alone picks the wrong one; the reviewer sees that the skill file and the lineage both say </w:t>
      </w:r>
      <w:r>
        <w:rPr>
          <w:i/>
        </w:rPr>
        <w:t xml:space="preserve">statement household</w:t>
      </w:r>
      <w:r>
        <w:t xml:space="preserve"> and corrects it.</w:t>
      </w:r>
    </w:p>
    <w:p>
      <w:pPr/>
      <w:r>
        <w:drawing>
          <wp:inline distT="0" distB="0" distL="0" distR="0">
            <wp:extent cx="5486400" cy="3690257"/>
            <wp:docPr id="3" name="image3" descr="review example · acc_mhh_n, a draft corrected against the skill file"/>
            <a:graphic xmlns:a="http://schemas.openxmlformats.org/drawingml/2006/main">
              <a:graphicData uri="http://schemas.openxmlformats.org/drawingml/2006/picture">
                <pic:pic xmlns:pic="http://schemas.openxmlformats.org/drawingml/2006/picture">
                  <pic:nvPicPr>
                    <pic:cNvPr id="3" name="image3" descr="review example · acc_mhh_n, a draft corrected against the skill file"/>
                    <pic:cNvPicPr/>
                  </pic:nvPicPr>
                  <pic:blipFill>
                    <a:blip r:embed="rId5"/>
                    <a:stretch>
                      <a:fillRect/>
                    </a:stretch>
                  </pic:blipFill>
                  <pic:spPr>
                    <a:xfrm>
                      <a:off x="0" y="0"/>
                      <a:ext cx="5486400" cy="3690257"/>
                    </a:xfrm>
                    <a:prstGeom prst="rect">
                      <a:avLst/>
                    </a:prstGeom>
                  </pic:spPr>
                </pic:pic>
              </a:graphicData>
            </a:graphic>
          </wp:inline>
        </w:drawing>
      </w:r>
    </w:p>
    <w:p>
      <w:pPr/>
      <w:r>
        <w:t xml:space="preserve">review example · acc_mhh_n, a draft corrected against the skill file</w:t>
      </w:r>
    </w:p>
    <w:p>
      <w:pPr/>
      <w:r>
        <w:t xml:space="preserve">The correction is not lost in the sheet: the Metadata tab keeps </w:t>
      </w:r>
      <w:r>
        <w:rPr>
          <w:rStyle w:val="CodeChar"/>
        </w:rPr>
        <w:t xml:space="preserve">verify_verdict = revised</w:t>
      </w:r>
      <w:r>
        <w:t xml:space="preserve"> and the reason, so anyone can see which attributes were changed on review and why. Because the column name is shared, the corrected text is written once and reused in every table that carries it.</w:t>
      </w:r>
    </w:p>
    <w:p>
      <w:pPr/>
      <w:r>
        <w:t xml:space="preserve">A second, even simpler case is a count. </w:t>
      </w:r>
      <w:r>
        <w:rPr>
          <w:rStyle w:val="CodeChar"/>
        </w:rPr>
        <w:t xml:space="preserve">mhh_credit_cards_cnt</w:t>
      </w:r>
      <w:r>
        <w:t xml:space="preserve"> sounds like "how many credit cards does the household have", and that is what the first draft says. The reviewer reads the SQL one step upstream: it adds up a 0/1 flag per account, so an account with three cards still counts once. The published description says </w:t>
      </w:r>
      <w:r>
        <w:rPr>
          <w:i/>
        </w:rPr>
        <w:t xml:space="preserve">accounts that hold a credit card</w:t>
      </w:r>
      <w:r>
        <w:t xml:space="preserve">, which is what a report built on this column really shows.</w:t>
      </w:r>
    </w:p>
    <w:p>
      <w:pPr/>
      <w:r>
        <w:drawing>
          <wp:inline distT="0" distB="0" distL="0" distR="0">
            <wp:extent cx="5486400" cy="3233057"/>
            <wp:docPr id="4" name="image4" descr="review example · mhh_credit_cards_cnt, a count that means accounts, not cards"/>
            <a:graphic xmlns:a="http://schemas.openxmlformats.org/drawingml/2006/main">
              <a:graphicData uri="http://schemas.openxmlformats.org/drawingml/2006/picture">
                <pic:pic xmlns:pic="http://schemas.openxmlformats.org/drawingml/2006/picture">
                  <pic:nvPicPr>
                    <pic:cNvPr id="4" name="image4" descr="review example · mhh_credit_cards_cnt, a count that means accounts, not cards"/>
                    <pic:cNvPicPr/>
                  </pic:nvPicPr>
                  <pic:blipFill>
                    <a:blip r:embed="rId6"/>
                    <a:stretch>
                      <a:fillRect/>
                    </a:stretch>
                  </pic:blipFill>
                  <pic:spPr>
                    <a:xfrm>
                      <a:off x="0" y="0"/>
                      <a:ext cx="5486400" cy="3233057"/>
                    </a:xfrm>
                    <a:prstGeom prst="rect">
                      <a:avLst/>
                    </a:prstGeom>
                  </pic:spPr>
                </pic:pic>
              </a:graphicData>
            </a:graphic>
          </wp:inline>
        </w:drawing>
      </w:r>
    </w:p>
    <w:p>
      <w:pPr/>
      <w:r>
        <w:t xml:space="preserve">review example · mhh_credit_cards_cnt, a count that means accounts, not cards</w:t>
      </w:r>
    </w:p>
    <w:p>
      <w:pPr>
        <w:pStyle w:val="Heading2"/>
      </w:pPr>
      <w:r>
        <w:t xml:space="preserve">Accuracy safeguards</w:t>
      </w:r>
    </w:p>
    <w:p>
      <w:pPr>
        <w:pStyle w:val="ListParagraph"/>
        <w:numPr>
          <w:ilvl w:val="0"/>
          <w:numId w:val="3"/>
        </w:numPr>
      </w:pPr>
      <w:r>
        <w:t xml:space="preserve">Grounding quotes: a definition, abbreviation or SQL business rule is accepted only if the agent's quote is found verbatim in the skill file, the EDW dictionary or the repository. Otherwise it is downgraded to unknown, never used as fact.</w:t>
      </w:r>
    </w:p>
    <w:p>
      <w:pPr>
        <w:pStyle w:val="ListParagraph"/>
        <w:numPr>
          <w:ilvl w:val="0"/>
          <w:numId w:val="3"/>
        </w:numPr>
      </w:pPr>
      <w:r>
        <w:t xml:space="preserve">Two independent lineages: the lineage table walked upstream (PARTITION BY keys not followed, unqualified columns resolved) and a parser over all 928 repository scripts, with intermediate WHERE filters.</w:t>
      </w:r>
    </w:p>
    <w:p>
      <w:pPr>
        <w:pStyle w:val="ListParagraph"/>
        <w:numPr>
          <w:ilvl w:val="0"/>
          <w:numId w:val="3"/>
        </w:numPr>
      </w:pPr>
      <w:r>
        <w:t xml:space="preserve">Real values: flag and code columns are profiled read-only in Greenplum, so "1 = has SBL loan" is checked against the data.</w:t>
      </w:r>
    </w:p>
    <w:p>
      <w:pPr>
        <w:pStyle w:val="ListParagraph"/>
        <w:numPr>
          <w:ilvl w:val="0"/>
          <w:numId w:val="3"/>
        </w:numPr>
      </w:pPr>
      <w:r>
        <w:t xml:space="preserve">Gated master: the orchestrator cannot skip prerequisites (skills before dictionary before authoring) or finish before the outputs are written.</w:t>
      </w:r>
    </w:p>
    <w:p>
      <w:pPr>
        <w:pStyle w:val="ListParagraph"/>
        <w:numPr>
          <w:ilvl w:val="0"/>
          <w:numId w:val="3"/>
        </w:numPr>
      </w:pPr>
      <w:r>
        <w:t xml:space="preserve">Independent review plus escalation: Low attributes go back to the author with the reviewer's issues and an instruction to use the tools, at most twice.</w:t>
      </w:r>
    </w:p>
    <w:p>
      <w:pPr>
        <w:pStyle w:val="ListParagraph"/>
        <w:numPr>
          <w:ilvl w:val="0"/>
          <w:numId w:val="3"/>
        </w:numPr>
      </w:pPr>
      <w:r>
        <w:t xml:space="preserve">Audit trail: every agent turn and tool call is in the </w:t>
      </w:r>
      <w:r>
        <w:rPr>
          <w:rStyle w:val="CodeChar"/>
        </w:rPr>
        <w:t xml:space="preserve">Agent_Trace</w:t>
      </w:r>
      <w:r>
        <w:t xml:space="preserve"> sheet; every agent result is cached in JSON with the table and column names.</w:t>
      </w:r>
    </w:p>
    <w:p>
      <w:pPr>
        <w:pStyle w:val="ListParagraph"/>
        <w:numPr>
          <w:ilvl w:val="0"/>
          <w:numId w:val="3"/>
        </w:numPr>
      </w:pPr>
      <w:r>
        <w:t xml:space="preserve">SME loop: unknown abbreviations land on </w:t>
      </w:r>
      <w:r>
        <w:rPr>
          <w:rStyle w:val="CodeChar"/>
        </w:rPr>
        <w:t xml:space="preserve">Glossary_Needs_Input</w:t>
      </w:r>
      <w:r>
        <w:t xml:space="preserve">; a one-line statement in a skill file (for example </w:t>
      </w:r>
      <w:r>
        <w:rPr>
          <w:rStyle w:val="CodeChar"/>
        </w:rPr>
        <w:t xml:space="preserve">acc_mhh_n = statement household, sourced from household_plus</w:t>
      </w:r>
      <w:r>
        <w:t xml:space="preserve">) becomes authoritative for every table on the next run.</w:t>
      </w:r>
    </w:p>
    <w:p>
      <w:pPr>
        <w:pStyle w:val="Heading2"/>
      </w:pPr>
      <w:r>
        <w:t xml:space="preserve">Run flow and performance</w:t>
      </w:r>
    </w:p>
    <w:p>
      <w:pPr/>
      <w:r>
        <w:t xml:space="preserve">A run is the notebook </w:t>
      </w:r>
      <w:r>
        <w:rPr>
          <w:rStyle w:val="CodeChar"/>
        </w:rPr>
        <w:t xml:space="preserve">IKG_Metadata_Agents.ipynb</w:t>
      </w:r>
      <w:r>
        <w:t xml:space="preserve"> or </w:t>
      </w:r>
      <w:r>
        <w:rPr>
          <w:rStyle w:val="CodeChar"/>
        </w:rPr>
        <w:t xml:space="preserve">python run_pipeline.py</w:t>
      </w:r>
      <w:r>
        <w:t xml:space="preserve">; secrets (Azure key, Greenplum password, GitLab token) are entered at run time and never stored.</w:t>
      </w:r>
    </w:p>
    <w:p>
      <w:pPr>
        <w:pStyle w:val="ListParagraph"/>
        <w:numPr>
          <w:ilvl w:val="0"/>
          <w:numId w:val="4"/>
        </w:numPr>
      </w:pPr>
      <w:r>
        <w:t xml:space="preserve">Data layer (no model): download the </w:t>
      </w:r>
      <w:r>
        <w:rPr>
          <w:rStyle w:val="CodeChar"/>
        </w:rPr>
        <w:t xml:space="preserve">ikg-dags</w:t>
      </w:r>
      <w:r>
        <w:t xml:space="preserve"> code from GitLab (branch </w:t>
      </w:r>
      <w:r>
        <w:rPr>
          <w:rStyle w:val="CodeChar"/>
        </w:rPr>
        <w:t xml:space="preserve">develop</w:t>
      </w:r>
      <w:r>
        <w:t xml:space="preserve">), read the lineage table, </w:t>
      </w:r>
      <w:r>
        <w:rPr>
          <w:rStyle w:val="CodeChar"/>
        </w:rPr>
        <w:t xml:space="preserve">ikg_profile_table_descriptions</w:t>
      </w:r>
      <w:r>
        <w:t xml:space="preserve">, </w:t>
      </w:r>
      <w:r>
        <w:rPr>
          <w:rStyle w:val="CodeChar"/>
        </w:rPr>
        <w:t xml:space="preserve">information_schema</w:t>
      </w:r>
      <w:r>
        <w:t xml:space="preserve"> and the EDW Data Dictionary, parse the 55 create scripts, build the evidence pack of every column and the base glossary. About 2 minutes.</w:t>
      </w:r>
    </w:p>
    <w:p>
      <w:pPr>
        <w:pStyle w:val="ListParagraph"/>
        <w:numPr>
          <w:ilvl w:val="0"/>
          <w:numId w:val="4"/>
        </w:numPr>
      </w:pPr>
      <w:r>
        <w:t xml:space="preserve">Delta comparison: deployed </w:t>
      </w:r>
      <w:r>
        <w:rPr>
          <w:rStyle w:val="CodeChar"/>
        </w:rPr>
        <w:t xml:space="preserve">%profile_curr_ikg</w:t>
      </w:r>
      <w:r>
        <w:t xml:space="preserve"> tables and columns against </w:t>
      </w:r>
      <w:r>
        <w:rPr>
          <w:rStyle w:val="CodeChar"/>
        </w:rPr>
        <w:t xml:space="preserve">core_ikg.ikg_attribute_business_description</w:t>
      </w:r>
      <w:r>
        <w:t xml:space="preserve">; only new tables and columns go further (first run: everything).</w:t>
      </w:r>
    </w:p>
    <w:p>
      <w:pPr>
        <w:pStyle w:val="ListParagraph"/>
        <w:numPr>
          <w:ilvl w:val="0"/>
          <w:numId w:val="4"/>
        </w:numPr>
      </w:pPr>
      <w:r>
        <w:t xml:space="preserve">Skill agent, then dictionary agent (about 4 minutes for 670 tokens).</w:t>
      </w:r>
    </w:p>
    <w:p>
      <w:pPr>
        <w:pStyle w:val="ListParagraph"/>
        <w:numPr>
          <w:ilvl w:val="0"/>
          <w:numId w:val="4"/>
        </w:numPr>
      </w:pPr>
      <w:r>
        <w:t xml:space="preserve">Per-table pipelines, all tables concurrently: value profiling, code brief, author, review, escalation of Low. Stages overlap instead of waiting for the slowest table.</w:t>
      </w:r>
    </w:p>
    <w:p>
      <w:pPr>
        <w:pStyle w:val="ListParagraph"/>
        <w:numPr>
          <w:ilvl w:val="0"/>
          <w:numId w:val="4"/>
        </w:numPr>
      </w:pPr>
      <w:r>
        <w:t xml:space="preserve">Graph agent, workbook, knowledge graph, clone script, Greenplum loads.</w:t>
      </w:r>
    </w:p>
    <w:p>
      <w:pPr/>
      <w:r>
        <w:t xml:space="preserve">Throughput is set by the Azure deployment's tokens-per-minute quota, not by the code. The client caps concurrent calls (12 by default), halves them on a 429, waits for Azure's Retry-After, learns the quota from the first 429 and paces below it, and retries a rate-limited request for up to 30 minutes so no batch is lost. Evidence is prefetched, so most agent tasks finish in one or two model turns; per-agent reasoning effort is low except for the code and author agents. Agent results are cached by input, so an interrupted or repeated run only redoes new work.</w:t>
      </w:r>
    </w:p>
    <w:p>
      <w:pPr>
        <w:pStyle w:val="Heading2"/>
      </w:pPr>
      <w:r>
        <w:t xml:space="preserve">ODM and NLG tables (same run, same metadata table)</w:t>
      </w:r>
    </w:p>
    <w:p>
      <w:pPr/>
      <w:r>
        <w:t xml:space="preserve">One run now covers three domains. The IKG profile tables are unchanged (metadata, graph, </w:t>
      </w:r>
      <w:r>
        <w:rPr>
          <w:rStyle w:val="CodeChar"/>
        </w:rPr>
        <w:t xml:space="preserve">_v2</w:t>
      </w:r>
      <w:r>
        <w:t xml:space="preserve"> clones). The ODM tables and the NLG tables get attribute metadata in the same table </w:t>
      </w:r>
      <w:r>
        <w:rPr>
          <w:rStyle w:val="CodeChar"/>
        </w:rPr>
        <w:t xml:space="preserve">core_ikg.ikg_attribute_business_description</w:t>
      </w:r>
      <w:r>
        <w:t xml:space="preserve">, with no graph entities and no </w:t>
      </w:r>
      <w:r>
        <w:rPr>
          <w:rStyle w:val="CodeChar"/>
        </w:rPr>
        <w:t xml:space="preserve">_v2</w:t>
      </w:r>
      <w:r>
        <w:t xml:space="preserve"> clones.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Domain</w:t>
            </w:r>
          </w:p>
        </w:tc>
        <w:tc>
          <w:tcPr>
            <w:tcW w:w="2340" w:type="dxa"/>
            <w:shd w:val="clear" w:color="auto" w:fill="F2F2F2"/>
          </w:tcPr>
          <w:p>
            <w:pPr/>
            <w:r>
              <w:t xml:space="preserve">Tables</w:t>
            </w:r>
          </w:p>
        </w:tc>
        <w:tc>
          <w:tcPr>
            <w:tcW w:w="2340" w:type="dxa"/>
            <w:shd w:val="clear" w:color="auto" w:fill="F2F2F2"/>
          </w:tcPr>
          <w:p>
            <w:pPr/>
            <w:r>
              <w:t xml:space="preserve">Evidence used</w:t>
            </w:r>
          </w:p>
        </w:tc>
        <w:tc>
          <w:tcPr>
            <w:tcW w:w="2340" w:type="dxa"/>
            <w:shd w:val="clear" w:color="auto" w:fill="F2F2F2"/>
          </w:tcPr>
          <w:p>
            <w:pPr/>
            <w:r>
              <w:t xml:space="preserve">Skip rule against the metadata table</w:t>
            </w:r>
          </w:p>
        </w:tc>
      </w:tr>
      <w:tr>
        <w:tc>
          <w:tcPr>
            <w:tcW w:w="2340" w:type="dxa"/>
          </w:tcPr>
          <w:p>
            <w:pPr/>
            <w:r>
              <w:t xml:space="preserve">ODM</w:t>
            </w:r>
          </w:p>
        </w:tc>
        <w:tc>
          <w:tcPr>
            <w:tcW w:w="2340" w:type="dxa"/>
          </w:tcPr>
          <w:p>
            <w:pPr/>
            <w:r>
              <w:rPr>
                <w:rStyle w:val="CodeChar"/>
              </w:rPr>
              <w:t xml:space="preserve">core_ikg.si_odm_insights_active</w:t>
            </w:r>
            <w:r>
              <w:t xml:space="preserve">, </w:t>
            </w:r>
            <w:r>
              <w:rPr>
                <w:rStyle w:val="CodeChar"/>
              </w:rPr>
              <w:t xml:space="preserve">core_ikg.odm_exclusion_insight_type</w:t>
            </w:r>
          </w:p>
        </w:tc>
        <w:tc>
          <w:tcPr>
            <w:tcW w:w="2340" w:type="dxa"/>
          </w:tcPr>
          <w:p>
            <w:pPr/>
            <w:r>
              <w:t xml:space="preserve">odm-dags (</w:t>
            </w:r>
            <w:r>
              <w:rPr>
                <w:rStyle w:val="CodeChar"/>
              </w:rPr>
              <w:t xml:space="preserve">main</w:t>
            </w:r>
            <w:r>
              <w:t xml:space="preserve">): DDL </w:t>
            </w:r>
            <w:r>
              <w:rPr>
                <w:rStyle w:val="CodeChar"/>
              </w:rPr>
              <w:t xml:space="preserve">odm_table_creation.sql</w:t>
            </w:r>
            <w:r>
              <w:t xml:space="preserve">, every rule script that inserts (distinct expressions per column, resolved source columns), exclusion script; information_schema; </w:t>
            </w:r>
            <w:r>
              <w:rPr>
                <w:rStyle w:val="CodeChar"/>
              </w:rPr>
              <w:t xml:space="preserve">skills/odm_knowledge_skill.md</w:t>
            </w:r>
          </w:p>
        </w:tc>
        <w:tc>
          <w:tcPr>
            <w:tcW w:w="2340" w:type="dxa"/>
          </w:tcPr>
          <w:p>
            <w:pPr/>
            <w:r>
              <w:t xml:space="preserve">column level: attributes already present are skipped, new ones added</w:t>
            </w:r>
          </w:p>
        </w:tc>
      </w:tr>
      <w:tr>
        <w:tc>
          <w:tcPr>
            <w:tcW w:w="2340" w:type="dxa"/>
          </w:tcPr>
          <w:p>
            <w:pPr/>
            <w:r>
              <w:t xml:space="preserve">NLG</w:t>
            </w:r>
          </w:p>
        </w:tc>
        <w:tc>
          <w:tcPr>
            <w:tcW w:w="2340" w:type="dxa"/>
          </w:tcPr>
          <w:p>
            <w:pPr/>
            <w:r>
              <w:t xml:space="preserve">every table of </w:t>
            </w:r>
            <w:r>
              <w:rPr>
                <w:rStyle w:val="CodeChar"/>
              </w:rPr>
              <w:t xml:space="preserve">nlg-dags/dags/nlg/src/config/nlg_db_tables.ini</w:t>
            </w:r>
            <w:r>
              <w:t xml:space="preserve">: section </w:t>
            </w:r>
            <w:r>
              <w:rPr>
                <w:rStyle w:val="CodeChar"/>
              </w:rPr>
              <w:t xml:space="preserve">[prod_active]</w:t>
            </w:r>
            <w:r>
              <w:t xml:space="preserve"> for PROD (</w:t>
            </w:r>
            <w:r>
              <w:rPr>
                <w:rStyle w:val="CodeChar"/>
              </w:rPr>
              <w:t xml:space="preserve">schema_nlg = core_nlg</w:t>
            </w:r>
            <w:r>
              <w:t xml:space="preserve">), </w:t>
            </w:r>
            <w:r>
              <w:rPr>
                <w:rStyle w:val="CodeChar"/>
              </w:rPr>
              <w:t xml:space="preserve">[dev_active]</w:t>
            </w:r>
            <w:r>
              <w:t xml:space="preserve"> for UAT and </w:t>
            </w:r>
            <w:r>
              <w:rPr>
                <w:rStyle w:val="CodeChar"/>
              </w:rPr>
              <w:t xml:space="preserve">[dev_review]</w:t>
            </w:r>
            <w:r>
              <w:t xml:space="preserve"> for TEST (both </w:t>
            </w:r>
            <w:r>
              <w:rPr>
                <w:rStyle w:val="CodeChar"/>
              </w:rPr>
              <w:t xml:space="preserve">schema_nlg = sandbox_prj_insights_nlg</w:t>
            </w:r>
            <w:r>
              <w:t xml:space="preserve">); schema (IKG schema / NLG schema) resolved from the code, the key prefix and information_schema</w:t>
            </w:r>
          </w:p>
        </w:tc>
        <w:tc>
          <w:tcPr>
            <w:tcW w:w="2340" w:type="dxa"/>
          </w:tcPr>
          <w:p>
            <w:pPr/>
            <w:r>
              <w:t xml:space="preserve">nlg-dags (</w:t>
            </w:r>
            <w:r>
              <w:rPr>
                <w:rStyle w:val="CodeChar"/>
              </w:rPr>
              <w:t xml:space="preserve">main</w:t>
            </w:r>
            <w:r>
              <w:t xml:space="preserve">): Python, YAML and ini (NLG writes its tables from Python), information_schema, </w:t>
            </w:r>
            <w:r>
              <w:rPr>
                <w:rStyle w:val="CodeChar"/>
              </w:rPr>
              <w:t xml:space="preserve">skills/nlg_knowledge_skill.md</w:t>
            </w:r>
          </w:p>
        </w:tc>
        <w:tc>
          <w:tcPr>
            <w:tcW w:w="2340" w:type="dxa"/>
          </w:tcPr>
          <w:p>
            <w:pPr/>
            <w:r>
              <w:t xml:space="preserve">table level: a table with any attribute already present is skipped completely</w:t>
            </w:r>
          </w:p>
        </w:tc>
      </w:tr>
    </w:tbl>
    <w:p>
      <w:pPr/>
      <w:r>
        <w:t xml:space="preserve">For every ODM / NLG column the evidence pack also carries </w:t>
      </w:r>
      <w:r>
        <w:rPr>
          <w:rStyle w:val="CodeChar"/>
        </w:rPr>
        <w:t xml:space="preserve">code_mentions</w:t>
      </w:r>
      <w:r>
        <w:t xml:space="preserve"> (file:line excerpts from the repository), </w:t>
      </w:r>
      <w:r>
        <w:rPr>
          <w:rStyle w:val="CodeChar"/>
        </w:rPr>
        <w:t xml:space="preserve">published_definition</w:t>
      </w:r>
      <w:r>
        <w:t xml:space="preserve"> (the same column name already described for a profile table, so </w:t>
      </w:r>
      <w:r>
        <w:rPr>
          <w:rStyle w:val="CodeChar"/>
        </w:rPr>
        <w:t xml:space="preserve">acc_mhh_n</w:t>
      </w:r>
      <w:r>
        <w:t xml:space="preserve">, </w:t>
      </w:r>
      <w:r>
        <w:rPr>
          <w:rStyle w:val="CodeChar"/>
        </w:rPr>
        <w:t xml:space="preserve">fa_gpn</w:t>
      </w:r>
      <w:r>
        <w:t xml:space="preserve">, </w:t>
      </w:r>
      <w:r>
        <w:rPr>
          <w:rStyle w:val="CodeChar"/>
        </w:rPr>
        <w:t xml:space="preserve">insight_type</w:t>
      </w:r>
      <w:r>
        <w:t xml:space="preserve"> read the same everywhere) and </w:t>
      </w:r>
      <w:r>
        <w:rPr>
          <w:rStyle w:val="CodeChar"/>
        </w:rPr>
        <w:t xml:space="preserve">upstream_candidates</w:t>
      </w:r>
      <w:r>
        <w:t xml:space="preserve"> (tables in </w:t>
      </w:r>
      <w:r>
        <w:rPr>
          <w:rStyle w:val="CodeChar"/>
        </w:rPr>
        <w:t xml:space="preserve">core_ikg</w:t>
      </w:r>
      <w:r>
        <w:t xml:space="preserve">, </w:t>
      </w:r>
      <w:r>
        <w:rPr>
          <w:rStyle w:val="CodeChar"/>
        </w:rPr>
        <w:t xml:space="preserve">core_nlg</w:t>
      </w:r>
      <w:r>
        <w:t xml:space="preserve"> and </w:t>
      </w:r>
      <w:r>
        <w:rPr>
          <w:rStyle w:val="CodeChar"/>
        </w:rPr>
        <w:t xml:space="preserve">core_wma_shared</w:t>
      </w:r>
      <w:r>
        <w:t xml:space="preserve"> carrying the same column name; the agents hop there with </w:t>
      </w:r>
      <w:r>
        <w:rPr>
          <w:rStyle w:val="CodeChar"/>
        </w:rPr>
        <w:t xml:space="preserve">find_table_writers</w:t>
      </w:r>
      <w:r>
        <w:t xml:space="preserve">, </w:t>
      </w:r>
      <w:r>
        <w:rPr>
          <w:rStyle w:val="CodeChar"/>
        </w:rPr>
        <w:t xml:space="preserve">read_sql_file</w:t>
      </w:r>
      <w:r>
        <w:t xml:space="preserve">, </w:t>
      </w:r>
      <w:r>
        <w:rPr>
          <w:rStyle w:val="CodeChar"/>
        </w:rPr>
        <w:t xml:space="preserve">edw_lookup</w:t>
      </w:r>
      <w:r>
        <w:t xml:space="preserve">). IKG profile tables referenced by the ini (</w:t>
      </w:r>
      <w:r>
        <w:rPr>
          <w:rStyle w:val="CodeChar"/>
        </w:rPr>
        <w:t xml:space="preserve">input_tbl_*</w:t>
      </w:r>
      <w:r>
        <w:t xml:space="preserve">) stay IKG tables. New tokens from ODM / NLG column names are added to the glossary. The </w:t>
      </w:r>
      <w:r>
        <w:rPr>
          <w:rStyle w:val="CodeChar"/>
        </w:rPr>
        <w:t xml:space="preserve">ODM_NLG_Tables</w:t>
      </w:r>
      <w:r>
        <w:t xml:space="preserve"> sheet lists every table with schema, ini key, role, columns, already-published count and status.</w:t>
      </w:r>
    </w:p>
    <w:p>
      <w:pPr/>
      <w:r>
        <w:rPr>
          <w:b/>
        </w:rPr>
        <w:t xml:space="preserve">Skills folder</w:t>
      </w:r>
      <w:r>
        <w:t xml:space="preserve">: </w:t>
      </w:r>
      <w:r>
        <w:rPr>
          <w:rStyle w:val="CodeChar"/>
        </w:rPr>
        <w:t xml:space="preserve">ikg_knowledge_skills.md</w:t>
      </w:r>
      <w:r>
        <w:t xml:space="preserve"> (the former household, statement-household and standards files merged), </w:t>
      </w:r>
      <w:r>
        <w:rPr>
          <w:rStyle w:val="CodeChar"/>
        </w:rPr>
        <w:t xml:space="preserve">odm_knowledge_skill.md</w:t>
      </w:r>
      <w:r>
        <w:t xml:space="preserve">, </w:t>
      </w:r>
      <w:r>
        <w:rPr>
          <w:rStyle w:val="CodeChar"/>
        </w:rPr>
        <w:t xml:space="preserve">nlg_knowledge_skill.md</w:t>
      </w:r>
      <w:r>
        <w:t xml:space="preserve"> (DAGs, rules stage, products, insight layout, every ini table and its key columns, glossary, example queries). A missing ODM / NLG skill file is written once from the repository and never recreated.</w:t>
      </w:r>
    </w:p>
    <w:p>
      <w:pPr/>
      <w:r>
        <w:rPr>
          <w:b/>
        </w:rPr>
        <w:t xml:space="preserve">Knowledge-graph viewer</w:t>
      </w:r>
      <w:r>
        <w:t xml:space="preserve">: the sidebar links to separate pages (</w:t>
      </w:r>
      <w:r>
        <w:rPr>
          <w:rStyle w:val="CodeChar"/>
        </w:rPr>
        <w:t xml:space="preserve">output/knowledge_graph/diagrams/</w:t>
      </w:r>
      <w:r>
        <w:t xml:space="preserve">) for the ODM architecture, the NLG architecture, the narrative rule flows (client / household, Field Leader, prospect) and one flow per NLG product (client briefings, FA alerts, FA subscriptions, banker alerts, FL talent report, market event alerts, prospect alerts, JSON insights, retention pack, no-e-mail interaction). Table names come from the ini section of the run and each page lists its tables with the attribute descriptions produced.</w:t>
      </w:r>
    </w:p>
    <w:p>
      <w:pPr>
        <w:pStyle w:val="Heading2"/>
      </w:pPr>
      <w:r>
        <w:t xml:space="preserve">Two editions, one logic</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Notebook edition (</w:t>
            </w:r>
            <w:r>
              <w:rPr>
                <w:rStyle w:val="CodeChar"/>
              </w:rPr>
              <w:t xml:space="preserve">ikg_metadata_agents.zip</w:t>
            </w:r>
            <w:r>
              <w:t xml:space="preserve">)</w:t>
            </w:r>
          </w:p>
        </w:tc>
        <w:tc>
          <w:tcPr>
            <w:tcW w:w="3120" w:type="dxa"/>
            <w:shd w:val="clear" w:color="auto" w:fill="F2F2F2"/>
          </w:tcPr>
          <w:p>
            <w:pPr/>
            <w:r>
              <w:t xml:space="preserve">Airflow edition (</w:t>
            </w:r>
            <w:r>
              <w:rPr>
                <w:rStyle w:val="CodeChar"/>
              </w:rPr>
              <w:t xml:space="preserve">Insights_metadata_airflow.zip</w:t>
            </w:r>
            <w:r>
              <w:t xml:space="preserve">)</w:t>
            </w:r>
          </w:p>
        </w:tc>
      </w:tr>
      <w:tr>
        <w:tc>
          <w:tcPr>
            <w:tcW w:w="3120" w:type="dxa"/>
          </w:tcPr>
          <w:p>
            <w:pPr/>
            <w:r>
              <w:t xml:space="preserve">Start</w:t>
            </w:r>
          </w:p>
        </w:tc>
        <w:tc>
          <w:tcPr>
            <w:tcW w:w="3120" w:type="dxa"/>
          </w:tcPr>
          <w:p>
            <w:pPr/>
            <w:r>
              <w:rPr>
                <w:rStyle w:val="CodeChar"/>
              </w:rPr>
              <w:t xml:space="preserve">IKG_Metadata_Agents.ipynb</w:t>
            </w:r>
            <w:r>
              <w:t xml:space="preserve"> or </w:t>
            </w:r>
            <w:r>
              <w:rPr>
                <w:rStyle w:val="CodeChar"/>
              </w:rPr>
              <w:t xml:space="preserve">python run_pipeline.py [--env PROD|UAT|TEST]</w:t>
            </w:r>
          </w:p>
        </w:tc>
        <w:tc>
          <w:tcPr>
            <w:tcW w:w="3120" w:type="dxa"/>
          </w:tcPr>
          <w:p>
            <w:pPr/>
            <w:r>
              <w:t xml:space="preserve">DAG </w:t>
            </w:r>
            <w:r>
              <w:rPr>
                <w:rStyle w:val="CodeChar"/>
              </w:rPr>
              <w:t xml:space="preserve">Insights_metadata</w:t>
            </w:r>
            <w:r>
              <w:t xml:space="preserve"> (folder </w:t>
            </w:r>
            <w:r>
              <w:rPr>
                <w:rStyle w:val="CodeChar"/>
              </w:rPr>
              <w:t xml:space="preserve">Insights_metadata/</w:t>
            </w:r>
            <w:r>
              <w:t xml:space="preserve">, file </w:t>
            </w:r>
            <w:r>
              <w:rPr>
                <w:rStyle w:val="CodeChar"/>
              </w:rPr>
              <w:t xml:space="preserve">Insights_metadata.py</w:t>
            </w:r>
            <w:r>
              <w:t xml:space="preserve">): </w:t>
            </w:r>
            <w:r>
              <w:rPr>
                <w:rStyle w:val="CodeChar"/>
              </w:rPr>
              <w:t xml:space="preserve">start &gt;&gt; run_insights_metadata &gt;&gt; send_metadata_email &gt;&gt; end</w:t>
            </w:r>
            <w:r>
              <w:t xml:space="preserve">, Monday to Friday 06:00 America/New_York</w:t>
            </w:r>
          </w:p>
        </w:tc>
      </w:tr>
      <w:tr>
        <w:tc>
          <w:tcPr>
            <w:tcW w:w="3120" w:type="dxa"/>
          </w:tcPr>
          <w:p>
            <w:pPr/>
            <w:r>
              <w:t xml:space="preserve">Configuration</w:t>
            </w:r>
          </w:p>
        </w:tc>
        <w:tc>
          <w:tcPr>
            <w:tcW w:w="3120" w:type="dxa"/>
          </w:tcPr>
          <w:p>
            <w:pPr/>
            <w:r>
              <w:rPr>
                <w:rStyle w:val="CodeChar"/>
              </w:rPr>
              <w:t xml:space="preserve">config/ikg_metadata_config.yaml</w:t>
            </w:r>
            <w:r>
              <w:t xml:space="preserve">, </w:t>
            </w:r>
            <w:r>
              <w:rPr>
                <w:rStyle w:val="CodeChar"/>
              </w:rPr>
              <w:t xml:space="preserve">environment: PROD</w:t>
            </w:r>
            <w:r>
              <w:t xml:space="preserve">, </w:t>
            </w:r>
            <w:r>
              <w:rPr>
                <w:rStyle w:val="CodeChar"/>
              </w:rPr>
              <w:t xml:space="preserve">UAT</w:t>
            </w:r>
            <w:r>
              <w:t xml:space="preserve"> or </w:t>
            </w:r>
            <w:r>
              <w:rPr>
                <w:rStyle w:val="CodeChar"/>
              </w:rPr>
              <w:t xml:space="preserve">TEST</w:t>
            </w:r>
            <w:r>
              <w:t xml:space="preserve">; the </w:t>
            </w:r>
            <w:r>
              <w:rPr>
                <w:rStyle w:val="CodeChar"/>
              </w:rPr>
              <w:t xml:space="preserve">environments:</w:t>
            </w:r>
            <w:r>
              <w:t xml:space="preserve"> block maps each to its IKG schema, NLG ini section and owner / reader roles</w:t>
            </w:r>
          </w:p>
        </w:tc>
        <w:tc>
          <w:tcPr>
            <w:tcW w:w="3120" w:type="dxa"/>
          </w:tcPr>
          <w:p>
            <w:pPr/>
            <w:r>
              <w:t xml:space="preserve">same file under </w:t>
            </w:r>
            <w:r>
              <w:rPr>
                <w:rStyle w:val="CodeChar"/>
              </w:rPr>
              <w:t xml:space="preserve">Insights_metadata/scripts/config/</w:t>
            </w:r>
            <w:r>
              <w:t xml:space="preserve">; Variable </w:t>
            </w:r>
            <w:r>
              <w:rPr>
                <w:rStyle w:val="CodeChar"/>
              </w:rPr>
              <w:t xml:space="preserve">ODM_ENV</w:t>
            </w:r>
            <w:r>
              <w:t xml:space="preserve"> selects the same block: PROD -&gt; </w:t>
            </w:r>
            <w:r>
              <w:rPr>
                <w:rStyle w:val="CodeChar"/>
              </w:rPr>
              <w:t xml:space="preserve">IKG_SCHEMA</w:t>
            </w:r>
            <w:r>
              <w:t xml:space="preserve"> core_ikg, ini </w:t>
            </w:r>
            <w:r>
              <w:rPr>
                <w:rStyle w:val="CodeChar"/>
              </w:rPr>
              <w:t xml:space="preserve">[prod_active]</w:t>
            </w:r>
            <w:r>
              <w:t xml:space="preserve">, owner </w:t>
            </w:r>
            <w:r>
              <w:rPr>
                <w:rStyle w:val="CodeChar"/>
              </w:rPr>
              <w:t xml:space="preserve">erd_gpdb_prj_ikg</w:t>
            </w:r>
            <w:r>
              <w:t xml:space="preserve"> / reader </w:t>
            </w:r>
            <w:r>
              <w:rPr>
                <w:rStyle w:val="CodeChar"/>
              </w:rPr>
              <w:t xml:space="preserve">erd_gpdb_prj_ikg_ro</w:t>
            </w:r>
            <w:r>
              <w:t xml:space="preserve">; UAT -&gt; sandbox_ikg_pre_prd, </w:t>
            </w:r>
            <w:r>
              <w:rPr>
                <w:rStyle w:val="CodeChar"/>
              </w:rPr>
              <w:t xml:space="preserve">[dev_active]</w:t>
            </w:r>
            <w:r>
              <w:t xml:space="preserve">, owner </w:t>
            </w:r>
            <w:r>
              <w:rPr>
                <w:rStyle w:val="CodeChar"/>
              </w:rPr>
              <w:t xml:space="preserve">erd_gpdb_prj_smart_insights</w:t>
            </w:r>
            <w:r>
              <w:t xml:space="preserve"> / reader </w:t>
            </w:r>
            <w:r>
              <w:rPr>
                <w:rStyle w:val="CodeChar"/>
              </w:rPr>
              <w:t xml:space="preserve">erd_gpdb_prj_smart_insights_ro</w:t>
            </w:r>
            <w:r>
              <w:t xml:space="preserve">; TEST -&gt; sandbox_prj_smart_insights, </w:t>
            </w:r>
            <w:r>
              <w:rPr>
                <w:rStyle w:val="CodeChar"/>
              </w:rPr>
              <w:t xml:space="preserve">[dev_review]</w:t>
            </w:r>
            <w:r>
              <w:t xml:space="preserve">, same roles as UAT. Variables </w:t>
            </w:r>
            <w:r>
              <w:rPr>
                <w:rStyle w:val="CodeChar"/>
              </w:rPr>
              <w:t xml:space="preserve">IKG_SCHEMA</w:t>
            </w:r>
            <w:r>
              <w:t xml:space="preserve">, </w:t>
            </w:r>
            <w:r>
              <w:rPr>
                <w:rStyle w:val="CodeChar"/>
              </w:rPr>
              <w:t xml:space="preserve">IKG_TABLE_OWNER_GROUP</w:t>
            </w:r>
            <w:r>
              <w:t xml:space="preserve">, </w:t>
            </w:r>
            <w:r>
              <w:rPr>
                <w:rStyle w:val="CodeChar"/>
              </w:rPr>
              <w:t xml:space="preserve">IKG_TABLE_READER_GROUP</w:t>
            </w:r>
            <w:r>
              <w:t xml:space="preserve">, </w:t>
            </w:r>
            <w:r>
              <w:rPr>
                <w:rStyle w:val="CodeChar"/>
              </w:rPr>
              <w:t xml:space="preserve">EDW_INPUT_SCHEMA</w:t>
            </w:r>
            <w:r>
              <w:t xml:space="preserve"> (core_wma_shared) override when set; every table created in </w:t>
            </w:r>
            <w:r>
              <w:rPr>
                <w:rStyle w:val="CodeChar"/>
              </w:rPr>
              <w:t xml:space="preserve">IKG_SCHEMA</w:t>
            </w:r>
            <w:r>
              <w:t xml:space="preserve"> gets </w:t>
            </w:r>
            <w:r>
              <w:rPr>
                <w:rStyle w:val="CodeChar"/>
              </w:rPr>
              <w:t xml:space="preserve">ALTER TABLE ... OWNER TO</w:t>
            </w:r>
            <w:r>
              <w:t xml:space="preserve"> and </w:t>
            </w:r>
            <w:r>
              <w:rPr>
                <w:rStyle w:val="CodeChar"/>
              </w:rPr>
              <w:t xml:space="preserve">GRANT SELECT ... TO</w:t>
            </w:r>
            <w:r>
              <w:t xml:space="preserve"> with these roles</w:t>
            </w:r>
          </w:p>
        </w:tc>
      </w:tr>
      <w:tr>
        <w:tc>
          <w:tcPr>
            <w:tcW w:w="3120" w:type="dxa"/>
          </w:tcPr>
          <w:p>
            <w:pPr/>
            <w:r>
              <w:t xml:space="preserve">Secrets</w:t>
            </w:r>
          </w:p>
        </w:tc>
        <w:tc>
          <w:tcPr>
            <w:tcW w:w="3120" w:type="dxa"/>
          </w:tcPr>
          <w:p>
            <w:pPr/>
            <w:r>
              <w:t xml:space="preserve">asked at run time (hidden) or env </w:t>
            </w:r>
            <w:r>
              <w:rPr>
                <w:rStyle w:val="CodeChar"/>
              </w:rPr>
              <w:t xml:space="preserve">IKG_AZURE_OPENAI_API_KEY</w:t>
            </w:r>
            <w:r>
              <w:t xml:space="preserve">, </w:t>
            </w:r>
            <w:r>
              <w:rPr>
                <w:rStyle w:val="CodeChar"/>
              </w:rPr>
              <w:t xml:space="preserve">IKG_GP_PASSWORD</w:t>
            </w:r>
            <w:r>
              <w:t xml:space="preserve">, </w:t>
            </w:r>
            <w:r>
              <w:rPr>
                <w:rStyle w:val="CodeChar"/>
              </w:rPr>
              <w:t xml:space="preserve">IKG_GITLAB_TOKEN</w:t>
            </w:r>
          </w:p>
        </w:tc>
        <w:tc>
          <w:tcPr>
            <w:tcW w:w="3120" w:type="dxa"/>
          </w:tcPr>
          <w:p>
            <w:pPr/>
            <w:r>
              <w:t xml:space="preserve">Variables </w:t>
            </w:r>
            <w:r>
              <w:rPr>
                <w:rStyle w:val="CodeChar"/>
              </w:rPr>
              <w:t xml:space="preserve">GENESIS_DDLC_IKG_GIT_SECRET</w:t>
            </w:r>
            <w:r>
              <w:t xml:space="preserve">, </w:t>
            </w:r>
            <w:r>
              <w:rPr>
                <w:rStyle w:val="CodeChar"/>
              </w:rPr>
              <w:t xml:space="preserve">IKG_AZURE_OPENAI_API_KEY</w:t>
            </w:r>
            <w:r>
              <w:t xml:space="preserve">; Connection </w:t>
            </w:r>
            <w:r>
              <w:rPr>
                <w:rStyle w:val="CodeChar"/>
              </w:rPr>
              <w:t xml:space="preserve">IKG_GP_GPRDSP</w:t>
            </w:r>
            <w:r>
              <w:t xml:space="preserve">; held in memory only, never in XCom, logs or files</w:t>
            </w:r>
          </w:p>
        </w:tc>
      </w:tr>
      <w:tr>
        <w:tc>
          <w:tcPr>
            <w:tcW w:w="3120" w:type="dxa"/>
          </w:tcPr>
          <w:p>
            <w:pPr/>
            <w:r>
              <w:t xml:space="preserve">Code path</w:t>
            </w:r>
          </w:p>
        </w:tc>
        <w:tc>
          <w:tcPr>
            <w:tcW w:w="3120" w:type="dxa"/>
          </w:tcPr>
          <w:p>
            <w:pPr/>
            <w:r>
              <w:rPr>
                <w:rStyle w:val="CodeChar"/>
              </w:rPr>
              <w:t xml:space="preserve">agents.prepare</w:t>
            </w:r>
            <w:r>
              <w:t xml:space="preserve"> + </w:t>
            </w:r>
            <w:r>
              <w:rPr>
                <w:rStyle w:val="CodeChar"/>
              </w:rPr>
              <w:t xml:space="preserve">agents.run</w:t>
            </w:r>
          </w:p>
        </w:tc>
        <w:tc>
          <w:tcPr>
            <w:tcW w:w="3120" w:type="dxa"/>
          </w:tcPr>
          <w:p>
            <w:pPr/>
            <w:r>
              <w:rPr>
                <w:rStyle w:val="CodeChar"/>
              </w:rPr>
              <w:t xml:space="preserve">ikgmeta.airflow_runner.run_insights_metadata</w:t>
            </w:r>
            <w:r>
              <w:t xml:space="preserve"> = the same two calls; </w:t>
            </w:r>
            <w:r>
              <w:rPr>
                <w:rStyle w:val="CodeChar"/>
              </w:rPr>
              <w:t xml:space="preserve">ikgmeta/</w:t>
            </w:r>
            <w:r>
              <w:t xml:space="preserve"> is byte-identical in both zips</w:t>
            </w:r>
          </w:p>
        </w:tc>
      </w:tr>
      <w:tr>
        <w:tc>
          <w:tcPr>
            <w:tcW w:w="3120" w:type="dxa"/>
          </w:tcPr>
          <w:p>
            <w:pPr/>
            <w:r>
              <w:t xml:space="preserve">Result</w:t>
            </w:r>
          </w:p>
        </w:tc>
        <w:tc>
          <w:tcPr>
            <w:tcW w:w="3120" w:type="dxa"/>
          </w:tcPr>
          <w:p>
            <w:pPr/>
            <w:r>
              <w:rPr>
                <w:rStyle w:val="CodeChar"/>
              </w:rPr>
              <w:t xml:space="preserve">output/</w:t>
            </w:r>
            <w:r>
              <w:t xml:space="preserve"> next to the notebook</w:t>
            </w:r>
          </w:p>
        </w:tc>
        <w:tc>
          <w:tcPr>
            <w:tcW w:w="3120" w:type="dxa"/>
          </w:tcPr>
          <w:p>
            <w:pPr/>
            <w:r>
              <w:t xml:space="preserve">Variable </w:t>
            </w:r>
            <w:r>
              <w:rPr>
                <w:rStyle w:val="CodeChar"/>
              </w:rPr>
              <w:t xml:space="preserve">INSIGHTS_METADATA_OUTPUT_DIR</w:t>
            </w:r>
            <w:r>
              <w:t xml:space="preserve"> (default </w:t>
            </w:r>
            <w:r>
              <w:rPr>
                <w:rStyle w:val="CodeChar"/>
              </w:rPr>
              <w:t xml:space="preserve">&lt;tmp&gt;/insights_metadata</w:t>
            </w:r>
            <w:r>
              <w:t xml:space="preserve">); completion e-mail with the summary (tables, delta, skipped tables, confidence bands, Greenplum load) and the workbook attached when under 15 MB</w:t>
            </w:r>
          </w:p>
        </w:tc>
      </w:tr>
    </w:tbl>
    <w:p>
      <w:pPr>
        <w:pStyle w:val="Heading2"/>
      </w:pPr>
      <w:r>
        <w:t xml:space="preserve">Run time, run order and tokens</w:t>
      </w:r>
    </w:p>
    <w:p>
      <w:pPr/>
      <w:r>
        <w:rPr>
          <w:b/>
        </w:rPr>
        <w:t xml:space="preserve">Scope.</w:t>
      </w:r>
      <w:r>
        <w:t xml:space="preserve"> The IKG tables documented are exactly the ones of the lineage query (</w:t>
      </w:r>
      <w:r>
        <w:rPr>
          <w:rStyle w:val="CodeChar"/>
        </w:rPr>
        <w:t xml:space="preserve">generation.ikg_lineage_tables_sql</w:t>
      </w:r>
      <w:r>
        <w:t xml:space="preserve">): every table of the IKG schema (</w:t>
      </w:r>
      <w:r>
        <w:rPr>
          <w:rStyle w:val="CodeChar"/>
        </w:rPr>
        <w:t xml:space="preserve">pg_class</w:t>
      </w:r>
      <w:r>
        <w:t xml:space="preserve">, relkind r / m / v, no </w:t>
      </w:r>
      <w:r>
        <w:rPr>
          <w:rStyle w:val="CodeChar"/>
        </w:rPr>
        <w:t xml:space="preserve">%_prt_%</w:t>
      </w:r>
      <w:r>
        <w:t xml:space="preserve"> partitions) that appears in </w:t>
      </w:r>
      <w:r>
        <w:rPr>
          <w:rStyle w:val="CodeChar"/>
        </w:rPr>
        <w:t xml:space="preserve">ikg_column_lineage_master_auto_refresh</w:t>
      </w:r>
      <w:r>
        <w:t xml:space="preserve"> as target, sub-target or source — the profile tables plus the intermediate IKG tables such as </w:t>
      </w:r>
      <w:r>
        <w:rPr>
          <w:rStyle w:val="CodeChar"/>
        </w:rPr>
        <w:t xml:space="preserve">acc_assets_flags_ikg</w:t>
      </w:r>
      <w:r>
        <w:t xml:space="preserve">, </w:t>
      </w:r>
      <w:r>
        <w:rPr>
          <w:rStyle w:val="CodeChar"/>
        </w:rPr>
        <w:t xml:space="preserve">acc_ast_pre_split_hist_ikg</w:t>
      </w:r>
      <w:r>
        <w:t xml:space="preserve">, </w:t>
      </w:r>
      <w:r>
        <w:rPr>
          <w:rStyle w:val="CodeChar"/>
        </w:rPr>
        <w:t xml:space="preserve">ubs_base_acc_features_ikg</w:t>
      </w:r>
      <w:r>
        <w:t xml:space="preserve">. Columns come from the create script when the repository has one, otherwise from </w:t>
      </w:r>
      <w:r>
        <w:rPr>
          <w:rStyle w:val="CodeChar"/>
        </w:rPr>
        <w:t xml:space="preserve">information_schema</w:t>
      </w:r>
      <w:r>
        <w:t xml:space="preserve">. All of them get attribute metadata in the workbook and in </w:t>
      </w:r>
      <w:r>
        <w:rPr>
          <w:rStyle w:val="CodeChar"/>
        </w:rPr>
        <w:t xml:space="preserve">ikg_attribute_business_description</w:t>
      </w:r>
      <w:r>
        <w:t xml:space="preserve">; the knowledge graph and the </w:t>
      </w:r>
      <w:r>
        <w:rPr>
          <w:rStyle w:val="CodeChar"/>
        </w:rPr>
        <w:t xml:space="preserve">_v2</w:t>
      </w:r>
      <w:r>
        <w:t xml:space="preserve"> clones stay on the profile tables (unchanged logic). ODM and NLG tables are in the same run as before.</w:t>
      </w:r>
    </w:p>
    <w:p>
      <w:pPr/>
      <w:r>
        <w:rPr>
          <w:b/>
        </w:rPr>
        <w:t xml:space="preserve">Run time.</w:t>
      </w:r>
      <w:r>
        <w:t xml:space="preserve"> The 5-hour run was bound by the Azure deployment's ~200k tokens-per-minute quota: every 429 paused 30 s and halved the concurrency, the LLM master re-ran escalation for 228 Low batches (90 minutes), the reviewer re-checked every non-High attribute, and each author / code call carried up to 40-200k characters of SQL. Defaults now: deterministic orchestration, no escalation, reviewer on Low only, 30 attributes per call, prefixes capped (15k / 30k characters), reasoning effort low for the code and author agents, no value profiling, requests paced to 180k tokens per minute, 8 tables in parallel, repositories downloaded in parallel and cached for 24 hours, code index cached. On top of that a </w:t>
      </w:r>
      <w:r>
        <w:rPr>
          <w:b/>
        </w:rPr>
        <w:t xml:space="preserve">daily budget</w:t>
      </w:r>
      <w:r>
        <w:t xml:space="preserve"> keeps every run at 5-10 minutes: at most </w:t>
      </w:r>
      <w:r>
        <w:rPr>
          <w:rStyle w:val="CodeChar"/>
        </w:rPr>
        <w:t xml:space="preserve">max_new_attributes_per_run</w:t>
      </w:r>
      <w:r>
        <w:t xml:space="preserve"> (400) new attributes per run, taken as whole tables in the order profile tables → ODM / NLG → intermediate lineage tables, and a </w:t>
      </w:r>
      <w:r>
        <w:rPr>
          <w:rStyle w:val="CodeChar"/>
        </w:rPr>
        <w:t xml:space="preserve">time_budget_minutes</w:t>
      </w:r>
      <w:r>
        <w:t xml:space="preserve"> (10) guard that defers the tables not yet started. What is left is reported as a backlog (</w:t>
      </w:r>
      <w:r>
        <w:rPr>
          <w:rStyle w:val="CodeChar"/>
        </w:rPr>
        <w:t xml:space="preserve">Delta_Summary</w:t>
      </w:r>
      <w:r>
        <w:t xml:space="preserve">, the e-mail line </w:t>
      </w:r>
      <w:r>
        <w:rPr>
          <w:i/>
        </w:rPr>
        <w:t xml:space="preserve">backlog for next runs</w:t>
      </w:r>
      <w:r>
        <w:t xml:space="preserve">) and is picked up by the next scheduled run, so a first load of ~1,500 attributes completes over 4-5 daily runs while a normal delta run finishes in 3-8 minutes.</w:t>
      </w:r>
    </w:p>
    <w:p>
      <w:pPr/>
      <w:r>
        <w:rPr>
          <w:b/>
        </w:rPr>
        <w:t xml:space="preserve">Order of a run</w:t>
      </w:r>
      <w:r>
        <w:t xml:space="preserve"> (unchanged downstream logic): agents → the complete workbook (every sheet) and the </w:t>
      </w:r>
      <w:r>
        <w:rPr>
          <w:rStyle w:val="CodeChar"/>
        </w:rPr>
        <w:t xml:space="preserve">ikg_attribute_business_description</w:t>
      </w:r>
      <w:r>
        <w:t xml:space="preserve"> insert / update are written </w:t>
      </w:r>
      <w:r>
        <w:rPr>
          <w:b/>
        </w:rPr>
        <w:t xml:space="preserve">first</w:t>
      </w:r>
      <w:r>
        <w:t xml:space="preserve"> → only then the graph agent and the HTML / markdown pages → </w:t>
      </w:r>
      <w:r>
        <w:rPr>
          <w:rStyle w:val="CodeChar"/>
        </w:rPr>
        <w:t xml:space="preserve">_v2</w:t>
      </w:r>
      <w:r>
        <w:t xml:space="preserve"> clones (create once, drop columns) → refreshed-table queries and token statistics. Nothing in the code names a schema or a role: </w:t>
      </w:r>
      <w:r>
        <w:rPr>
          <w:rStyle w:val="CodeChar"/>
        </w:rPr>
        <w:t xml:space="preserve">odm_env</w:t>
      </w:r>
      <w:r>
        <w:t xml:space="preserve"> (local: config or env variable </w:t>
      </w:r>
      <w:r>
        <w:rPr>
          <w:rStyle w:val="CodeChar"/>
        </w:rPr>
        <w:t xml:space="preserve">ODM_ENV</w:t>
      </w:r>
      <w:r>
        <w:t xml:space="preserve">, default PROD; Airflow: Variable </w:t>
      </w:r>
      <w:r>
        <w:rPr>
          <w:rStyle w:val="CodeChar"/>
        </w:rPr>
        <w:t xml:space="preserve">ODM_ENV</w:t>
      </w:r>
      <w:r>
        <w:t xml:space="preserve">) selects the IKG schema, the NLG ini section and the owner / reader roles of every table the program creates (including </w:t>
      </w:r>
      <w:r>
        <w:rPr>
          <w:rStyle w:val="CodeChar"/>
        </w:rPr>
        <w:t xml:space="preserve">_v2</w:t>
      </w:r>
      <w:r>
        <w:t xml:space="preserve">).</w:t>
      </w:r>
    </w:p>
    <w:p>
      <w:pPr>
        <w:pStyle w:val="Heading2"/>
      </w:pPr>
      <w:r>
        <w:t xml:space="preserve">Outputs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Where</w:t>
            </w:r>
          </w:p>
        </w:tc>
        <w:tc>
          <w:tcPr>
            <w:tcW w:w="3120" w:type="dxa"/>
            <w:shd w:val="clear" w:color="auto" w:fill="F2F2F2"/>
          </w:tcPr>
          <w:p>
            <w:pPr/>
            <w:r>
              <w:t xml:space="preserve">Content</w:t>
            </w:r>
          </w:p>
        </w:tc>
      </w:tr>
      <w:tr>
        <w:tc>
          <w:tcPr>
            <w:tcW w:w="3120" w:type="dxa"/>
          </w:tcPr>
          <w:p>
            <w:pPr/>
            <w:r>
              <w:t xml:space="preserve">Metadata workbook</w:t>
            </w:r>
          </w:p>
        </w:tc>
        <w:tc>
          <w:tcPr>
            <w:tcW w:w="3120" w:type="dxa"/>
          </w:tcPr>
          <w:p>
            <w:pPr/>
            <w:r>
              <w:rPr>
                <w:rStyle w:val="CodeChar"/>
              </w:rPr>
              <w:t xml:space="preserve">output/Insights_attribute_metadata.xlsx</w:t>
            </w:r>
          </w:p>
        </w:tc>
        <w:tc>
          <w:tcPr>
            <w:tcW w:w="3120" w:type="dxa"/>
          </w:tcPr>
          <w:p>
            <w:pPr/>
            <w:r>
              <w:rPr>
                <w:rStyle w:val="CodeChar"/>
              </w:rPr>
              <w:t xml:space="preserve">Metadata</w:t>
            </w:r>
            <w:r>
              <w:t xml:space="preserve"> (table_name, column_name, business_attribute_name, description, confidence score and band, entity, attribute type, unit, derivation type, confidence reason, difficult to generate, what is required, evidence used, verify verdict, </w:t>
            </w:r>
            <w:r>
              <w:rPr>
                <w:b/>
              </w:rPr>
              <w:t xml:space="preserve">upstream</w:t>
            </w:r>
            <w:r>
              <w:t xml:space="preserve"> = hops </w:t>
            </w:r>
            <w:r>
              <w:rPr>
                <w:rStyle w:val="CodeChar"/>
              </w:rPr>
              <w:t xml:space="preserve">table.column &lt;- hop &lt;- ... &lt;- source</w:t>
            </w:r>
            <w:r>
              <w:t xml:space="preserve">, </w:t>
            </w:r>
            <w:r>
              <w:rPr>
                <w:b/>
              </w:rPr>
              <w:t xml:space="preserve">current_datetime</w:t>
            </w:r>
            <w:r>
              <w:t xml:space="preserve"> = run time on every row), Needs_Review, Glossary, Glossary_Needs_Input, Table_Briefs, Entity_Relationships, Joining_Keys, ODM_NLG_Tables, Clone_Summary / Clone_Duplicates / Clone_Report, Delta_Summary, Token_Stats, Agent_Trace</w:t>
            </w:r>
          </w:p>
        </w:tc>
      </w:tr>
      <w:tr>
        <w:tc>
          <w:tcPr>
            <w:tcW w:w="3120" w:type="dxa"/>
          </w:tcPr>
          <w:p>
            <w:pPr/>
            <w:r>
              <w:t xml:space="preserve">Knowledge graph</w:t>
            </w:r>
          </w:p>
        </w:tc>
        <w:tc>
          <w:tcPr>
            <w:tcW w:w="3120" w:type="dxa"/>
          </w:tcPr>
          <w:p>
            <w:pPr/>
            <w:r>
              <w:rPr>
                <w:rStyle w:val="CodeChar"/>
              </w:rPr>
              <w:t xml:space="preserve">output/knowledge_graph/knowledge_graph.html</w:t>
            </w:r>
            <w:r>
              <w:t xml:space="preserve"> + </w:t>
            </w:r>
            <w:r>
              <w:rPr>
                <w:rStyle w:val="CodeChar"/>
              </w:rPr>
              <w:t xml:space="preserve">knowledge_graph.md</w:t>
            </w:r>
            <w:r>
              <w:t xml:space="preserve">, </w:t>
            </w:r>
            <w:r>
              <w:rPr>
                <w:rStyle w:val="CodeChar"/>
              </w:rPr>
              <w:t xml:space="preserve">md/&lt;Entity&gt;.md</w:t>
            </w:r>
            <w:r>
              <w:t xml:space="preserve">, </w:t>
            </w:r>
            <w:r>
              <w:rPr>
                <w:rStyle w:val="CodeChar"/>
              </w:rPr>
              <w:t xml:space="preserve">md/odm_nlg_tables.md</w:t>
            </w:r>
            <w:r>
              <w:t xml:space="preserve">, </w:t>
            </w:r>
            <w:r>
              <w:rPr>
                <w:rStyle w:val="CodeChar"/>
              </w:rPr>
              <w:t xml:space="preserve">skill.md</w:t>
            </w:r>
            <w:r>
              <w:t xml:space="preserve">, </w:t>
            </w:r>
            <w:r>
              <w:rPr>
                <w:rStyle w:val="CodeChar"/>
              </w:rPr>
              <w:t xml:space="preserve">pictures/</w:t>
            </w:r>
          </w:p>
        </w:tc>
        <w:tc>
          <w:tcPr>
            <w:tcW w:w="3120" w:type="dxa"/>
          </w:tcPr>
          <w:p>
            <w:pPr/>
            <w:r>
              <w:t xml:space="preserve">interactive page (entities as nodes, attributes as leaves, relationships with evidence, search) and its markdown twin (mermaid entity model, relationships, joining keys, one page per entity with every attribute); </w:t>
            </w:r>
            <w:r>
              <w:rPr>
                <w:rStyle w:val="CodeChar"/>
              </w:rPr>
              <w:t xml:space="preserve">skill.md</w:t>
            </w:r>
            <w:r>
              <w:t xml:space="preserve"> is the index skill file that refers to every markdown page; one picture per entity, GraphML and Neo4j CSV</w:t>
            </w:r>
          </w:p>
        </w:tc>
      </w:tr>
      <w:tr>
        <w:tc>
          <w:tcPr>
            <w:tcW w:w="3120" w:type="dxa"/>
          </w:tcPr>
          <w:p>
            <w:pPr/>
            <w:r>
              <w:t xml:space="preserve">Business descriptions</w:t>
            </w:r>
          </w:p>
        </w:tc>
        <w:tc>
          <w:tcPr>
            <w:tcW w:w="3120" w:type="dxa"/>
          </w:tcPr>
          <w:p>
            <w:pPr/>
            <w:r>
              <w:rPr>
                <w:rStyle w:val="CodeChar"/>
              </w:rPr>
              <w:t xml:space="preserve">core_ikg.ikg_attribute_business_description</w:t>
            </w:r>
          </w:p>
        </w:tc>
        <w:tc>
          <w:tcPr>
            <w:tcW w:w="3120" w:type="dxa"/>
          </w:tcPr>
          <w:p>
            <w:pPr/>
            <w:r>
              <w:t xml:space="preserve">created once; later runs append only new tables and columns; the columns </w:t>
            </w:r>
            <w:r>
              <w:rPr>
                <w:rStyle w:val="CodeChar"/>
              </w:rPr>
              <w:t xml:space="preserve">upstream</w:t>
            </w:r>
            <w:r>
              <w:t xml:space="preserve"> and </w:t>
            </w:r>
            <w:r>
              <w:rPr>
                <w:rStyle w:val="CodeChar"/>
              </w:rPr>
              <w:t xml:space="preserve">current_datetime</w:t>
            </w:r>
            <w:r>
              <w:t xml:space="preserve"> are added when missing (first run fills </w:t>
            </w:r>
            <w:r>
              <w:rPr>
                <w:rStyle w:val="CodeChar"/>
              </w:rPr>
              <w:t xml:space="preserve">upstream</w:t>
            </w:r>
            <w:r>
              <w:t xml:space="preserve"> for existing rows), </w:t>
            </w:r>
            <w:r>
              <w:rPr>
                <w:rStyle w:val="CodeChar"/>
              </w:rPr>
              <w:t xml:space="preserve">current_datetime</w:t>
            </w:r>
            <w:r>
              <w:t xml:space="preserve"> is refreshed on every row each run</w:t>
            </w:r>
          </w:p>
        </w:tc>
      </w:tr>
      <w:tr>
        <w:tc>
          <w:tcPr>
            <w:tcW w:w="3120" w:type="dxa"/>
          </w:tcPr>
          <w:p>
            <w:pPr/>
            <w:r>
              <w:t xml:space="preserve">Graph tables</w:t>
            </w:r>
          </w:p>
        </w:tc>
        <w:tc>
          <w:tcPr>
            <w:tcW w:w="3120" w:type="dxa"/>
          </w:tcPr>
          <w:p>
            <w:pPr/>
            <w:r>
              <w:rPr>
                <w:rStyle w:val="CodeChar"/>
              </w:rPr>
              <w:t xml:space="preserve">core_ikg.ikg_graph_relationship</w:t>
            </w:r>
            <w:r>
              <w:t xml:space="preserve">, </w:t>
            </w:r>
            <w:r>
              <w:rPr>
                <w:rStyle w:val="CodeChar"/>
              </w:rPr>
              <w:t xml:space="preserve">core_ikg.ikg_graph_joining_key</w:t>
            </w:r>
          </w:p>
        </w:tc>
        <w:tc>
          <w:tcPr>
            <w:tcW w:w="3120" w:type="dxa"/>
          </w:tcPr>
          <w:p>
            <w:pPr/>
            <w:r>
              <w:t xml:space="preserve">relationships with evidence; joining key per relationship (Client to Household on </w:t>
            </w:r>
            <w:r>
              <w:rPr>
                <w:rStyle w:val="CodeChar"/>
              </w:rPr>
              <w:t xml:space="preserve">acc_mhh_n</w:t>
            </w:r>
            <w:r>
              <w:t xml:space="preserve">, Account to Client on </w:t>
            </w:r>
            <w:r>
              <w:rPr>
                <w:rStyle w:val="CodeChar"/>
              </w:rPr>
              <w:t xml:space="preserve">ip_cli_i</w:t>
            </w:r>
            <w:r>
              <w:t xml:space="preserve">) and the tables that carry it</w:t>
            </w:r>
          </w:p>
        </w:tc>
      </w:tr>
      <w:tr>
        <w:tc>
          <w:tcPr>
            <w:tcW w:w="3120" w:type="dxa"/>
          </w:tcPr>
          <w:p>
            <w:pPr/>
            <w:r>
              <w:t xml:space="preserve">Normalised clones</w:t>
            </w:r>
          </w:p>
        </w:tc>
        <w:tc>
          <w:tcPr>
            <w:tcW w:w="3120" w:type="dxa"/>
          </w:tcPr>
          <w:p>
            <w:pPr/>
            <w:r>
              <w:rPr>
                <w:rStyle w:val="CodeChar"/>
              </w:rPr>
              <w:t xml:space="preserve">core_ikg.&lt;table&gt;_v2</w:t>
            </w:r>
            <w:r>
              <w:t xml:space="preserve"> and </w:t>
            </w:r>
            <w:r>
              <w:rPr>
                <w:rStyle w:val="CodeChar"/>
              </w:rPr>
              <w:t xml:space="preserve">output/profile_table_clones.sql.txt</w:t>
            </w:r>
          </w:p>
        </w:tc>
        <w:tc>
          <w:tcPr>
            <w:tcW w:w="3120" w:type="dxa"/>
          </w:tcPr>
          <w:p>
            <w:pPr/>
            <w:r>
              <w:t xml:space="preserve">every profile table without the columns that duplicate another table's attributes (kept: own attributes, joining keys, technical columns). Created ONCE (</w:t>
            </w:r>
            <w:r>
              <w:rPr>
                <w:rStyle w:val="CodeChar"/>
              </w:rPr>
              <w:t xml:space="preserve">CREATE TABLE ... AS SELECT *</w:t>
            </w:r>
            <w:r>
              <w:t xml:space="preserve">, owner / grant from the environment), never dropped or re-created; every run only drops the duplicated columns still present. Every duplicate is removed in one pass; </w:t>
            </w:r>
            <w:r>
              <w:rPr>
                <w:rStyle w:val="CodeChar"/>
              </w:rPr>
              <w:t xml:space="preserve">Clone_Report</w:t>
            </w:r>
            <w:r>
              <w:t xml:space="preserve"> flags copies without a joining key or with a different lineage (keep any with </w:t>
            </w:r>
            <w:r>
              <w:rPr>
                <w:rStyle w:val="CodeChar"/>
              </w:rPr>
              <w:t xml:space="preserve">output.dedupe.never_remove</w:t>
            </w:r>
            <w:r>
              <w:t xml:space="preserve">); </w:t>
            </w:r>
            <w:r>
              <w:rPr>
                <w:rStyle w:val="CodeChar"/>
              </w:rPr>
              <w:t xml:space="preserve">clone_refresh_data: true</w:t>
            </w:r>
            <w:r>
              <w:t xml:space="preserve"> reloads the data</w:t>
            </w:r>
          </w:p>
        </w:tc>
      </w:tr>
      <w:tr>
        <w:tc>
          <w:tcPr>
            <w:tcW w:w="3120" w:type="dxa"/>
          </w:tcPr>
          <w:p>
            <w:pPr/>
            <w:r>
              <w:t xml:space="preserve">ODM / NLG diagrams</w:t>
            </w:r>
          </w:p>
        </w:tc>
        <w:tc>
          <w:tcPr>
            <w:tcW w:w="3120" w:type="dxa"/>
          </w:tcPr>
          <w:p>
            <w:pPr/>
            <w:r>
              <w:rPr>
                <w:rStyle w:val="CodeChar"/>
              </w:rPr>
              <w:t xml:space="preserve">output/knowledge_graph/diagrams/*.html</w:t>
            </w:r>
            <w:r>
              <w:t xml:space="preserve"> + </w:t>
            </w:r>
            <w:r>
              <w:rPr>
                <w:rStyle w:val="CodeChar"/>
              </w:rPr>
              <w:t xml:space="preserve">*.md</w:t>
            </w:r>
          </w:p>
        </w:tc>
        <w:tc>
          <w:tcPr>
            <w:tcW w:w="3120" w:type="dxa"/>
          </w:tcPr>
          <w:p>
            <w:pPr/>
            <w:r>
              <w:t xml:space="preserve">ODM architecture, NLG architecture, narrative rule flows (client, FL, prospect), one page per NLG product; linked from the viewer sidebar; the markdown twins carry the same boxes and lines as mermaid flowcharts</w:t>
            </w:r>
          </w:p>
        </w:tc>
      </w:tr>
      <w:tr>
        <w:tc>
          <w:tcPr>
            <w:tcW w:w="3120" w:type="dxa"/>
          </w:tcPr>
          <w:p>
            <w:pPr/>
            <w:r>
              <w:t xml:space="preserve">Run log, token statistics, refreshed tables</w:t>
            </w:r>
          </w:p>
        </w:tc>
        <w:tc>
          <w:tcPr>
            <w:tcW w:w="3120" w:type="dxa"/>
          </w:tcPr>
          <w:p>
            <w:pPr/>
            <w:r>
              <w:t xml:space="preserve">output/log_&lt;YYYYMMDD_HHMMSS&gt;.txt, token_stats.txt / .json, refreshed_tables.sql.txt, profile_table_clones.sql.txt</w:t>
            </w:r>
          </w:p>
        </w:tc>
        <w:tc>
          <w:tcPr>
            <w:tcW w:w="3120" w:type="dxa"/>
          </w:tcPr>
          <w:p>
            <w:pPr/>
            <w:r>
              <w:t xml:space="preserve">every log line of the run; tokens in total and per process / agent (prompt, completion, reasoning, cached, cache hits, rate-limit hits, averages, tokens per minute); every Greenplum table refreshed by the run (metadata, glossary, graph tables, _v2) with a check query; the _v2 script. The Airflow e-mail attaches the workbook, graph html, clone script, token stats, refreshed-table queries and the log</w:t>
            </w:r>
          </w:p>
        </w:tc>
      </w:tr>
    </w:tbl>
    <w:p>
      <w:pPr/>
      <w:r>
        <w:t xml:space="preserve">Every table created gets </w:t>
      </w:r>
      <w:r>
        <w:rPr>
          <w:rStyle w:val="CodeChar"/>
        </w:rPr>
        <w:t xml:space="preserve">ALTER TABLE ... OWNER TO</w:t>
      </w:r>
      <w:r>
        <w:t xml:space="preserve"> and </w:t>
      </w:r>
      <w:r>
        <w:rPr>
          <w:rStyle w:val="CodeChar"/>
        </w:rPr>
        <w:t xml:space="preserve">GRANT SELECT ... TO</w:t>
      </w:r>
      <w:r>
        <w:t xml:space="preserve"> with the owner / reader roles of the selected environment (PROD: </w:t>
      </w:r>
      <w:r>
        <w:rPr>
          <w:rStyle w:val="CodeChar"/>
        </w:rPr>
        <w:t xml:space="preserve">erd_gpdb_prj_ikg</w:t>
      </w:r>
      <w:r>
        <w:t xml:space="preserve"> / </w:t>
      </w:r>
      <w:r>
        <w:rPr>
          <w:rStyle w:val="CodeChar"/>
        </w:rPr>
        <w:t xml:space="preserve">erd_gpdb_prj_ikg_ro</w:t>
      </w:r>
      <w:r>
        <w:t xml:space="preserve">; UAT and TEST: </w:t>
      </w:r>
      <w:r>
        <w:rPr>
          <w:rStyle w:val="CodeChar"/>
        </w:rPr>
        <w:t xml:space="preserve">erd_gpdb_prj_smart_insights</w:t>
      </w:r>
      <w:r>
        <w:t xml:space="preserve"> / </w:t>
      </w:r>
      <w:r>
        <w:rPr>
          <w:rStyle w:val="CodeChar"/>
        </w:rPr>
        <w:t xml:space="preserve">erd_gpdb_prj_smart_insights_ro</w:t>
      </w:r>
      <w:r>
        <w:t xml:space="preserve">).</w:t>
      </w:r>
    </w:p>
    <w:p>
      <w:pPr>
        <w:pStyle w:val="Heading2"/>
      </w:pPr>
      <w:r>
        <w:t xml:space="preserve">Demo script (10 minutes)</w:t>
      </w:r>
    </w:p>
    <w:p>
      <w:pPr>
        <w:pStyle w:val="ListParagraph"/>
        <w:numPr>
          <w:ilvl w:val="0"/>
          <w:numId w:val="5"/>
        </w:numPr>
      </w:pPr>
      <w:r>
        <w:t xml:space="preserve">Problem (1 min): open </w:t>
      </w:r>
      <w:r>
        <w:rPr>
          <w:rStyle w:val="CodeChar"/>
        </w:rPr>
        <w:t xml:space="preserve">household_profile_curr_ikg</w:t>
      </w:r>
      <w:r>
        <w:t xml:space="preserve"> in the catalogue; 688 columns such as </w:t>
      </w:r>
      <w:r>
        <w:rPr>
          <w:rStyle w:val="CodeChar"/>
        </w:rPr>
        <w:t xml:space="preserve">mhh_cash_dist_4w_last_higher_d</w:t>
      </w:r>
      <w:r>
        <w:t xml:space="preserve"> with no definition.</w:t>
      </w:r>
    </w:p>
    <w:p>
      <w:pPr>
        <w:pStyle w:val="ListParagraph"/>
        <w:numPr>
          <w:ilvl w:val="0"/>
          <w:numId w:val="5"/>
        </w:numPr>
      </w:pPr>
      <w:r>
        <w:t xml:space="preserve">Inputs (1 min): show the </w:t>
      </w:r>
      <w:r>
        <w:rPr>
          <w:rStyle w:val="CodeChar"/>
        </w:rPr>
        <w:t xml:space="preserve">skills/</w:t>
      </w:r>
      <w:r>
        <w:t xml:space="preserve"> folder, the EDW Data Dictionary and the three Greenplum tables the program reads.</w:t>
      </w:r>
    </w:p>
    <w:p>
      <w:pPr>
        <w:pStyle w:val="ListParagraph"/>
        <w:numPr>
          <w:ilvl w:val="0"/>
          <w:numId w:val="5"/>
        </w:numPr>
      </w:pPr>
      <w:r>
        <w:t xml:space="preserve">Run (2 min): start the notebook on two pilot tables; point at the log lines: delta comparison, skill agent, dictionary agent, per-table pipeline with ETA.</w:t>
      </w:r>
    </w:p>
    <w:p>
      <w:pPr>
        <w:pStyle w:val="ListParagraph"/>
        <w:numPr>
          <w:ilvl w:val="0"/>
          <w:numId w:val="5"/>
        </w:numPr>
      </w:pPr>
      <w:r>
        <w:t xml:space="preserve">Evidence (2 min): open a cached agent JSON for one column, then the same column's </w:t>
      </w:r>
      <w:r>
        <w:rPr>
          <w:rStyle w:val="CodeChar"/>
        </w:rPr>
        <w:t xml:space="preserve">Agent_Trace</w:t>
      </w:r>
      <w:r>
        <w:t xml:space="preserve"> rows: which tools it called and why. Show the quote check rejecting a fabricated skill quote.</w:t>
      </w:r>
    </w:p>
    <w:p>
      <w:pPr>
        <w:pStyle w:val="ListParagraph"/>
        <w:numPr>
          <w:ilvl w:val="0"/>
          <w:numId w:val="5"/>
        </w:numPr>
      </w:pPr>
      <w:r>
        <w:t xml:space="preserve">Results (2 min): </w:t>
      </w:r>
      <w:r>
        <w:rPr>
          <w:rStyle w:val="CodeChar"/>
        </w:rPr>
        <w:t xml:space="preserve">Metadata</w:t>
      </w:r>
      <w:r>
        <w:t xml:space="preserve"> sheet, the confidence band colours, one Low attribute and its </w:t>
      </w:r>
      <w:r>
        <w:rPr>
          <w:rStyle w:val="CodeChar"/>
        </w:rPr>
        <w:t xml:space="preserve">what_is_required</w:t>
      </w:r>
      <w:r>
        <w:t xml:space="preserve">; </w:t>
      </w:r>
      <w:r>
        <w:rPr>
          <w:rStyle w:val="CodeChar"/>
        </w:rPr>
        <w:t xml:space="preserve">Glossary_Needs_Input</w:t>
      </w:r>
      <w:r>
        <w:t xml:space="preserve">.</w:t>
      </w:r>
    </w:p>
    <w:p>
      <w:pPr>
        <w:pStyle w:val="ListParagraph"/>
        <w:numPr>
          <w:ilvl w:val="0"/>
          <w:numId w:val="5"/>
        </w:numPr>
      </w:pPr>
      <w:r>
        <w:t xml:space="preserve">Graph and clones (2 min): the knowledge graph page (entity overview, drill into Household, search </w:t>
      </w:r>
      <w:r>
        <w:rPr>
          <w:rStyle w:val="CodeChar"/>
        </w:rPr>
        <w:t xml:space="preserve">cash dist</w:t>
      </w:r>
      <w:r>
        <w:t xml:space="preserve">); </w:t>
      </w:r>
      <w:r>
        <w:rPr>
          <w:rStyle w:val="CodeChar"/>
        </w:rPr>
        <w:t xml:space="preserve">Joining_Keys</w:t>
      </w:r>
      <w:r>
        <w:t xml:space="preserve">; </w:t>
      </w:r>
      <w:r>
        <w:rPr>
          <w:rStyle w:val="CodeChar"/>
        </w:rPr>
        <w:t xml:space="preserve">Clone_Report</w:t>
      </w:r>
      <w:r>
        <w:t xml:space="preserve"> for </w:t>
      </w:r>
      <w:r>
        <w:rPr>
          <w:rStyle w:val="CodeChar"/>
        </w:rPr>
        <w:t xml:space="preserve">account_profile_curr_ikg</w:t>
      </w:r>
      <w:r>
        <w:t xml:space="preserve"> (18 duplicated client and household columns removed, re-joinable on </w:t>
      </w:r>
      <w:r>
        <w:rPr>
          <w:rStyle w:val="CodeChar"/>
        </w:rPr>
        <w:t xml:space="preserve">ip_cli_i</w:t>
      </w:r>
      <w:r>
        <w:t xml:space="preserve"> and </w:t>
      </w:r>
      <w:r>
        <w:rPr>
          <w:rStyle w:val="CodeChar"/>
        </w:rPr>
        <w:t xml:space="preserve">acc_mhh_n</w:t>
      </w:r>
      <w:r>
        <w:t xml:space="preserve">).</w:t>
      </w:r>
    </w:p>
    <w:p>
      <w:pPr/>
      <w:r>
        <w:t xml:space="preserve">Talking points: nothing is written from a column name alone; every statement has a quote or a lineage behind it; SMEs correct the program by writing one sentence in a skill file; a second run costs only the new tables and columns.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IKG Metadata &amp; Knowledge Graph Agents</dc:title>
  <dc:description>Claude Docs node/45caaf11-ab98@27 docx-w6</dc:description>
  <cp:revision>27</cp:revision>
</cp:coreProperties>
</file>