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mbria" w:cs="Cambria" w:eastAsia="Cambria" w:hAnsi="Cambria"/>
          <w:b/>
          <w:bCs/>
          <w:i w:val="false"/>
          <w:iCs w:val="false"/>
          <w:caps w:val="false"/>
          <w:color w:val="000000"/>
          <w:sz w:val="40"/>
          <w:szCs w:val="40"/>
        </w:rPr>
        <w:t xml:space="preserve">CompLaB3D campaign02</w:t>
      </w:r>
    </w:p>
    <w:p>
      <w:pPr>
        <w:spacing w:after="100"/>
        <w:jc w:val="center"/>
      </w:pPr>
      <w:r>
        <w:rPr>
          <w:rFonts w:ascii="Cambria" w:cs="Cambria" w:eastAsia="Cambria" w:hAnsi="Cambria"/>
          <w:b w:val="false"/>
          <w:bCs w:val="false"/>
          <w:i/>
          <w:iCs/>
          <w:caps w:val="false"/>
          <w:color w:val="000000"/>
          <w:sz w:val="22"/>
          <w:szCs w:val="22"/>
        </w:rPr>
        <w:t xml:space="preserve">Design and specification of the A + B to C pore-scale sweep, and of the dataset it produces for the PRT3D surrogate</w:t>
      </w:r>
    </w:p>
    <w:p>
      <w:pPr>
        <w:pBdr>
          <w:bottom w:val="single" w:color="000000" w:sz="6" w:space="8"/>
        </w:pBdr>
        <w:spacing w:after="60"/>
        <w:jc w:val="center"/>
      </w:pPr>
      <w:r>
        <w:rPr>
          <w:rFonts w:ascii="Cambria" w:cs="Cambria" w:eastAsia="Cambria" w:hAnsi="Cambria"/>
          <w:b w:val="false"/>
          <w:bCs w:val="false"/>
          <w:i w:val="false"/>
          <w:iCs w:val="false"/>
          <w:caps w:val="false"/>
          <w:color w:val="000000"/>
          <w:sz w:val="18"/>
          <w:szCs w:val="18"/>
        </w:rPr>
        <w:t xml:space="preserve">270 runs   30 geometries   3 Peclet   3 Damkohler   5400 training pairs</w:t>
      </w:r>
    </w:p>
    <w:p>
      <w:pPr>
        <w:spacing w:after="200"/>
      </w:pPr>
    </w:p>
    <w:p>
      <w:pPr>
        <w:keepNext/>
        <w:spacing w:after="130" w:before="300"/>
        <w:jc w:val="left"/>
      </w:pPr>
      <w:r>
        <w:rPr>
          <w:rFonts w:ascii="Cambria" w:cs="Cambria" w:eastAsia="Cambria" w:hAnsi="Cambria"/>
          <w:b/>
          <w:bCs/>
          <w:i w:val="false"/>
          <w:iCs w:val="false"/>
          <w:caps w:val="false"/>
          <w:color w:val="000000"/>
          <w:sz w:val="26"/>
          <w:szCs w:val="26"/>
        </w:rPr>
        <w:t xml:space="preserve">1 The scenario</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Two dissolved species are fed into opposite ends of a rock sample and react where they meet. A enters from the left face, B from the right, and wherever both are present they combine into a product C that is carried away by the flow. Nothing starts inside the domain, so both fronts have to arrive before anything happens at all.</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The reaction is A + B to C at a rate R = k[A][B], second order and irreversible. That choice is the whole point of the experiment. A first-order sink R = -k[A] is separable: along a streamline the answer is an exponential, the second species is decoration, and a surrogate could fit it from the Peclet number alone without ever looking at the pore space. R = k[A][B] cannot be solved one species at a time. The rate is zero wherever either reactant is absent, however much of the other is present, so the reaction is confined to the overlap of the two fronts, and that overlap is a geometric object. Change the pore space and it moves.</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Counter-current feeding is forced by the no-initial-concentration requirement rather than chosen for its own sake. CompLaB3D offers Dirichlet boundaries on the two x-normal planes and nowhere else, so two species that must both enter through a boundary get one face each. It is also the better problem: fed together with the same diffusivity, A and B would satisfy identical equations with identical boundary conditions, B would carry no information, and the problem would collapse to one species reacting with itself.</w:t>
      </w:r>
    </w:p>
    <w:p>
      <w:pPr>
        <w:keepNext/>
        <w:spacing w:after="130" w:before="300"/>
        <w:jc w:val="left"/>
      </w:pPr>
      <w:r>
        <w:rPr>
          <w:rFonts w:ascii="Cambria" w:cs="Cambria" w:eastAsia="Cambria" w:hAnsi="Cambria"/>
          <w:b/>
          <w:bCs/>
          <w:i w:val="false"/>
          <w:iCs w:val="false"/>
          <w:caps w:val="false"/>
          <w:color w:val="000000"/>
          <w:sz w:val="26"/>
          <w:szCs w:val="26"/>
        </w:rPr>
        <w:t xml:space="preserve">2 The equations that are solved</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The flow is solved once per case on a D3Q19 lattice and then frozen. Each species is then advected and diffused on its own D3Q7 lattice, with the reaction entering as a source term:</w:t>
      </w:r>
    </w:p>
    <w:p>
      <w:pPr>
        <w:spacing w:after="120" w:before="120"/>
        <w:jc w:val="center"/>
      </w:pPr>
      <w:r>
        <w:rPr>
          <w:rFonts w:ascii="Cambria" w:cs="Cambria" w:eastAsia="Cambria" w:hAnsi="Cambria"/>
          <w:b w:val="false"/>
          <w:bCs w:val="false"/>
          <w:i/>
          <w:iCs/>
          <w:caps w:val="false"/>
          <w:color w:val="000000"/>
          <w:sz w:val="21"/>
          <w:szCs w:val="21"/>
        </w:rPr>
        <w:t xml:space="preserve">dA/dt + u . grad A = D lap A - k A B</w:t>
      </w:r>
    </w:p>
    <w:p>
      <w:pPr>
        <w:spacing w:after="120" w:before="120"/>
        <w:jc w:val="center"/>
      </w:pPr>
      <w:r>
        <w:rPr>
          <w:rFonts w:ascii="Cambria" w:cs="Cambria" w:eastAsia="Cambria" w:hAnsi="Cambria"/>
          <w:b w:val="false"/>
          <w:bCs w:val="false"/>
          <w:i/>
          <w:iCs/>
          <w:caps w:val="false"/>
          <w:color w:val="000000"/>
          <w:sz w:val="21"/>
          <w:szCs w:val="21"/>
        </w:rPr>
        <w:t xml:space="preserve">dB/dt + u . grad B = D lap B - k A B</w:t>
      </w:r>
    </w:p>
    <w:p>
      <w:pPr>
        <w:spacing w:after="120" w:before="120"/>
        <w:jc w:val="center"/>
      </w:pPr>
      <w:r>
        <w:rPr>
          <w:rFonts w:ascii="Cambria" w:cs="Cambria" w:eastAsia="Cambria" w:hAnsi="Cambria"/>
          <w:b w:val="false"/>
          <w:bCs w:val="false"/>
          <w:i/>
          <w:iCs/>
          <w:caps w:val="false"/>
          <w:color w:val="000000"/>
          <w:sz w:val="21"/>
          <w:szCs w:val="21"/>
        </w:rPr>
        <w:t xml:space="preserve">dC/dt + u . grad C = D lap C + k A B</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All three share one diffusivity, and that is deliberate. It makes the combinations A - B, A + C and B + C exactly reaction free, since the source terms cancel and the remaining operators are identical. Each of those three has a closed-form steady profile in a straight duct, which is what the analytic reference case checks the solver against. It also means no species outruns another, so the meeting surface is set by the flow and the pore structure alone rather than by a diffusivity contrast.</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The two dimensionless groups are built on the domain length L and the shared diffusivity. Peclet is set per case and the solver back-solves the pressure drop that achieves it. Damkohler is converted to a rate constant, which is what the kinetics header actually reads:</w:t>
      </w:r>
    </w:p>
    <w:p>
      <w:pPr>
        <w:spacing w:after="120" w:before="120"/>
        <w:jc w:val="center"/>
      </w:pPr>
      <w:r>
        <w:rPr>
          <w:rFonts w:ascii="Cambria" w:cs="Cambria" w:eastAsia="Cambria" w:hAnsi="Cambria"/>
          <w:b w:val="false"/>
          <w:bCs w:val="false"/>
          <w:i/>
          <w:iCs/>
          <w:caps w:val="false"/>
          <w:color w:val="000000"/>
          <w:sz w:val="21"/>
          <w:szCs w:val="21"/>
        </w:rPr>
        <w:t xml:space="preserve">Pe = u L / D        Da = k A0 L^2 / D        k = Da D / (A0 L^2)</w:t>
      </w:r>
    </w:p>
    <w:p>
      <w:pPr>
        <w:keepNext/>
        <w:spacing w:after="130" w:before="300"/>
        <w:jc w:val="left"/>
      </w:pPr>
      <w:r>
        <w:rPr>
          <w:rFonts w:ascii="Cambria" w:cs="Cambria" w:eastAsia="Cambria" w:hAnsi="Cambria"/>
          <w:b/>
          <w:bCs/>
          <w:i w:val="false"/>
          <w:iCs w:val="false"/>
          <w:caps w:val="false"/>
          <w:color w:val="000000"/>
          <w:sz w:val="26"/>
          <w:szCs w:val="26"/>
        </w:rPr>
        <w:t xml:space="preserve">3 Why the timestep is measured and not chosen</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The transport timestep is not an input. The solver sets a reference viscosity from the mean pore speed of the flow it has just solved, and derives the timestep from that. The mean pore speed does not exist until the flow is solved, and it depends on the pore space, so the timestep is different in every geometry and cannot be known in advance.</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The build step therefore runs the solver once per geometry and Peclet for a single step, reads the timestep it prints, and sizes every case from that. On campaign01 the estimate was 0.0115 s and the measured value came out between 0.0086 and 0.0090 s, about 24 per cent lower. Without the measurement every run would have stopped roughly 22 per cent short of its intended physical duration, and unequally between geometries, which would have made the normalised time axis mean different things in different runs.</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The same measured timestep is written into each case's environment, because the rate law uses it to cap how much of the scarcer reactant a single step may consume. A cap calibrated against a step the solver is not taking is not a cap.</w:t>
      </w:r>
    </w:p>
    <w:p>
      <w:pPr>
        <w:keepNext/>
        <w:spacing w:after="130" w:before="300"/>
        <w:jc w:val="left"/>
      </w:pPr>
      <w:r>
        <w:rPr>
          <w:rFonts w:ascii="Cambria" w:cs="Cambria" w:eastAsia="Cambria" w:hAnsi="Cambria"/>
          <w:b/>
          <w:bCs/>
          <w:i w:val="false"/>
          <w:iCs w:val="false"/>
          <w:caps w:val="false"/>
          <w:color w:val="000000"/>
          <w:sz w:val="26"/>
          <w:szCs w:val="26"/>
        </w:rPr>
        <w:t xml:space="preserve">4 Initial and boundary conditions</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Every species starts at zero everywhere. Both reactants enter through a boundary and nothing is seeded in the pore space, so all three fields rise from nothing and the early snapshots are genuinely empty.</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Every x-normal face is held at a fixed concentration. Read the two ends as well-mixed reservoirs with the rock between them: the left reservoir holds A at the feed value and no B and no C, the right holds B at the feed value and no A and no C. Those zeros are true by construction rather than imposed for convenience, since neither reservoir is stirring product back in. The four y and z faces are solid wall, written into the geometry file as bounce back, because those faces get no boundary condition from the input file at all and an open lattice there streams off the block and reads back an envelope nothing updates.</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A held plane cannot manufacture mass, and that is the reason this set was chosen over the conventional flow-through arrangement. Leaving each species open at the face it leaves by was tried on a full 60-run campaign. It ran to completion and passed every operational check, and the concentrations were still wrong: nothing in this problem can concentrate, yet at Pe = 2 every run exceeded its feed and the worst reached 67 times it, on the very plane where the flow enters. A zero-gradient condition at an inflow is ill-posed. The plane takes its value from the layer inside it, that value is advected inward, and the plane then re-reads it from the layer it just fed.</w:t>
      </w:r>
    </w:p>
    <w:p>
      <w:pPr>
        <w:keepNext/>
        <w:spacing w:after="130" w:before="300"/>
        <w:jc w:val="left"/>
      </w:pPr>
      <w:r>
        <w:rPr>
          <w:rFonts w:ascii="Cambria" w:cs="Cambria" w:eastAsia="Cambria" w:hAnsi="Cambria"/>
          <w:b/>
          <w:bCs/>
          <w:i w:val="false"/>
          <w:iCs w:val="false"/>
          <w:caps w:val="false"/>
          <w:color w:val="000000"/>
          <w:sz w:val="26"/>
          <w:szCs w:val="26"/>
        </w:rPr>
        <w:t xml:space="preserve">5 What the surrogate is being asked to learn</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Each run contributes 20 frames, and each frame is a full three-species concentration volume. The surrogate reads the pore space, the steady flow field, the two dimensionless groups and a normalised time, and predicts the three volumes. Geometry is held out by porosity, so a validation or test geometry is a pore space at a porosity the surrogate has never been trained on, not a different packing of one it has.</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The honest question is interpolation, and the split is arranged to ask exactly that: every held-out porosity level lies between two training levels. That is why the geometry family has ten levels rather than five, and three packings per level rather than two. With two packings and one held-out level there is no way to tell a real generalisation gap from that one level happening to be easy.</w:t>
      </w:r>
    </w:p>
    <w:p>
      <w:pPr>
        <w:keepNext/>
        <w:spacing w:after="130" w:before="300"/>
        <w:jc w:val="left"/>
      </w:pPr>
      <w:r>
        <w:rPr>
          <w:rFonts w:ascii="Cambria" w:cs="Cambria" w:eastAsia="Cambria" w:hAnsi="Cambria"/>
          <w:b/>
          <w:bCs/>
          <w:i w:val="false"/>
          <w:iCs w:val="false"/>
          <w:caps w:val="false"/>
          <w:color w:val="000000"/>
          <w:sz w:val="26"/>
          <w:szCs w:val="26"/>
        </w:rPr>
        <w:t xml:space="preserve">6 Tables</w:t>
      </w: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Every number below is read from the campaign that was built and the geometry index that was written, not retyped from a plan.</w:t>
      </w:r>
    </w:p>
    <w:p>
      <w:pPr>
        <w:keepNext/>
        <w:spacing w:after="90" w:before="260" w:line="240"/>
        <w:jc w:val="both"/>
      </w:pPr>
      <w:r>
        <w:rPr>
          <w:rFonts w:ascii="Cambria" w:cs="Cambria" w:eastAsia="Cambria" w:hAnsi="Cambria"/>
          <w:b/>
          <w:bCs/>
          <w:i w:val="false"/>
          <w:iCs w:val="false"/>
          <w:caps w:val="false"/>
          <w:color w:val="000000"/>
          <w:sz w:val="17"/>
          <w:szCs w:val="17"/>
        </w:rPr>
        <w:t xml:space="preserve">Table 1: </w:t>
      </w:r>
      <w:r>
        <w:rPr>
          <w:rFonts w:ascii="Cambria" w:cs="Cambria" w:eastAsia="Cambria" w:hAnsi="Cambria"/>
          <w:b w:val="false"/>
          <w:bCs w:val="false"/>
          <w:i/>
          <w:iCs/>
          <w:caps w:val="false"/>
          <w:color w:val="000000"/>
          <w:sz w:val="17"/>
          <w:szCs w:val="17"/>
        </w:rPr>
        <w:t xml:space="preserve">The domain and its discretisation. Every value is fixed across all 270 runs.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2100"/>
        <w:gridCol w:w="3460"/>
      </w:tblGrid>
      <w:tr>
        <w:trPr>
          <w:tblHeader/>
        </w:trPr>
        <w:tc>
          <w:tcPr>
            <w:tcW w:type="dxa" w:w="25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Quantity</w:t>
            </w:r>
          </w:p>
        </w:tc>
        <w:tc>
          <w:tcPr>
            <w:tcW w:type="dxa" w:w="13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Symbol</w:t>
            </w:r>
          </w:p>
        </w:tc>
        <w:tc>
          <w:tcPr>
            <w:tcW w:type="dxa" w:w="21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Value</w:t>
            </w:r>
          </w:p>
        </w:tc>
        <w:tc>
          <w:tcPr>
            <w:tcW w:type="dxa" w:w="34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Note</w:t>
            </w:r>
          </w:p>
        </w:tc>
      </w:tr>
      <w:tr>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grid</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nx, ny, nz</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32 x 32 x 32 voxels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&lt;nx&gt;32&lt;/nx&gt; is the slice count in the file; the solver adds two ghost columns</w:t>
            </w:r>
          </w:p>
        </w:tc>
      </w:tr>
      <w:tr>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voxel size</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dx</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10 micrometres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uniform and isotropic</w:t>
            </w:r>
          </w:p>
        </w:tc>
      </w:tr>
      <w:tr>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domain length</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L</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320 micrometres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3.20e-04 m, the length the Damkohler and Peclet numbers are built on</w:t>
            </w:r>
          </w:p>
        </w:tc>
      </w:tr>
      <w:tr>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flow lattice</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D3Q19, tau = 0.8</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solved once per case, then frozen</w:t>
            </w:r>
          </w:p>
        </w:tc>
      </w:tr>
      <w:tr>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transport lattice</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D3Q7, one per species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three lattices, advected by the frozen flow field</w:t>
            </w:r>
          </w:p>
        </w:tc>
      </w:tr>
      <w:tr>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diffusivity</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1.0e-09 m2/s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THE SAME for A, B and C, which makes three field combinations exactly reaction free</w:t>
            </w:r>
          </w:p>
        </w:tc>
      </w:tr>
      <w:tr>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pressure drop seed</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delta P</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1e-05</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a seed only; the solver back-solves the real one to hit the target Peclet</w:t>
            </w:r>
          </w:p>
        </w:tc>
      </w:tr>
      <w:tr>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flow iteration cap</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60000</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the flow converges well inside this</w:t>
            </w:r>
          </w:p>
        </w:tc>
      </w:tr>
      <w:tr>
        <w:tc>
          <w:tcPr>
            <w:tcW w:type="dxa" w:w="2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transport timestep</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dt</w:t>
            </w:r>
          </w:p>
        </w:tc>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0.0115 s (estimated)</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NOT settable: derived from the solved flow field, so measured per case. This campaign was built WITHOUT --complab, so this is the estimator's value and not the solver's.</w:t>
            </w:r>
          </w:p>
        </w:tc>
      </w:tr>
      <w:tr>
        <w:tc>
          <w:tcPr>
            <w:tcW w:type="dxa" w:w="25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confining walls</w:t>
            </w:r>
          </w:p>
        </w:tc>
        <w:tc>
          <w:tcPr>
            <w:tcW w:type="dxa" w:w="13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
            </w:r>
          </w:p>
        </w:tc>
        <w:tc>
          <w:tcPr>
            <w:tcW w:type="dxa" w:w="21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bounce back on y = 0, y = ny-1, z = 0, z = nz-1</w:t>
            </w:r>
          </w:p>
        </w:tc>
        <w:tc>
          <w:tcPr>
            <w:tcW w:type="dxa" w:w="34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drawn into the geometry file, because those four faces get no boundary condition</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2: </w:t>
      </w:r>
      <w:r>
        <w:rPr>
          <w:rFonts w:ascii="Cambria" w:cs="Cambria" w:eastAsia="Cambria" w:hAnsi="Cambria"/>
          <w:b w:val="false"/>
          <w:bCs w:val="false"/>
          <w:i/>
          <w:iCs/>
          <w:caps w:val="false"/>
          <w:color w:val="000000"/>
          <w:sz w:val="17"/>
          <w:szCs w:val="17"/>
        </w:rPr>
        <w:t xml:space="preserve">The three species, their initial state and where each one enters the domain. Nothing starts in the domain: every field rises from zero.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500"/>
        <w:gridCol w:w="1700"/>
        <w:gridCol w:w="1500"/>
        <w:gridCol w:w="1800"/>
        <w:gridCol w:w="1760"/>
      </w:tblGrid>
      <w:tr>
        <w:trPr>
          <w:tblHeader/>
        </w:trPr>
        <w:tc>
          <w:tcPr>
            <w:tcW w:type="dxa" w:w="11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Species</w:t>
            </w:r>
          </w:p>
        </w:tc>
        <w:tc>
          <w:tcPr>
            <w:tcW w:type="dxa" w:w="15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Role</w:t>
            </w:r>
          </w:p>
        </w:tc>
        <w:tc>
          <w:tcPr>
            <w:tcW w:type="dxa" w:w="17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Initial C</w:t>
            </w:r>
          </w:p>
        </w:tc>
        <w:tc>
          <w:tcPr>
            <w:tcW w:type="dxa" w:w="15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D (m2/s)</w:t>
            </w:r>
          </w:p>
        </w:tc>
        <w:tc>
          <w:tcPr>
            <w:tcW w:type="dxa" w:w="18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Fed at</w:t>
            </w:r>
          </w:p>
        </w:tc>
        <w:tc>
          <w:tcPr>
            <w:tcW w:type="dxa" w:w="17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Feed value</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A</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reactant</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0.0 mol/L</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1e-09</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x = 0</w:t>
            </w:r>
          </w:p>
        </w:tc>
        <w:tc>
          <w:tcPr>
            <w:tcW w:type="dxa" w:w="17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A0 = 1 mol/L</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B</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reactant</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0.0 mol/L</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1e-09</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x = nx-1</w:t>
            </w:r>
          </w:p>
        </w:tc>
        <w:tc>
          <w:tcPr>
            <w:tcW w:type="dxa" w:w="17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B0 = 1 mol/L</w:t>
            </w:r>
          </w:p>
        </w:tc>
      </w:tr>
      <w:tr>
        <w:tc>
          <w:tcPr>
            <w:tcW w:type="dxa" w:w="11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C</w:t>
            </w:r>
          </w:p>
        </w:tc>
        <w:tc>
          <w:tcPr>
            <w:tcW w:type="dxa" w:w="15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product</w:t>
            </w:r>
          </w:p>
        </w:tc>
        <w:tc>
          <w:tcPr>
            <w:tcW w:type="dxa" w:w="17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0.0 mol/L</w:t>
            </w:r>
          </w:p>
        </w:tc>
        <w:tc>
          <w:tcPr>
            <w:tcW w:type="dxa" w:w="15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1e-09</w:t>
            </w:r>
          </w:p>
        </w:tc>
        <w:tc>
          <w:tcPr>
            <w:tcW w:type="dxa" w:w="18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never fed</w:t>
            </w:r>
          </w:p>
        </w:tc>
        <w:tc>
          <w:tcPr>
            <w:tcW w:type="dxa" w:w="17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produced only by the reaction</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3: </w:t>
      </w:r>
      <w:r>
        <w:rPr>
          <w:rFonts w:ascii="Cambria" w:cs="Cambria" w:eastAsia="Cambria" w:hAnsi="Cambria"/>
          <w:b w:val="false"/>
          <w:bCs w:val="false"/>
          <w:i/>
          <w:iCs/>
          <w:caps w:val="false"/>
          <w:color w:val="000000"/>
          <w:sz w:val="17"/>
          <w:szCs w:val="17"/>
        </w:rPr>
        <w:t xml:space="preserve">Boundary conditions. Every x-normal face is Dirichlet: read the two ends as well-mixed reservoirs with the rock between them. A enters from the left, B from the right, so the two fronts travel toward each other and the reaction lives where they overlap.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2320"/>
        <w:gridCol w:w="2320"/>
        <w:gridCol w:w="2320"/>
      </w:tblGrid>
      <w:tr>
        <w:trPr>
          <w:tblHeader/>
        </w:trPr>
        <w:tc>
          <w:tcPr>
            <w:tcW w:type="dxa" w:w="24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Face</w:t>
            </w:r>
          </w:p>
        </w:tc>
        <w:tc>
          <w:tcPr>
            <w:tcW w:type="dxa" w:w="232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A</w:t>
            </w:r>
          </w:p>
        </w:tc>
        <w:tc>
          <w:tcPr>
            <w:tcW w:type="dxa" w:w="232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B</w:t>
            </w:r>
          </w:p>
        </w:tc>
        <w:tc>
          <w:tcPr>
            <w:tcW w:type="dxa" w:w="232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C</w:t>
            </w:r>
          </w:p>
        </w:tc>
      </w:tr>
      <w:t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x = 0  (A reservoir)</w:t>
            </w:r>
          </w:p>
        </w:tc>
        <w:tc>
          <w:tcPr>
            <w:tcW w:type="dxa" w:w="232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Dirichlet 1.0  FEED</w:t>
            </w:r>
          </w:p>
        </w:tc>
        <w:tc>
          <w:tcPr>
            <w:tcW w:type="dxa" w:w="232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Dirichlet 0.0</w:t>
            </w:r>
          </w:p>
        </w:tc>
        <w:tc>
          <w:tcPr>
            <w:tcW w:type="dxa" w:w="232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Dirichlet 0.0</w:t>
            </w:r>
          </w:p>
        </w:tc>
      </w:tr>
      <w:t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x = nx-1  (B reservoir)</w:t>
            </w:r>
          </w:p>
        </w:tc>
        <w:tc>
          <w:tcPr>
            <w:tcW w:type="dxa" w:w="232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Dirichlet 0.0</w:t>
            </w:r>
          </w:p>
        </w:tc>
        <w:tc>
          <w:tcPr>
            <w:tcW w:type="dxa" w:w="232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Dirichlet 1.0  FEED</w:t>
            </w:r>
          </w:p>
        </w:tc>
        <w:tc>
          <w:tcPr>
            <w:tcW w:type="dxa" w:w="232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Dirichlet 0.0</w:t>
            </w:r>
          </w:p>
        </w:tc>
      </w:tr>
      <w:t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y = 0, y = ny-1</w:t>
            </w:r>
          </w:p>
        </w:tc>
        <w:tc>
          <w:tcPr>
            <w:tcW w:type="dxa" w:w="232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wall (bounce back)</w:t>
            </w:r>
          </w:p>
        </w:tc>
        <w:tc>
          <w:tcPr>
            <w:tcW w:type="dxa" w:w="232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wall (bounce back)</w:t>
            </w:r>
          </w:p>
        </w:tc>
        <w:tc>
          <w:tcPr>
            <w:tcW w:type="dxa" w:w="232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wall (bounce back)</w:t>
            </w:r>
          </w:p>
        </w:tc>
      </w:tr>
      <w:tr>
        <w:tc>
          <w:tcPr>
            <w:tcW w:type="dxa" w:w="24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z = 0, z = nz-1</w:t>
            </w:r>
          </w:p>
        </w:tc>
        <w:tc>
          <w:tcPr>
            <w:tcW w:type="dxa" w:w="232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wall (bounce back)</w:t>
            </w:r>
          </w:p>
        </w:tc>
        <w:tc>
          <w:tcPr>
            <w:tcW w:type="dxa" w:w="232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wall (bounce back)</w:t>
            </w:r>
          </w:p>
        </w:tc>
        <w:tc>
          <w:tcPr>
            <w:tcW w:type="dxa" w:w="232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wall (bounce back)</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4: </w:t>
      </w:r>
      <w:r>
        <w:rPr>
          <w:rFonts w:ascii="Cambria" w:cs="Cambria" w:eastAsia="Cambria" w:hAnsi="Cambria"/>
          <w:b w:val="false"/>
          <w:bCs w:val="false"/>
          <w:i/>
          <w:iCs/>
          <w:caps w:val="false"/>
          <w:color w:val="000000"/>
          <w:sz w:val="17"/>
          <w:szCs w:val="17"/>
        </w:rPr>
        <w:t xml:space="preserve">The three Damkohler numbers and the rate constant each one sets. k is written into every case's env.sh and read by defineAbioticKinetics.hh, which echoes it back on its first call.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00"/>
        <w:gridCol w:w="2300"/>
        <w:gridCol w:w="2300"/>
        <w:gridCol w:w="3560"/>
      </w:tblGrid>
      <w:tr>
        <w:trPr>
          <w:tblHeader/>
        </w:trPr>
        <w:tc>
          <w:tcPr>
            <w:tcW w:type="dxa" w:w="12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Da</w:t>
            </w:r>
          </w:p>
        </w:tc>
        <w:tc>
          <w:tcPr>
            <w:tcW w:type="dxa" w:w="23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k  (L mol-1 s-1)</w:t>
            </w:r>
          </w:p>
        </w:tc>
        <w:tc>
          <w:tcPr>
            <w:tcW w:type="dxa" w:w="23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Regime</w:t>
            </w:r>
          </w:p>
        </w:tc>
        <w:tc>
          <w:tcPr>
            <w:tcW w:type="dxa" w:w="35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What the field looks like</w:t>
            </w:r>
          </w:p>
        </w:tc>
      </w:tr>
      <w:tr>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0.1</w:t>
            </w:r>
          </w:p>
        </w:tc>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9.7656e-04</w:t>
            </w:r>
          </w:p>
        </w:tc>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transport limited</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a broad overlap zone; A and B interpenetrate before much is consumed</w:t>
            </w:r>
          </w:p>
        </w:tc>
      </w:tr>
      <w:tr>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w:t>
            </w:r>
          </w:p>
        </w:tc>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9.7656e-03</w:t>
            </w:r>
          </w:p>
        </w:tc>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balanced</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reaction and transport times comparable; the least predictable of the set</w:t>
            </w:r>
          </w:p>
        </w:tc>
      </w:tr>
      <w:tr>
        <w:tc>
          <w:tcPr>
            <w:tcW w:type="dxa" w:w="12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10</w:t>
            </w:r>
          </w:p>
        </w:tc>
        <w:tc>
          <w:tcPr>
            <w:tcW w:type="dxa" w:w="23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9.7656e-02</w:t>
            </w:r>
          </w:p>
        </w:tc>
        <w:tc>
          <w:tcPr>
            <w:tcW w:type="dxa" w:w="23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reaction limited</w:t>
            </w:r>
          </w:p>
        </w:tc>
        <w:tc>
          <w:tcPr>
            <w:tcW w:type="dxa" w:w="35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a thin front; whatever meets reacts at once and C peaks in a narrow band</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5: </w:t>
      </w:r>
      <w:r>
        <w:rPr>
          <w:rFonts w:ascii="Cambria" w:cs="Cambria" w:eastAsia="Cambria" w:hAnsi="Cambria"/>
          <w:b w:val="false"/>
          <w:bCs w:val="false"/>
          <w:i/>
          <w:iCs/>
          <w:caps w:val="false"/>
          <w:color w:val="000000"/>
          <w:sz w:val="17"/>
          <w:szCs w:val="17"/>
        </w:rPr>
        <w:t xml:space="preserve">The three Peclet numbers. The front position is where two conservative counter-fed tracers would cross, as a fraction of L, at the interstitial speed. The spread down a column is the Peclet effect; the spread across each row is the porosity effect at fixed Peclet, and it is largest at Pe = 2, which is where the held-out porosities are really tested.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1200"/>
        <w:gridCol w:w="1200"/>
        <w:gridCol w:w="1300"/>
        <w:gridCol w:w="1600"/>
        <w:gridCol w:w="1600"/>
        <w:gridCol w:w="1460"/>
      </w:tblGrid>
      <w:tr>
        <w:trPr>
          <w:tblHeader/>
        </w:trPr>
        <w:tc>
          <w:tcPr>
            <w:tcW w:type="dxa" w:w="10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Pe</w:t>
            </w:r>
          </w:p>
        </w:tc>
        <w:tc>
          <w:tcPr>
            <w:tcW w:type="dxa" w:w="12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t_end (s)</w:t>
            </w:r>
          </w:p>
        </w:tc>
        <w:tc>
          <w:tcPr>
            <w:tcW w:type="dxa" w:w="12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Steps</w:t>
            </w:r>
          </w:p>
        </w:tc>
        <w:tc>
          <w:tcPr>
            <w:tcW w:type="dxa" w:w="13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VTI every</w:t>
            </w:r>
          </w:p>
        </w:tc>
        <w:tc>
          <w:tcPr>
            <w:tcW w:type="dxa" w:w="16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Front at phi 0.32</w:t>
            </w:r>
          </w:p>
        </w:tc>
        <w:tc>
          <w:tcPr>
            <w:tcW w:type="dxa" w:w="16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Front at phi 0.59</w:t>
            </w:r>
          </w:p>
        </w:tc>
        <w:tc>
          <w:tcPr>
            <w:tcW w:type="dxa" w:w="14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B reach (voxels)</w:t>
            </w:r>
          </w:p>
        </w:tc>
      </w:tr>
      <w:tr>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0.02</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125.6</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10921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546</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0.508</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0.504</w:t>
            </w:r>
          </w:p>
        </w:tc>
        <w:tc>
          <w:tcPr>
            <w:tcW w:type="dxa" w:w="1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513</w:t>
            </w:r>
          </w:p>
        </w:tc>
      </w:tr>
      <w:tr>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0.2</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106.7</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9281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464</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0.577</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0.542</w:t>
            </w:r>
          </w:p>
        </w:tc>
        <w:tc>
          <w:tcPr>
            <w:tcW w:type="dxa" w:w="14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51</w:t>
            </w:r>
          </w:p>
        </w:tc>
      </w:tr>
      <w:tr>
        <w:tc>
          <w:tcPr>
            <w:tcW w:type="dxa" w:w="10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w:t>
            </w:r>
          </w:p>
        </w:tc>
        <w:tc>
          <w:tcPr>
            <w:tcW w:type="dxa" w:w="12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42.8</w:t>
            </w:r>
          </w:p>
        </w:tc>
        <w:tc>
          <w:tcPr>
            <w:tcW w:type="dxa" w:w="12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3721</w:t>
            </w:r>
          </w:p>
        </w:tc>
        <w:tc>
          <w:tcPr>
            <w:tcW w:type="dxa" w:w="13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186</w:t>
            </w:r>
          </w:p>
        </w:tc>
        <w:tc>
          <w:tcPr>
            <w:tcW w:type="dxa" w:w="16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0.889</w:t>
            </w:r>
          </w:p>
        </w:tc>
        <w:tc>
          <w:tcPr>
            <w:tcW w:type="dxa" w:w="16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0.805</w:t>
            </w:r>
          </w:p>
        </w:tc>
        <w:tc>
          <w:tcPr>
            <w:tcW w:type="dxa" w:w="14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5.1</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6: </w:t>
      </w:r>
      <w:r>
        <w:rPr>
          <w:rFonts w:ascii="Cambria" w:cs="Cambria" w:eastAsia="Cambria" w:hAnsi="Cambria"/>
          <w:b w:val="false"/>
          <w:bCs w:val="false"/>
          <w:i/>
          <w:iCs/>
          <w:caps w:val="false"/>
          <w:color w:val="000000"/>
          <w:sz w:val="17"/>
          <w:szCs w:val="17"/>
        </w:rPr>
        <w:t xml:space="preserve">The geometry family: 10 porosity levels, 3 independent sphere packings each, 30 geometries. The split is held out BY POROSITY, so no level appears in two splits and a held-out geometry is never merely a re-packing of one the surrogate has already seen.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100"/>
        <w:gridCol w:w="1700"/>
        <w:gridCol w:w="2400"/>
        <w:gridCol w:w="1900"/>
        <w:gridCol w:w="1160"/>
      </w:tblGrid>
      <w:tr>
        <w:trPr>
          <w:tblHeader/>
        </w:trPr>
        <w:tc>
          <w:tcPr>
            <w:tcW w:type="dxa" w:w="11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Target phi</w:t>
            </w:r>
          </w:p>
        </w:tc>
        <w:tc>
          <w:tcPr>
            <w:tcW w:type="dxa" w:w="11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Split</w:t>
            </w:r>
          </w:p>
        </w:tc>
        <w:tc>
          <w:tcPr>
            <w:tcW w:type="dxa" w:w="17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gids</w:t>
            </w:r>
          </w:p>
        </w:tc>
        <w:tc>
          <w:tcPr>
            <w:tcW w:type="dxa" w:w="24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Achieved phi</w:t>
            </w:r>
          </w:p>
        </w:tc>
        <w:tc>
          <w:tcPr>
            <w:tcW w:type="dxa" w:w="19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Tortuosity</w:t>
            </w:r>
          </w:p>
        </w:tc>
        <w:tc>
          <w:tcPr>
            <w:tcW w:type="dxa" w:w="11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Grains</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0.32</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train</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0, 1, 2</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0.3225, 0.3227, 0.3208</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1.406, 1.376, 1.366</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448, 496, 489</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0.35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val</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3, 4, 5</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0.3523, 0.3497, 0.3516</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1.416, 1.433, 1.325</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418, 417, 434</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0.38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train</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6, 7, 8</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0.3821, 0.3785, 0.3790</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1.325, 1.298, 1.277</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400, 385, 389</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0.41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test</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9, 10, 11</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0.4120, 0.4105, 0.4110</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1.336, 1.259, 1.236</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357, 376, 368</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0.44</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train</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12, 13, 14</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0.4416, 0.4395, 0.4415</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1.300, 1.264, 1.322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311, 341, 323</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0.47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train</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15, 16, 17</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0.4718, 0.4685, 0.4685</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1.273, 1.245, 1.215</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312, 320, 304</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val</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18, 19, 20</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0.5001, 0.4992, 0.5039</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1.206, 1.244, 1.234</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288, 279, 270</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0.53</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train</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21, 22, 23</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0.5319, 0.5331, 0.5313</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1.188, 1.202, 1.181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244, 260, 278</w:t>
            </w:r>
          </w:p>
        </w:tc>
      </w:tr>
      <w:t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test</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24, 25, 26</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0.5609, 0.5591, 0.5604</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1.155, 1.161, 1.157</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251, 244, 236</w:t>
            </w:r>
          </w:p>
        </w:tc>
      </w:tr>
      <w:tr>
        <w:tc>
          <w:tcPr>
            <w:tcW w:type="dxa" w:w="11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0.59</w:t>
            </w:r>
          </w:p>
        </w:tc>
        <w:tc>
          <w:tcPr>
            <w:tcW w:type="dxa" w:w="11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train</w:t>
            </w:r>
          </w:p>
        </w:tc>
        <w:tc>
          <w:tcPr>
            <w:tcW w:type="dxa" w:w="17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27, 28, 29</w:t>
            </w:r>
          </w:p>
        </w:tc>
        <w:tc>
          <w:tcPr>
            <w:tcW w:type="dxa" w:w="24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0.5900, 0.5917, 0.5909</w:t>
            </w:r>
          </w:p>
        </w:tc>
        <w:tc>
          <w:tcPr>
            <w:tcW w:type="dxa" w:w="19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1.166, 1.140, 1.159</w:t>
            </w:r>
          </w:p>
        </w:tc>
        <w:tc>
          <w:tcPr>
            <w:tcW w:type="dxa" w:w="11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220, 219, 227</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7: </w:t>
      </w:r>
      <w:r>
        <w:rPr>
          <w:rFonts w:ascii="Cambria" w:cs="Cambria" w:eastAsia="Cambria" w:hAnsi="Cambria"/>
          <w:b w:val="false"/>
          <w:bCs w:val="false"/>
          <w:i/>
          <w:iCs/>
          <w:caps w:val="false"/>
          <w:color w:val="000000"/>
          <w:sz w:val="17"/>
          <w:szCs w:val="17"/>
        </w:rPr>
        <w:t xml:space="preserve">Every geometry, one row each. Porosity is over the duct interior; the block porosity counts the confining wall too, which is why it is lower. gid 900 is the straight duct: it is the analytic reference case, not training data, and it is the only geometry whose answer can be written down in closed form.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1400"/>
        <w:gridCol w:w="1000"/>
        <w:gridCol w:w="1100"/>
        <w:gridCol w:w="1100"/>
        <w:gridCol w:w="1100"/>
        <w:gridCol w:w="900"/>
        <w:gridCol w:w="900"/>
        <w:gridCol w:w="1160"/>
      </w:tblGrid>
      <w:tr>
        <w:trPr>
          <w:tblHeader/>
        </w:trPr>
        <w:tc>
          <w:tcPr>
            <w:tcW w:type="dxa" w:w="7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gid</w:t>
            </w:r>
          </w:p>
        </w:tc>
        <w:tc>
          <w:tcPr>
            <w:tcW w:type="dxa" w:w="14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Kind</w:t>
            </w:r>
          </w:p>
        </w:tc>
        <w:tc>
          <w:tcPr>
            <w:tcW w:type="dxa" w:w="10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Target</w:t>
            </w:r>
          </w:p>
        </w:tc>
        <w:tc>
          <w:tcPr>
            <w:tcW w:type="dxa" w:w="11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phi</w:t>
            </w:r>
          </w:p>
        </w:tc>
        <w:tc>
          <w:tcPr>
            <w:tcW w:type="dxa" w:w="11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phi block</w:t>
            </w:r>
          </w:p>
        </w:tc>
        <w:tc>
          <w:tcPr>
            <w:tcW w:type="dxa" w:w="11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Tortuosity</w:t>
            </w:r>
          </w:p>
        </w:tc>
        <w:tc>
          <w:tcPr>
            <w:tcW w:type="dxa" w:w="9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Grains</w:t>
            </w:r>
          </w:p>
        </w:tc>
        <w:tc>
          <w:tcPr>
            <w:tcW w:type="dxa" w:w="9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Seed</w:t>
            </w:r>
          </w:p>
        </w:tc>
        <w:tc>
          <w:tcPr>
            <w:tcW w:type="dxa" w:w="11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Split</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0.2835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1.406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448</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0.2836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1.376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496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0.3208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0.2820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1.366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489</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0.3523</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0.3096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1.416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418</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val</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0.3497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0.3074</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1.433</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417</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val</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5</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0.3516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0.3090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1.325</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434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val</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6</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0.3821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0.3358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1.325</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400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7</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0.3785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0.3327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1.298</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385</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8</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0.3790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0.3331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1.277</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389</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9</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0.4120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0.3621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1.336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357</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test</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0.4105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0.3607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1.259</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376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test</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0.4110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0.3612</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1.236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368</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test</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0.44</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0.4416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0.3882</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1.300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311</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1400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0.44</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0.4395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0.3863</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1.264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341</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1401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14</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0.44</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0.4415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0.3881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1.322</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323</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1402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15</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0.4718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0.4147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1.273</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312</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1500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16</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0.4685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0.4118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1.245</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320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1501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17</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0.4685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0.4118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1.215</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304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1502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18</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0.5001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0.4396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1.206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288</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1600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val</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19</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0.4992</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0.4388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1.244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279</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1601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val</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0.5039</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0.4428</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1.234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270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1602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val</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21</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0.53</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0.5319</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0.4675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1.188</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244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1700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22</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0.53</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0.5331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0.4685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1.202</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260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1701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23</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0.53</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0.5313</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0.4670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1.181</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278</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1702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24</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0.5609</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0.4930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1.155</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251</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1800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test</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25</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0.5591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0.4914</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1.161</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244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1801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test</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26</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0.5604</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0.4925</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1.157</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236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1802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test</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27</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0.59</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0.5900</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0.5186</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1.166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220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1900</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28</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0.59</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0.5917</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0.5201</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1.140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219</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1901</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29</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spheres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0.59</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0.5909</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0.5193</w:t>
            </w:r>
          </w:p>
        </w:tc>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1.159</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227</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1902</w:t>
            </w:r>
          </w:p>
        </w:tc>
        <w:tc>
          <w:tcPr>
            <w:tcW w:type="dxa" w:w="11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7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900</w:t>
            </w:r>
          </w:p>
        </w:tc>
        <w:tc>
          <w:tcPr>
            <w:tcW w:type="dxa" w:w="14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straight duct</w:t>
            </w:r>
          </w:p>
        </w:tc>
        <w:tc>
          <w:tcPr>
            <w:tcW w:type="dxa" w:w="10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w:t>
            </w:r>
          </w:p>
        </w:tc>
        <w:tc>
          <w:tcPr>
            <w:tcW w:type="dxa" w:w="11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1.0000</w:t>
            </w:r>
          </w:p>
        </w:tc>
        <w:tc>
          <w:tcPr>
            <w:tcW w:type="dxa" w:w="11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0.8789</w:t>
            </w:r>
          </w:p>
        </w:tc>
        <w:tc>
          <w:tcPr>
            <w:tcW w:type="dxa" w:w="11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1.000</w:t>
            </w:r>
          </w:p>
        </w:tc>
        <w:tc>
          <w:tcPr>
            <w:tcW w:type="dxa" w:w="9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9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1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analytic</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8: </w:t>
      </w:r>
      <w:r>
        <w:rPr>
          <w:rFonts w:ascii="Cambria" w:cs="Cambria" w:eastAsia="Cambria" w:hAnsi="Cambria"/>
          <w:b w:val="false"/>
          <w:bCs w:val="false"/>
          <w:i/>
          <w:iCs/>
          <w:caps w:val="false"/>
          <w:color w:val="000000"/>
          <w:sz w:val="17"/>
          <w:szCs w:val="17"/>
        </w:rPr>
        <w:t xml:space="preserve">The split. Both validation levels and both test levels sit strictly inside the training range [0.32, 0.59], so this asks the surrogate for interpolation in porosity. Extrapolating below 0.32 or above 0.59 is a different experiment and deserves its own geometries.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2600"/>
        <w:gridCol w:w="1400"/>
        <w:gridCol w:w="1300"/>
        <w:gridCol w:w="1400"/>
        <w:gridCol w:w="960"/>
      </w:tblGrid>
      <w:tr>
        <w:trPr>
          <w:tblHeader/>
        </w:trPr>
        <w:tc>
          <w:tcPr>
            <w:tcW w:type="dxa" w:w="17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Split</w:t>
            </w:r>
          </w:p>
        </w:tc>
        <w:tc>
          <w:tcPr>
            <w:tcW w:type="dxa" w:w="26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Porosity levels</w:t>
            </w:r>
          </w:p>
        </w:tc>
        <w:tc>
          <w:tcPr>
            <w:tcW w:type="dxa" w:w="14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Geometries</w:t>
            </w:r>
          </w:p>
        </w:tc>
        <w:tc>
          <w:tcPr>
            <w:tcW w:type="dxa" w:w="13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Runs</w:t>
            </w:r>
          </w:p>
        </w:tc>
        <w:tc>
          <w:tcPr>
            <w:tcW w:type="dxa" w:w="14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Training pairs</w:t>
            </w:r>
          </w:p>
        </w:tc>
        <w:tc>
          <w:tcPr>
            <w:tcW w:type="dxa" w:w="9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Share</w:t>
            </w:r>
          </w:p>
        </w:tc>
      </w:tr>
      <w:t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train</w:t>
            </w:r>
          </w:p>
        </w:tc>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0.32, 0.38, 0.44, 0.47, 0.53, 0.59</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18</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162</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3240</w:t>
            </w:r>
          </w:p>
        </w:tc>
        <w:tc>
          <w:tcPr>
            <w:tcW w:type="dxa" w:w="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60%</w:t>
            </w:r>
          </w:p>
        </w:tc>
      </w:tr>
      <w:t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validation</w:t>
            </w:r>
          </w:p>
        </w:tc>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0.35, 0.50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6</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54</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1080</w:t>
            </w:r>
          </w:p>
        </w:tc>
        <w:tc>
          <w:tcPr>
            <w:tcW w:type="dxa" w:w="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20%</w:t>
            </w:r>
          </w:p>
        </w:tc>
      </w:tr>
      <w:tr>
        <w:tc>
          <w:tcPr>
            <w:tcW w:type="dxa" w:w="17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test</w:t>
            </w:r>
          </w:p>
        </w:tc>
        <w:tc>
          <w:tcPr>
            <w:tcW w:type="dxa" w:w="26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0.41, 0.56</w:t>
            </w:r>
          </w:p>
        </w:tc>
        <w:tc>
          <w:tcPr>
            <w:tcW w:type="dxa" w:w="14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6</w:t>
            </w:r>
          </w:p>
        </w:tc>
        <w:tc>
          <w:tcPr>
            <w:tcW w:type="dxa" w:w="13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54</w:t>
            </w:r>
          </w:p>
        </w:tc>
        <w:tc>
          <w:tcPr>
            <w:tcW w:type="dxa" w:w="14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1080</w:t>
            </w:r>
          </w:p>
        </w:tc>
        <w:tc>
          <w:tcPr>
            <w:tcW w:type="dxa" w:w="9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20%</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9: </w:t>
      </w:r>
      <w:r>
        <w:rPr>
          <w:rFonts w:ascii="Cambria" w:cs="Cambria" w:eastAsia="Cambria" w:hAnsi="Cambria"/>
          <w:b w:val="false"/>
          <w:bCs w:val="false"/>
          <w:i/>
          <w:iCs/>
          <w:caps w:val="false"/>
          <w:color w:val="000000"/>
          <w:sz w:val="17"/>
          <w:szCs w:val="17"/>
        </w:rPr>
        <w:t xml:space="preserve">How a run id decodes. run id = 9 x gid + 3 x (Peclet index) + (Damkohler index), with both indices running over the values in tables 4 and 5 in the order listed. The first nine rows are the complete operating grid of one geometry; runs.csv in the campaign directory holds all 270.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0"/>
        <w:gridCol w:w="900"/>
        <w:gridCol w:w="1400"/>
        <w:gridCol w:w="1300"/>
        <w:gridCol w:w="1300"/>
        <w:gridCol w:w="2860"/>
      </w:tblGrid>
      <w:tr>
        <w:trPr>
          <w:tblHeader/>
        </w:trPr>
        <w:tc>
          <w:tcPr>
            <w:tcW w:type="dxa" w:w="16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Case</w:t>
            </w:r>
          </w:p>
        </w:tc>
        <w:tc>
          <w:tcPr>
            <w:tcW w:type="dxa" w:w="9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gid</w:t>
            </w:r>
          </w:p>
        </w:tc>
        <w:tc>
          <w:tcPr>
            <w:tcW w:type="dxa" w:w="14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phi</w:t>
            </w:r>
          </w:p>
        </w:tc>
        <w:tc>
          <w:tcPr>
            <w:tcW w:type="dxa" w:w="13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Pe</w:t>
            </w:r>
          </w:p>
        </w:tc>
        <w:tc>
          <w:tcPr>
            <w:tcW w:type="dxa" w:w="13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Da</w:t>
            </w:r>
          </w:p>
        </w:tc>
        <w:tc>
          <w:tcPr>
            <w:tcW w:type="dxa" w:w="28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Split</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run_0000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0.1</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run_0001</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run_0002</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run_0003</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0.1</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run_0004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run_0005</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run_0006</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2.0</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0.1</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run_0007</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2.0</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run_0008</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0.3225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2.0</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run_0267</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29</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0.5909</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2.0</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0.1</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run_0268</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29</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0.5909</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2.0</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w:t>
            </w:r>
          </w:p>
        </w:tc>
        <w:tc>
          <w:tcPr>
            <w:tcW w:type="dxa" w:w="28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r>
        <w:tc>
          <w:tcPr>
            <w:tcW w:type="dxa" w:w="16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run_0269</w:t>
            </w:r>
          </w:p>
        </w:tc>
        <w:tc>
          <w:tcPr>
            <w:tcW w:type="dxa" w:w="9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29</w:t>
            </w:r>
          </w:p>
        </w:tc>
        <w:tc>
          <w:tcPr>
            <w:tcW w:type="dxa" w:w="14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0.5909</w:t>
            </w:r>
          </w:p>
        </w:tc>
        <w:tc>
          <w:tcPr>
            <w:tcW w:type="dxa" w:w="13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2.0</w:t>
            </w:r>
          </w:p>
        </w:tc>
        <w:tc>
          <w:tcPr>
            <w:tcW w:type="dxa" w:w="13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10.0</w:t>
            </w:r>
          </w:p>
        </w:tc>
        <w:tc>
          <w:tcPr>
            <w:tcW w:type="dxa" w:w="28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train</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10: </w:t>
      </w:r>
      <w:r>
        <w:rPr>
          <w:rFonts w:ascii="Cambria" w:cs="Cambria" w:eastAsia="Cambria" w:hAnsi="Cambria"/>
          <w:b w:val="false"/>
          <w:bCs w:val="false"/>
          <w:i/>
          <w:iCs/>
          <w:caps w:val="false"/>
          <w:color w:val="000000"/>
          <w:sz w:val="17"/>
          <w:szCs w:val="17"/>
        </w:rPr>
        <w:t xml:space="preserve">The collected dataset, as tools/collect_to_h5.py writes it. S is one row per run and T is the frames inside it, so the number of (run, time) training pairs is S x T = 5400. Concentrations are stored raw in float16 with a per-species scale recorded alongside, because a float16 can hold 1 mol/L to about four decimal places and the feed is 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2900"/>
        <w:gridCol w:w="1500"/>
        <w:gridCol w:w="2660"/>
      </w:tblGrid>
      <w:tr>
        <w:trPr>
          <w:tblHeader/>
        </w:trPr>
        <w:tc>
          <w:tcPr>
            <w:tcW w:type="dxa" w:w="23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Dataset</w:t>
            </w:r>
          </w:p>
        </w:tc>
        <w:tc>
          <w:tcPr>
            <w:tcW w:type="dxa" w:w="29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Shape</w:t>
            </w:r>
          </w:p>
        </w:tc>
        <w:tc>
          <w:tcPr>
            <w:tcW w:type="dxa" w:w="15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Type</w:t>
            </w:r>
          </w:p>
        </w:tc>
        <w:tc>
          <w:tcPr>
            <w:tcW w:type="dxa" w:w="26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Contents</w:t>
            </w:r>
          </w:p>
        </w:tc>
      </w:tr>
      <w:tr>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/geom/material</w:t>
            </w:r>
          </w:p>
        </w:tc>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(30, 32, 32, 32)</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uint8</w:t>
            </w:r>
          </w:p>
        </w:tc>
        <w:tc>
          <w:tcPr>
            <w:tcW w:type="dxa" w:w="2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solid, wall, pore as 0, 1, 2</w:t>
            </w:r>
          </w:p>
        </w:tc>
      </w:tr>
      <w:tr>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/geom/gdf</w:t>
            </w:r>
          </w:p>
        </w:tc>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(30, 32, 32, 32)</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float32</w:t>
            </w:r>
          </w:p>
        </w:tc>
        <w:tc>
          <w:tcPr>
            <w:tcW w:type="dxa" w:w="2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signed distance to the nearest grain surface</w:t>
            </w:r>
          </w:p>
        </w:tc>
      </w:tr>
      <w:tr>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/geom/edt</w:t>
            </w:r>
          </w:p>
        </w:tc>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(30, 32, 32, 32)</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float32</w:t>
            </w:r>
          </w:p>
        </w:tc>
        <w:tc>
          <w:tcPr>
            <w:tcW w:type="dxa" w:w="2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Euclidean distance transform of the pore space</w:t>
            </w:r>
          </w:p>
        </w:tc>
      </w:tr>
      <w:tr>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/samples/conc</w:t>
            </w:r>
          </w:p>
        </w:tc>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(270, 20, 3, 32, 32, 32)</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float16</w:t>
            </w:r>
          </w:p>
        </w:tc>
        <w:tc>
          <w:tcPr>
            <w:tcW w:type="dxa" w:w="2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A, B, C in mol/L, 0.99 GB</w:t>
            </w:r>
          </w:p>
        </w:tc>
      </w:tr>
      <w:tr>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/samples/velocity</w:t>
            </w:r>
          </w:p>
        </w:tc>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(270, 3, 32, 32, 32)</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float16</w:t>
            </w:r>
          </w:p>
        </w:tc>
        <w:tc>
          <w:tcPr>
            <w:tcW w:type="dxa" w:w="2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the steady flow field, 51 MB</w:t>
            </w:r>
          </w:p>
        </w:tc>
      </w:tr>
      <w:tr>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/samples/params</w:t>
            </w:r>
          </w:p>
        </w:tc>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(270, 2)</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float32</w:t>
            </w:r>
          </w:p>
        </w:tc>
        <w:tc>
          <w:tcPr>
            <w:tcW w:type="dxa" w:w="2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Pe and Da for each run</w:t>
            </w:r>
          </w:p>
        </w:tc>
      </w:tr>
      <w:tr>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/samples/t_norm</w:t>
            </w:r>
          </w:p>
        </w:tc>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(270, 20)</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float32</w:t>
            </w:r>
          </w:p>
        </w:tc>
        <w:tc>
          <w:tcPr>
            <w:tcW w:type="dxa" w:w="2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 to 1 of that run's length</w:t>
            </w:r>
          </w:p>
        </w:tc>
      </w:tr>
      <w:tr>
        <w:tc>
          <w:tcPr>
            <w:tcW w:type="dxa" w:w="2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/samples/split</w:t>
            </w:r>
          </w:p>
        </w:tc>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(270,)</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string</w:t>
            </w:r>
          </w:p>
        </w:tc>
        <w:tc>
          <w:tcPr>
            <w:tcW w:type="dxa" w:w="2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train, val or test, travels with the data</w:t>
            </w:r>
          </w:p>
        </w:tc>
      </w:tr>
      <w:tr>
        <w:tc>
          <w:tcPr>
            <w:tcW w:type="dxa" w:w="23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/samples/porosity</w:t>
            </w:r>
          </w:p>
        </w:tc>
        <w:tc>
          <w:tcPr>
            <w:tcW w:type="dxa" w:w="29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(270,)</w:t>
            </w:r>
          </w:p>
        </w:tc>
        <w:tc>
          <w:tcPr>
            <w:tcW w:type="dxa" w:w="15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float32</w:t>
            </w:r>
          </w:p>
        </w:tc>
        <w:tc>
          <w:tcPr>
            <w:tcW w:type="dxa" w:w="26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of that run's geometry</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11: </w:t>
      </w:r>
      <w:r>
        <w:rPr>
          <w:rFonts w:ascii="Cambria" w:cs="Cambria" w:eastAsia="Cambria" w:hAnsi="Cambria"/>
          <w:b w:val="false"/>
          <w:bCs w:val="false"/>
          <w:i/>
          <w:iCs/>
          <w:caps w:val="false"/>
          <w:color w:val="000000"/>
          <w:sz w:val="17"/>
          <w:szCs w:val="17"/>
        </w:rPr>
        <w:t xml:space="preserve">The compute budget, under the cost model fitted to this campaign's own runs: 240 s of fixed cost per case, which is the flow solve, plus 0.050 s per transport step. The left column uses the estimator's timestep, the right the measured one. Read the per-case wall times rather than the step counts: at Pe = 2 about half of a case is the flow solve, so cost does not scale with steps alone. Fitted against the first runs of this campaign, the model reproduces their measured 16.1, 13.3 and 8.2 minutes.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300"/>
        <w:gridCol w:w="2200"/>
        <w:gridCol w:w="2200"/>
        <w:gridCol w:w="1660"/>
      </w:tblGrid>
      <w:tr>
        <w:trPr>
          <w:tblHeader/>
        </w:trPr>
        <w:tc>
          <w:tcPr>
            <w:tcW w:type="dxa" w:w="33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Quantity</w:t>
            </w:r>
          </w:p>
        </w:tc>
        <w:tc>
          <w:tcPr>
            <w:tcW w:type="dxa" w:w="22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At dt = 0.0115 s</w:t>
            </w:r>
          </w:p>
        </w:tc>
        <w:tc>
          <w:tcPr>
            <w:tcW w:type="dxa" w:w="22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At dt = 0.0087 s</w:t>
            </w:r>
          </w:p>
        </w:tc>
        <w:tc>
          <w:tcPr>
            <w:tcW w:type="dxa" w:w="16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Unit</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steps, Pe = 0.02</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10921</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14436</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per run</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steps, Pe = 0.2</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9281</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12268</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per run</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steps, Pe = 2</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3721</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4919</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per run</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wall time, Pe = 0.02</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13.1</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16.0</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min per run</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wall time, Pe = 0.2</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11.7</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14.2</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min per run</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wall time, Pe = 2</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7.1</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8.1</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min per run</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total transport steps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2.15 million</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2.85 million</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all 270 runs</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total compute</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48</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58</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core-hours</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longest single run</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15</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18</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minutes</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concurrent array tasks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12</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jobs</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WALL CLOCK</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4.0</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4.8</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hours</w:t>
            </w:r>
          </w:p>
        </w:tc>
      </w:tr>
      <w:tr>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VTI output on disk</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21</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21</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GB</w:t>
            </w:r>
          </w:p>
        </w:tc>
      </w:tr>
      <w:tr>
        <w:tc>
          <w:tcPr>
            <w:tcW w:type="dxa" w:w="33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collected .h5</w:t>
            </w:r>
          </w:p>
        </w:tc>
        <w:tc>
          <w:tcPr>
            <w:tcW w:type="dxa" w:w="22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w:t>
            </w:r>
          </w:p>
        </w:tc>
        <w:tc>
          <w:tcPr>
            <w:tcW w:type="dxa" w:w="22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1.0</w:t>
            </w:r>
          </w:p>
        </w:tc>
        <w:tc>
          <w:tcPr>
            <w:tcW w:type="dxa" w:w="16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5"/>
                <w:szCs w:val="15"/>
              </w:rPr>
              <w:t xml:space="preserve">GB</w:t>
            </w:r>
          </w:p>
        </w:tc>
      </w:tr>
    </w:tbl>
    <w:p>
      <w:pPr>
        <w:spacing w:after="120"/>
      </w:pPr>
    </w:p>
    <w:p>
      <w:pPr>
        <w:keepNext/>
        <w:spacing w:after="90" w:before="260" w:line="240"/>
        <w:jc w:val="both"/>
      </w:pPr>
      <w:r>
        <w:rPr>
          <w:rFonts w:ascii="Cambria" w:cs="Cambria" w:eastAsia="Cambria" w:hAnsi="Cambria"/>
          <w:b/>
          <w:bCs/>
          <w:i w:val="false"/>
          <w:iCs w:val="false"/>
          <w:caps w:val="false"/>
          <w:color w:val="000000"/>
          <w:sz w:val="17"/>
          <w:szCs w:val="17"/>
        </w:rPr>
        <w:t xml:space="preserve">Table 12: </w:t>
      </w:r>
      <w:r>
        <w:rPr>
          <w:rFonts w:ascii="Cambria" w:cs="Cambria" w:eastAsia="Cambria" w:hAnsi="Cambria"/>
          <w:b w:val="false"/>
          <w:bCs w:val="false"/>
          <w:i/>
          <w:iCs/>
          <w:caps w:val="false"/>
          <w:color w:val="000000"/>
          <w:sz w:val="17"/>
          <w:szCs w:val="17"/>
        </w:rPr>
        <w:t xml:space="preserve">What changed from campaign01, and why. The first row is the one that made campaign01 unusable above Pe = 0.1; the rest are improvements to the design rather than corrections to a fault.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200"/>
        <w:gridCol w:w="2200"/>
        <w:gridCol w:w="2960"/>
      </w:tblGrid>
      <w:tr>
        <w:trPr>
          <w:tblHeader/>
        </w:trPr>
        <w:tc>
          <w:tcPr>
            <w:tcW w:type="dxa" w:w="20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Item</w:t>
            </w:r>
          </w:p>
        </w:tc>
        <w:tc>
          <w:tcPr>
            <w:tcW w:type="dxa" w:w="22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campaign01</w:t>
            </w:r>
          </w:p>
        </w:tc>
        <w:tc>
          <w:tcPr>
            <w:tcW w:type="dxa" w:w="220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campaign02</w:t>
            </w:r>
          </w:p>
        </w:tc>
        <w:tc>
          <w:tcPr>
            <w:tcW w:type="dxa" w:w="2960"/>
            <w:tcBorders>
              <w:top w:val="single" w:color="000000" w:sz="14"/>
              <w:left w:val="none" w:color="FFFFFF" w:sz="0"/>
              <w:bottom w:val="single" w:color="000000" w:sz="6"/>
              <w:right w:val="none" w:color="FFFFFF" w:sz="0"/>
            </w:tcBorders>
            <w:tcMar>
              <w:top w:type="dxa" w:w="60"/>
              <w:left w:type="dxa" w:w="90"/>
              <w:bottom w:type="dxa" w:w="60"/>
              <w:right w:type="dxa" w:w="90"/>
            </w:tcMar>
          </w:tcPr>
          <w:p>
            <w:pPr>
              <w:keepNext/>
              <w:spacing w:after="0" w:before="0" w:line="240"/>
              <w:jc w:val="left"/>
            </w:pPr>
            <w:r>
              <w:rPr>
                <w:rFonts w:ascii="Cambria" w:cs="Cambria" w:eastAsia="Cambria" w:hAnsi="Cambria"/>
                <w:b/>
                <w:bCs/>
                <w:i w:val="false"/>
                <w:iCs w:val="false"/>
                <w:caps w:val="false"/>
                <w:color w:val="000000"/>
                <w:sz w:val="17"/>
                <w:szCs w:val="17"/>
              </w:rPr>
              <w:t xml:space="preserve">Reason</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boundary set</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each species open at its exit face</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every face Dirichlet</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the open faces manufactured mass: at Pe = 2 all 20 runs exceeded the feed, the worst by 67 times, because a zero-gradient plane at an inflow re-reads the value it just advected inward</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Peclet</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0.1, 0.5, 2.0</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0.02, 0.2, 2</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evenly spaced in log Pe, and the bottom rung is the diffusive limit with the flow solver still on, which Pe = 0 would switch off</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Damkohler</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0.1, 10</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0.1, 1, 10</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two decades in a single jump gave the surrogate one interval and no way to show a trend; 1.0 is the transition point</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porosity levels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5</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10</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twice the resolution in the one geometric parameter being varied</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packings per level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two cannot separate a porosity effect from one packing's quirks</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geometries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10</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30</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consequence of the two rows above</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runs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60</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270</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consequence of the three rows above</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training pairs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1200</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5400</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4.5 times the data for the same order of compute</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held-out porosities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1 validation, 1 test</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2 validation, 2 test</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one held-out level cannot distinguish a real generalisation gap from that level being easy</w:t>
            </w:r>
          </w:p>
        </w:tc>
      </w:tr>
      <w:tr>
        <w:tc>
          <w:tcPr>
            <w:tcW w:type="dxa" w:w="20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feed excess check</w:t>
            </w:r>
          </w:p>
        </w:tc>
        <w:tc>
          <w:tcPr>
            <w:tcW w:type="dxa" w:w="22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warned above 1.05 x feed</w:t>
            </w:r>
          </w:p>
        </w:tc>
        <w:tc>
          <w:tcPr>
            <w:tcW w:type="dxa" w:w="220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fails above 1.25 x feed</w:t>
            </w:r>
          </w:p>
        </w:tc>
        <w:tc>
          <w:tcPr>
            <w:tcW w:type="dxa" w:w="2960"/>
            <w:tcBorders>
              <w:top w:val="none" w:color="FFFFFF" w:sz="0"/>
              <w:left w:val="none" w:color="FFFFFF" w:sz="0"/>
              <w:bottom w:val="single" w:color="000000" w:sz="14"/>
              <w:right w:val="none" w:color="FFFFFF" w:sz="0"/>
            </w:tcBorders>
            <w:tcMar>
              <w:top w:type="dxa" w:w="60"/>
              <w:left w:type="dxa" w:w="90"/>
              <w:bottom w:type="dxa" w:w="60"/>
              <w:right w:type="dxa" w:w="90"/>
            </w:tcMar>
          </w:tcPr>
          <w:p>
            <w:pPr>
              <w:keepNext w:val="false"/>
              <w:spacing w:after="0" w:before="0" w:line="240"/>
              <w:jc w:val="left"/>
            </w:pPr>
            <w:r>
              <w:rPr>
                <w:rFonts w:ascii="Cambria" w:cs="Cambria" w:eastAsia="Cambria" w:hAnsi="Cambria"/>
                <w:b w:val="false"/>
                <w:bCs w:val="false"/>
                <w:i w:val="false"/>
                <w:iCs w:val="false"/>
                <w:caps w:val="false"/>
                <w:color w:val="000000"/>
                <w:sz w:val="17"/>
                <w:szCs w:val="17"/>
              </w:rPr>
              <w:t xml:space="preserve">campaign01 passed every operational check while being wrong; a warning was not enough</w:t>
            </w:r>
          </w:p>
        </w:tc>
      </w:tr>
    </w:tbl>
    <w:p>
      <w:pPr>
        <w:spacing w:after="120"/>
      </w:pPr>
    </w:p>
    <w:p>
      <w:pPr>
        <w:keepNext/>
        <w:spacing w:after="130" w:before="300"/>
        <w:jc w:val="left"/>
      </w:pPr>
      <w:r>
        <w:rPr>
          <w:rFonts w:ascii="Cambria" w:cs="Cambria" w:eastAsia="Cambria" w:hAnsi="Cambria"/>
          <w:b/>
          <w:bCs/>
          <w:i w:val="false"/>
          <w:iCs w:val="false"/>
          <w:caps w:val="false"/>
          <w:color w:val="000000"/>
          <w:sz w:val="26"/>
          <w:szCs w:val="26"/>
        </w:rPr>
        <w:t xml:space="preserve">7 The commands, in order</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1  geometries, 30 sphere packs and the analytic duct</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python3 tools/make_geometries.py --out geometries</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2  build the campaign, measuring the timestep from the solver</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python3 tools/make_campaign.py build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--geometries geometries --out campaign02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--complab ~/abc_build/complab --throttle 12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--mem 16gb --time 02:00:00 --email shahram.asgari@uga.edu</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3  the gate. It refuses to pass a campaign whose chemistry is not per case</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python3 tools/check_campaign.py check --campaign campaign02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--complab ~/abc_build/complab</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4  submit</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cd campaign02 &amp;&amp; sbatch submit.sbatch</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5  collect to .h5, then verify before training on it</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python3 tools/collect_to_h5.py --campaign campaign02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--geometries geometries --out dataset02</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python3 tools/verify_dataset.py --dataset dataset02/dataset.h5 --feed 1.0</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6  train one surrogate per species. C is the interesting one</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python3 tools/train_prt3d.py --dataset dataset02/dataset.h5 \</w:t>
      </w:r>
    </w:p>
    <w:p>
      <w:pPr>
        <w:spacing w:after="0" w:before="0" w:line="240"/>
        <w:jc w:val="left"/>
      </w:pPr>
      <w:r>
        <w:rPr>
          <w:rFonts w:ascii="Courier New" w:cs="Courier New" w:eastAsia="Courier New" w:hAnsi="Courier New"/>
          <w:b w:val="false"/>
          <w:bCs w:val="false"/>
          <w:i w:val="false"/>
          <w:iCs w:val="false"/>
          <w:caps w:val="false"/>
          <w:color w:val="000000"/>
          <w:sz w:val="17"/>
          <w:szCs w:val="17"/>
        </w:rPr>
        <w:t xml:space="preserve">    --species C --epochs 60 --out model02_C</w:t>
      </w:r>
    </w:p>
    <w:p>
      <w:pPr>
        <w:spacing w:after="200"/>
      </w:pPr>
    </w:p>
    <w:p>
      <w:pPr>
        <w:keepNext w:val="false"/>
        <w:spacing w:after="140" w:before="0" w:line="276"/>
        <w:jc w:val="both"/>
      </w:pPr>
      <w:r>
        <w:rPr>
          <w:rFonts w:ascii="Cambria" w:cs="Cambria" w:eastAsia="Cambria" w:hAnsi="Cambria"/>
          <w:b w:val="false"/>
          <w:bCs w:val="false"/>
          <w:i w:val="false"/>
          <w:iCs w:val="false"/>
          <w:caps w:val="false"/>
          <w:color w:val="000000"/>
          <w:sz w:val="21"/>
          <w:szCs w:val="21"/>
        </w:rPr>
        <w:t xml:space="preserve">The calibration in step 2 is specific to the Peclet values it was run for, so campaign01's calibration file cannot be reused here. The three values have changed, and the gate in step 3 checks that the timestep written into each case matches the one the solver reports for that case, which is the check that would catch a stale calibration.</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2026-09-26T11:22:34.259Z</dcterms:created>
  <dcterms:modified xsi:type="dcterms:W3CDTF">2026-09-26T11:22:34.260Z</dcterms:modified>
</cp:coreProperties>
</file>

<file path=docProps/custom.xml><?xml version="1.0" encoding="utf-8"?>
<Properties xmlns="http://schemas.openxmlformats.org/officeDocument/2006/custom-properties" xmlns:vt="http://schemas.openxmlformats.org/officeDocument/2006/docPropsVTypes"/>
</file>