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7CB" w:rsidRDefault="00DD00B1">
      <w:pPr>
        <w:rPr>
          <w:b/>
          <w:color w:val="ED7D31" w:themeColor="accent2"/>
          <w:sz w:val="44"/>
          <w:szCs w:val="44"/>
        </w:rPr>
      </w:pPr>
      <w:r>
        <w:rPr>
          <w:b/>
          <w:color w:val="ED7D31" w:themeColor="accent2"/>
          <w:sz w:val="44"/>
          <w:szCs w:val="44"/>
        </w:rPr>
        <w:t>T</w:t>
      </w:r>
      <w:r w:rsidR="001E2763">
        <w:rPr>
          <w:b/>
          <w:color w:val="ED7D31" w:themeColor="accent2"/>
          <w:sz w:val="44"/>
          <w:szCs w:val="44"/>
        </w:rPr>
        <w:t>RANSACTION</w:t>
      </w:r>
      <w:r w:rsidR="00F7768D">
        <w:rPr>
          <w:b/>
          <w:color w:val="ED7D31" w:themeColor="accent2"/>
          <w:sz w:val="44"/>
          <w:szCs w:val="44"/>
        </w:rPr>
        <w:t>S ANALYSIS</w:t>
      </w:r>
      <w:r w:rsidR="00C61CE0" w:rsidRPr="00C61CE0">
        <w:rPr>
          <w:b/>
          <w:color w:val="ED7D31" w:themeColor="accent2"/>
          <w:sz w:val="44"/>
          <w:szCs w:val="44"/>
        </w:rPr>
        <w:t xml:space="preserve"> REPORT</w:t>
      </w:r>
    </w:p>
    <w:p w:rsidR="00C61CE0" w:rsidRDefault="00EB5D63">
      <w:pPr>
        <w:rPr>
          <w:b/>
          <w:color w:val="ED7D31" w:themeColor="accent2"/>
          <w:sz w:val="32"/>
          <w:szCs w:val="32"/>
        </w:rPr>
      </w:pPr>
      <w:r>
        <w:rPr>
          <w:b/>
          <w:color w:val="ED7D31" w:themeColor="accent2"/>
          <w:sz w:val="32"/>
          <w:szCs w:val="32"/>
        </w:rPr>
        <w:t>(Mar</w:t>
      </w:r>
      <w:r w:rsidR="00C61CE0">
        <w:rPr>
          <w:b/>
          <w:color w:val="ED7D31" w:themeColor="accent2"/>
          <w:sz w:val="32"/>
          <w:szCs w:val="32"/>
        </w:rPr>
        <w:t xml:space="preserve"> – 2016)</w:t>
      </w:r>
    </w:p>
    <w:tbl>
      <w:tblPr>
        <w:tblStyle w:val="GridTable1Light-Accent2"/>
        <w:tblW w:w="9350" w:type="dxa"/>
        <w:tblLook w:val="04A0" w:firstRow="1" w:lastRow="0" w:firstColumn="1" w:lastColumn="0" w:noHBand="0" w:noVBand="1"/>
      </w:tblPr>
      <w:tblGrid>
        <w:gridCol w:w="2525"/>
        <w:gridCol w:w="2121"/>
        <w:gridCol w:w="2295"/>
        <w:gridCol w:w="2409"/>
      </w:tblGrid>
      <w:tr w:rsidR="00FE2262" w:rsidRPr="002E6A85" w:rsidTr="00FE2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E2262" w:rsidRPr="00E02193" w:rsidRDefault="00FE2262" w:rsidP="00763045">
            <w:pPr>
              <w:spacing w:before="120" w:line="276" w:lineRule="auto"/>
              <w:jc w:val="center"/>
              <w:rPr>
                <w:b w:val="0"/>
                <w:noProof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color w:val="323E4F" w:themeColor="text2" w:themeShade="BF"/>
                <w:sz w:val="24"/>
                <w:szCs w:val="24"/>
              </w:rPr>
              <w:t>Total customers</w:t>
            </w:r>
          </w:p>
        </w:tc>
        <w:tc>
          <w:tcPr>
            <w:tcW w:w="2121" w:type="dxa"/>
          </w:tcPr>
          <w:p w:rsidR="00FE2262" w:rsidRDefault="00FE2262" w:rsidP="00825FC5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color w:val="323E4F" w:themeColor="text2" w:themeShade="BF"/>
                <w:sz w:val="24"/>
                <w:szCs w:val="24"/>
              </w:rPr>
            </w:pPr>
            <w:r>
              <w:rPr>
                <w:noProof/>
                <w:color w:val="323E4F" w:themeColor="text2" w:themeShade="BF"/>
                <w:sz w:val="24"/>
                <w:szCs w:val="24"/>
              </w:rPr>
              <w:t>Total orders</w:t>
            </w:r>
          </w:p>
        </w:tc>
        <w:tc>
          <w:tcPr>
            <w:tcW w:w="2295" w:type="dxa"/>
          </w:tcPr>
          <w:p w:rsidR="00FE2262" w:rsidRPr="00825FC5" w:rsidRDefault="00FE2262" w:rsidP="00FE2262">
            <w:pPr>
              <w:tabs>
                <w:tab w:val="center" w:pos="1494"/>
                <w:tab w:val="right" w:pos="2988"/>
              </w:tabs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595959" w:themeColor="text1" w:themeTint="A6"/>
                <w:sz w:val="24"/>
                <w:szCs w:val="24"/>
              </w:rPr>
            </w:pPr>
            <w:r>
              <w:rPr>
                <w:noProof/>
                <w:color w:val="323E4F" w:themeColor="text2" w:themeShade="BF"/>
                <w:sz w:val="24"/>
                <w:szCs w:val="24"/>
              </w:rPr>
              <w:t xml:space="preserve">     Total medicines</w:t>
            </w:r>
            <w:r>
              <w:rPr>
                <w:noProof/>
                <w:color w:val="323E4F" w:themeColor="text2" w:themeShade="BF"/>
                <w:sz w:val="24"/>
                <w:szCs w:val="24"/>
              </w:rPr>
              <w:tab/>
            </w:r>
          </w:p>
        </w:tc>
        <w:tc>
          <w:tcPr>
            <w:tcW w:w="2409" w:type="dxa"/>
          </w:tcPr>
          <w:p w:rsidR="00FE2262" w:rsidRDefault="00FE2262" w:rsidP="00FE2262">
            <w:pPr>
              <w:tabs>
                <w:tab w:val="center" w:pos="1494"/>
                <w:tab w:val="right" w:pos="2988"/>
              </w:tabs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23E4F" w:themeColor="text2" w:themeShade="BF"/>
                <w:sz w:val="24"/>
                <w:szCs w:val="24"/>
              </w:rPr>
            </w:pPr>
            <w:r>
              <w:rPr>
                <w:noProof/>
                <w:color w:val="323E4F" w:themeColor="text2" w:themeShade="BF"/>
                <w:sz w:val="24"/>
                <w:szCs w:val="24"/>
              </w:rPr>
              <w:t>Avg. orders/customer</w:t>
            </w:r>
          </w:p>
        </w:tc>
      </w:tr>
      <w:tr w:rsidR="00FE2262" w:rsidRPr="002E6A85" w:rsidTr="00FE2262">
        <w:trPr>
          <w:trHeight w:val="6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5" w:type="dxa"/>
          </w:tcPr>
          <w:p w:rsidR="00FE2262" w:rsidRPr="00E031D2" w:rsidRDefault="00FE2262" w:rsidP="00E031D2">
            <w:pPr>
              <w:spacing w:before="80" w:line="276" w:lineRule="auto"/>
              <w:jc w:val="center"/>
              <w:rPr>
                <w:rFonts w:ascii="Calibri" w:hAnsi="Calibri"/>
                <w:b w:val="0"/>
                <w:color w:val="323E4F" w:themeColor="text2" w:themeShade="BF"/>
                <w:sz w:val="24"/>
                <w:szCs w:val="24"/>
              </w:rPr>
            </w:pPr>
            <w:r>
              <w:rPr>
                <w:rFonts w:ascii="Calibri" w:hAnsi="Calibri"/>
                <w:b w:val="0"/>
                <w:color w:val="323E4F" w:themeColor="text2" w:themeShade="BF"/>
                <w:sz w:val="24"/>
                <w:szCs w:val="24"/>
              </w:rPr>
              <w:t>15,252</w:t>
            </w:r>
          </w:p>
          <w:p w:rsidR="00FE2262" w:rsidRPr="002067BB" w:rsidRDefault="00FE2262" w:rsidP="00E031D2">
            <w:pPr>
              <w:spacing w:after="60" w:line="276" w:lineRule="auto"/>
              <w:jc w:val="center"/>
              <w:rPr>
                <w:b w:val="0"/>
                <w:noProof/>
                <w:color w:val="595959" w:themeColor="text1" w:themeTint="A6"/>
                <w:sz w:val="20"/>
                <w:szCs w:val="20"/>
              </w:rPr>
            </w:pPr>
            <w:r>
              <w:rPr>
                <w:b w:val="0"/>
                <w:color w:val="323E4F" w:themeColor="text2" w:themeShade="BF"/>
                <w:sz w:val="20"/>
                <w:szCs w:val="20"/>
              </w:rPr>
              <w:t>*</w:t>
            </w:r>
            <w:r w:rsidRPr="00E031D2">
              <w:rPr>
                <w:b w:val="0"/>
                <w:color w:val="323E4F" w:themeColor="text2" w:themeShade="BF"/>
                <w:sz w:val="20"/>
                <w:szCs w:val="20"/>
              </w:rPr>
              <w:t>(</w:t>
            </w:r>
            <w:r w:rsidRPr="00EB5D63">
              <w:rPr>
                <w:rFonts w:cstheme="minorHAnsi"/>
                <w:color w:val="00B050"/>
                <w:sz w:val="20"/>
                <w:szCs w:val="20"/>
              </w:rPr>
              <w:t>↑</w:t>
            </w:r>
            <w:r w:rsidRPr="00E031D2">
              <w:rPr>
                <w:b w:val="0"/>
                <w:color w:val="00B050"/>
                <w:sz w:val="20"/>
                <w:szCs w:val="20"/>
              </w:rPr>
              <w:t xml:space="preserve"> </w:t>
            </w:r>
            <w:r>
              <w:rPr>
                <w:b w:val="0"/>
                <w:noProof/>
                <w:color w:val="323E4F" w:themeColor="text2" w:themeShade="BF"/>
                <w:sz w:val="20"/>
                <w:szCs w:val="20"/>
              </w:rPr>
              <w:t>21.31</w:t>
            </w:r>
            <w:r w:rsidRPr="00E031D2">
              <w:rPr>
                <w:b w:val="0"/>
                <w:noProof/>
                <w:color w:val="323E4F" w:themeColor="text2" w:themeShade="BF"/>
                <w:sz w:val="20"/>
                <w:szCs w:val="20"/>
              </w:rPr>
              <w:t>%)</w:t>
            </w:r>
          </w:p>
        </w:tc>
        <w:tc>
          <w:tcPr>
            <w:tcW w:w="2121" w:type="dxa"/>
          </w:tcPr>
          <w:p w:rsidR="00FE2262" w:rsidRDefault="00FE2262" w:rsidP="00980316">
            <w:pPr>
              <w:spacing w:before="8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23E4F" w:themeColor="text2" w:themeShade="BF"/>
                <w:sz w:val="24"/>
                <w:szCs w:val="24"/>
              </w:rPr>
            </w:pPr>
            <w:r>
              <w:rPr>
                <w:noProof/>
                <w:color w:val="323E4F" w:themeColor="text2" w:themeShade="BF"/>
                <w:sz w:val="24"/>
                <w:szCs w:val="24"/>
              </w:rPr>
              <w:t>26,308</w:t>
            </w:r>
          </w:p>
          <w:p w:rsidR="00FE2262" w:rsidRDefault="00FE2262" w:rsidP="00980316">
            <w:pPr>
              <w:spacing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23E4F" w:themeColor="text2" w:themeShade="BF"/>
                <w:sz w:val="24"/>
                <w:szCs w:val="24"/>
              </w:rPr>
            </w:pPr>
            <w:r>
              <w:rPr>
                <w:color w:val="323E4F" w:themeColor="text2" w:themeShade="BF"/>
                <w:sz w:val="20"/>
                <w:szCs w:val="20"/>
              </w:rPr>
              <w:t>*</w:t>
            </w:r>
            <w:r w:rsidRPr="002067BB">
              <w:rPr>
                <w:color w:val="323E4F" w:themeColor="text2" w:themeShade="BF"/>
                <w:sz w:val="20"/>
                <w:szCs w:val="20"/>
              </w:rPr>
              <w:t>(</w:t>
            </w:r>
            <w:r w:rsidRPr="00DD00B1">
              <w:rPr>
                <w:rFonts w:cstheme="minorHAnsi"/>
                <w:color w:val="00B050"/>
                <w:sz w:val="20"/>
                <w:szCs w:val="20"/>
              </w:rPr>
              <w:t>↑</w:t>
            </w:r>
            <w:r w:rsidRPr="002067BB">
              <w:rPr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noProof/>
                <w:color w:val="323E4F" w:themeColor="text2" w:themeShade="BF"/>
                <w:sz w:val="20"/>
                <w:szCs w:val="20"/>
              </w:rPr>
              <w:t>23.92%</w:t>
            </w:r>
            <w:r w:rsidRPr="002067BB">
              <w:rPr>
                <w:noProof/>
                <w:color w:val="323E4F" w:themeColor="text2" w:themeShade="BF"/>
                <w:sz w:val="20"/>
                <w:szCs w:val="20"/>
              </w:rPr>
              <w:t>)</w:t>
            </w:r>
          </w:p>
        </w:tc>
        <w:tc>
          <w:tcPr>
            <w:tcW w:w="2295" w:type="dxa"/>
          </w:tcPr>
          <w:p w:rsidR="00FE2262" w:rsidRDefault="00FE2262" w:rsidP="00763045">
            <w:pPr>
              <w:spacing w:before="8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23E4F" w:themeColor="text2" w:themeShade="BF"/>
                <w:sz w:val="24"/>
                <w:szCs w:val="24"/>
              </w:rPr>
            </w:pPr>
            <w:r>
              <w:rPr>
                <w:noProof/>
                <w:color w:val="323E4F" w:themeColor="text2" w:themeShade="BF"/>
                <w:sz w:val="24"/>
                <w:szCs w:val="24"/>
              </w:rPr>
              <w:t>11,497</w:t>
            </w:r>
          </w:p>
          <w:p w:rsidR="00FE2262" w:rsidRPr="002067BB" w:rsidRDefault="00FE2262" w:rsidP="00763045">
            <w:pPr>
              <w:spacing w:after="6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  <w:color w:val="595959" w:themeColor="text1" w:themeTint="A6"/>
                <w:sz w:val="20"/>
                <w:szCs w:val="20"/>
              </w:rPr>
            </w:pPr>
            <w:r>
              <w:rPr>
                <w:color w:val="323E4F" w:themeColor="text2" w:themeShade="BF"/>
                <w:sz w:val="20"/>
                <w:szCs w:val="20"/>
              </w:rPr>
              <w:t>*</w:t>
            </w:r>
            <w:r w:rsidRPr="002067BB">
              <w:rPr>
                <w:color w:val="323E4F" w:themeColor="text2" w:themeShade="BF"/>
                <w:sz w:val="20"/>
                <w:szCs w:val="20"/>
              </w:rPr>
              <w:t>(</w:t>
            </w:r>
            <w:r w:rsidRPr="001E2763">
              <w:rPr>
                <w:b/>
                <w:color w:val="00B050"/>
                <w:sz w:val="20"/>
                <w:szCs w:val="20"/>
              </w:rPr>
              <w:t>↑</w:t>
            </w:r>
            <w:r w:rsidRPr="002067BB">
              <w:rPr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noProof/>
                <w:color w:val="323E4F" w:themeColor="text2" w:themeShade="BF"/>
                <w:sz w:val="20"/>
                <w:szCs w:val="20"/>
              </w:rPr>
              <w:t>12.68%</w:t>
            </w:r>
            <w:r w:rsidRPr="002067BB">
              <w:rPr>
                <w:noProof/>
                <w:color w:val="323E4F" w:themeColor="text2" w:themeShade="BF"/>
                <w:sz w:val="20"/>
                <w:szCs w:val="20"/>
              </w:rPr>
              <w:t>)</w:t>
            </w:r>
          </w:p>
        </w:tc>
        <w:tc>
          <w:tcPr>
            <w:tcW w:w="2409" w:type="dxa"/>
          </w:tcPr>
          <w:p w:rsidR="00FE2262" w:rsidRDefault="00FE2262" w:rsidP="00763045">
            <w:pPr>
              <w:spacing w:before="8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23E4F" w:themeColor="text2" w:themeShade="BF"/>
                <w:sz w:val="24"/>
                <w:szCs w:val="24"/>
              </w:rPr>
            </w:pPr>
            <w:r>
              <w:rPr>
                <w:noProof/>
                <w:color w:val="323E4F" w:themeColor="text2" w:themeShade="BF"/>
                <w:sz w:val="24"/>
                <w:szCs w:val="24"/>
              </w:rPr>
              <w:t>1.72</w:t>
            </w:r>
          </w:p>
          <w:p w:rsidR="00FE2262" w:rsidRDefault="00FE2262" w:rsidP="00FE226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color w:val="323E4F" w:themeColor="text2" w:themeShade="BF"/>
                <w:sz w:val="24"/>
                <w:szCs w:val="24"/>
              </w:rPr>
            </w:pPr>
            <w:r>
              <w:rPr>
                <w:color w:val="323E4F" w:themeColor="text2" w:themeShade="BF"/>
                <w:sz w:val="20"/>
                <w:szCs w:val="20"/>
              </w:rPr>
              <w:t>*</w:t>
            </w:r>
            <w:r w:rsidRPr="002067BB">
              <w:rPr>
                <w:color w:val="323E4F" w:themeColor="text2" w:themeShade="BF"/>
                <w:sz w:val="20"/>
                <w:szCs w:val="20"/>
              </w:rPr>
              <w:t>(</w:t>
            </w:r>
            <w:r w:rsidRPr="001E2763">
              <w:rPr>
                <w:b/>
                <w:color w:val="00B050"/>
                <w:sz w:val="20"/>
                <w:szCs w:val="20"/>
              </w:rPr>
              <w:t>↑</w:t>
            </w:r>
            <w:r w:rsidRPr="002067BB">
              <w:rPr>
                <w:b/>
                <w:color w:val="00B050"/>
                <w:sz w:val="20"/>
                <w:szCs w:val="20"/>
              </w:rPr>
              <w:t xml:space="preserve"> </w:t>
            </w:r>
            <w:r>
              <w:rPr>
                <w:noProof/>
                <w:color w:val="323E4F" w:themeColor="text2" w:themeShade="BF"/>
                <w:sz w:val="20"/>
                <w:szCs w:val="20"/>
              </w:rPr>
              <w:t>1.78</w:t>
            </w:r>
            <w:r>
              <w:rPr>
                <w:noProof/>
                <w:color w:val="323E4F" w:themeColor="text2" w:themeShade="BF"/>
                <w:sz w:val="20"/>
                <w:szCs w:val="20"/>
              </w:rPr>
              <w:t>%</w:t>
            </w:r>
            <w:r w:rsidRPr="002067BB">
              <w:rPr>
                <w:noProof/>
                <w:color w:val="323E4F" w:themeColor="text2" w:themeShade="BF"/>
                <w:sz w:val="20"/>
                <w:szCs w:val="20"/>
              </w:rPr>
              <w:t>)</w:t>
            </w:r>
          </w:p>
        </w:tc>
      </w:tr>
    </w:tbl>
    <w:p w:rsidR="0002634E" w:rsidRPr="0002634E" w:rsidRDefault="001E2763" w:rsidP="0002634E">
      <w:pPr>
        <w:rPr>
          <w:i/>
          <w:color w:val="323E4F" w:themeColor="text2" w:themeShade="BF"/>
          <w:sz w:val="24"/>
          <w:szCs w:val="24"/>
        </w:rPr>
      </w:pPr>
      <w:r w:rsidRPr="001E2763">
        <w:rPr>
          <w:i/>
          <w:color w:val="323E4F" w:themeColor="text2" w:themeShade="BF"/>
          <w:sz w:val="24"/>
          <w:szCs w:val="24"/>
        </w:rPr>
        <w:t>* gr</w:t>
      </w:r>
      <w:r>
        <w:rPr>
          <w:i/>
          <w:color w:val="323E4F" w:themeColor="text2" w:themeShade="BF"/>
          <w:sz w:val="24"/>
          <w:szCs w:val="24"/>
        </w:rPr>
        <w:t xml:space="preserve">owth compared to </w:t>
      </w:r>
      <w:r w:rsidR="00BF0738">
        <w:rPr>
          <w:i/>
          <w:color w:val="323E4F" w:themeColor="text2" w:themeShade="BF"/>
          <w:sz w:val="24"/>
          <w:szCs w:val="24"/>
        </w:rPr>
        <w:t xml:space="preserve">the </w:t>
      </w:r>
      <w:r>
        <w:rPr>
          <w:i/>
          <w:color w:val="323E4F" w:themeColor="text2" w:themeShade="BF"/>
          <w:sz w:val="24"/>
          <w:szCs w:val="24"/>
        </w:rPr>
        <w:t>previous month</w:t>
      </w:r>
      <w:bookmarkStart w:id="0" w:name="_GoBack"/>
      <w:bookmarkEnd w:id="0"/>
    </w:p>
    <w:p w:rsidR="00F9152F" w:rsidRPr="0002634E" w:rsidRDefault="0011610A" w:rsidP="00F9152F">
      <w:pPr>
        <w:pStyle w:val="ListParagraph"/>
        <w:numPr>
          <w:ilvl w:val="0"/>
          <w:numId w:val="1"/>
        </w:numPr>
        <w:rPr>
          <w:b/>
          <w:color w:val="323E4F" w:themeColor="text2" w:themeShade="BF"/>
          <w:sz w:val="24"/>
          <w:szCs w:val="24"/>
        </w:rPr>
      </w:pPr>
      <w:r>
        <w:rPr>
          <w:color w:val="323E4F" w:themeColor="text2" w:themeShade="BF"/>
          <w:sz w:val="24"/>
          <w:szCs w:val="24"/>
        </w:rPr>
        <w:t>250883, medicine for Myoclonus was the medicine sold the highest among all the medicines (1108 times).</w:t>
      </w:r>
      <w:r w:rsidR="009F1BC1">
        <w:rPr>
          <w:color w:val="323E4F" w:themeColor="text2" w:themeShade="BF"/>
          <w:sz w:val="24"/>
          <w:szCs w:val="24"/>
        </w:rPr>
        <w:t xml:space="preserve"> The sales of this medicine has an increasing trend since Jan-2016.</w:t>
      </w:r>
    </w:p>
    <w:p w:rsidR="0002634E" w:rsidRPr="00855432" w:rsidRDefault="0002634E" w:rsidP="00855432">
      <w:pPr>
        <w:jc w:val="center"/>
        <w:rPr>
          <w:b/>
          <w:color w:val="323E4F" w:themeColor="text2" w:themeShade="BF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7E01EFA" wp14:editId="77C1AD39">
            <wp:extent cx="4695825" cy="2219325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650C2" w:rsidRPr="001318C3" w:rsidRDefault="000650C2" w:rsidP="000650C2">
      <w:pPr>
        <w:pStyle w:val="ListParagraph"/>
        <w:rPr>
          <w:b/>
          <w:color w:val="323E4F" w:themeColor="text2" w:themeShade="BF"/>
          <w:sz w:val="24"/>
          <w:szCs w:val="24"/>
        </w:rPr>
      </w:pPr>
    </w:p>
    <w:p w:rsidR="004F1007" w:rsidRPr="000650C2" w:rsidRDefault="004F1007" w:rsidP="003E14C9">
      <w:pPr>
        <w:pStyle w:val="ListParagraph"/>
        <w:numPr>
          <w:ilvl w:val="0"/>
          <w:numId w:val="1"/>
        </w:numPr>
        <w:rPr>
          <w:b/>
          <w:color w:val="323E4F" w:themeColor="text2" w:themeShade="BF"/>
          <w:sz w:val="24"/>
          <w:szCs w:val="24"/>
        </w:rPr>
      </w:pPr>
      <w:r w:rsidRPr="004F1007">
        <w:rPr>
          <w:color w:val="323E4F" w:themeColor="text2" w:themeShade="BF"/>
          <w:sz w:val="24"/>
          <w:szCs w:val="24"/>
        </w:rPr>
        <w:t>Among non-</w:t>
      </w:r>
      <w:r w:rsidR="001318C3" w:rsidRPr="004F1007">
        <w:rPr>
          <w:color w:val="323E4F" w:themeColor="text2" w:themeShade="BF"/>
          <w:sz w:val="24"/>
          <w:szCs w:val="24"/>
        </w:rPr>
        <w:t>chronic diseases</w:t>
      </w:r>
      <w:r w:rsidRPr="004F1007">
        <w:rPr>
          <w:color w:val="323E4F" w:themeColor="text2" w:themeShade="BF"/>
          <w:sz w:val="24"/>
          <w:szCs w:val="24"/>
        </w:rPr>
        <w:t xml:space="preserve">, 145326 and 218474 for Multivitamins </w:t>
      </w:r>
      <w:r>
        <w:rPr>
          <w:color w:val="323E4F" w:themeColor="text2" w:themeShade="BF"/>
          <w:sz w:val="24"/>
          <w:szCs w:val="24"/>
        </w:rPr>
        <w:t xml:space="preserve">were the highest sold medicines. </w:t>
      </w:r>
      <w:r w:rsidR="008D094E">
        <w:rPr>
          <w:color w:val="323E4F" w:themeColor="text2" w:themeShade="BF"/>
          <w:sz w:val="24"/>
          <w:szCs w:val="24"/>
        </w:rPr>
        <w:t>218474 had stagnant growth in the previous month while its growth in the present month is 39.75%.</w:t>
      </w:r>
    </w:p>
    <w:p w:rsidR="000650C2" w:rsidRPr="004F1007" w:rsidRDefault="000650C2" w:rsidP="000650C2">
      <w:pPr>
        <w:pStyle w:val="ListParagraph"/>
        <w:rPr>
          <w:b/>
          <w:color w:val="323E4F" w:themeColor="text2" w:themeShade="BF"/>
          <w:sz w:val="24"/>
          <w:szCs w:val="24"/>
        </w:rPr>
      </w:pPr>
    </w:p>
    <w:p w:rsidR="00650746" w:rsidRPr="0002634E" w:rsidRDefault="000650C2" w:rsidP="003E14C9">
      <w:pPr>
        <w:pStyle w:val="ListParagraph"/>
        <w:numPr>
          <w:ilvl w:val="0"/>
          <w:numId w:val="1"/>
        </w:numPr>
        <w:rPr>
          <w:b/>
          <w:color w:val="323E4F" w:themeColor="text2" w:themeShade="BF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6619DF0" wp14:editId="39F4C25A">
            <wp:simplePos x="0" y="0"/>
            <wp:positionH relativeFrom="column">
              <wp:posOffset>3571875</wp:posOffset>
            </wp:positionH>
            <wp:positionV relativeFrom="paragraph">
              <wp:posOffset>14605</wp:posOffset>
            </wp:positionV>
            <wp:extent cx="3086100" cy="1924050"/>
            <wp:effectExtent l="0" t="0" r="0" b="0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3DF1" w:rsidRPr="004F1007">
        <w:rPr>
          <w:color w:val="323E4F" w:themeColor="text2" w:themeShade="BF"/>
          <w:sz w:val="24"/>
          <w:szCs w:val="24"/>
        </w:rPr>
        <w:t xml:space="preserve">The sales of medicines </w:t>
      </w:r>
      <w:proofErr w:type="gramStart"/>
      <w:r w:rsidR="00503DF1" w:rsidRPr="004F1007">
        <w:rPr>
          <w:color w:val="323E4F" w:themeColor="text2" w:themeShade="BF"/>
          <w:sz w:val="24"/>
          <w:szCs w:val="24"/>
        </w:rPr>
        <w:t>is</w:t>
      </w:r>
      <w:proofErr w:type="gramEnd"/>
      <w:r w:rsidR="00503DF1" w:rsidRPr="004F1007">
        <w:rPr>
          <w:color w:val="323E4F" w:themeColor="text2" w:themeShade="BF"/>
          <w:sz w:val="24"/>
          <w:szCs w:val="24"/>
        </w:rPr>
        <w:t xml:space="preserve"> highly concentrated in city 1 with 400080 and 400092 being its major contributors (together contributing 12.16% to the total medicines sold in city 1). 400039 </w:t>
      </w:r>
      <w:r w:rsidR="0071424A" w:rsidRPr="004F1007">
        <w:rPr>
          <w:color w:val="323E4F" w:themeColor="text2" w:themeShade="BF"/>
          <w:sz w:val="24"/>
          <w:szCs w:val="24"/>
        </w:rPr>
        <w:t>had negligible sales of medicines with only 3 medicines sold.</w:t>
      </w:r>
    </w:p>
    <w:p w:rsidR="0002634E" w:rsidRPr="0002634E" w:rsidRDefault="0002634E" w:rsidP="0002634E">
      <w:pPr>
        <w:pStyle w:val="ListParagraph"/>
        <w:rPr>
          <w:b/>
          <w:color w:val="323E4F" w:themeColor="text2" w:themeShade="BF"/>
          <w:sz w:val="24"/>
          <w:szCs w:val="24"/>
        </w:rPr>
      </w:pPr>
    </w:p>
    <w:p w:rsidR="00F2190A" w:rsidRPr="00235240" w:rsidRDefault="00855432" w:rsidP="00235240">
      <w:pPr>
        <w:pStyle w:val="ListParagraph"/>
        <w:numPr>
          <w:ilvl w:val="0"/>
          <w:numId w:val="1"/>
        </w:numPr>
        <w:rPr>
          <w:color w:val="323E4F" w:themeColor="text2" w:themeShade="BF"/>
          <w:sz w:val="24"/>
          <w:szCs w:val="24"/>
        </w:rPr>
      </w:pPr>
      <w:r w:rsidRPr="00855432">
        <w:rPr>
          <w:color w:val="323E4F" w:themeColor="text2" w:themeShade="BF"/>
          <w:sz w:val="24"/>
          <w:szCs w:val="24"/>
        </w:rPr>
        <w:t>Out of the total medicines sold, 33.24% medicines had only 1 unit sold in the whole month. In the previous month too, there were 34.81% medicines with only 1 unit sold.</w:t>
      </w:r>
    </w:p>
    <w:sectPr w:rsidR="00F2190A" w:rsidRPr="00235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66DA7"/>
    <w:multiLevelType w:val="hybridMultilevel"/>
    <w:tmpl w:val="163C5624"/>
    <w:lvl w:ilvl="0" w:tplc="0A76A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9A"/>
    <w:rsid w:val="0002634E"/>
    <w:rsid w:val="000650C2"/>
    <w:rsid w:val="000F3DDE"/>
    <w:rsid w:val="0011610A"/>
    <w:rsid w:val="001318C3"/>
    <w:rsid w:val="001E2763"/>
    <w:rsid w:val="00235240"/>
    <w:rsid w:val="0026014C"/>
    <w:rsid w:val="002707CB"/>
    <w:rsid w:val="002A599C"/>
    <w:rsid w:val="002D4A84"/>
    <w:rsid w:val="004F1007"/>
    <w:rsid w:val="00503DF1"/>
    <w:rsid w:val="00650746"/>
    <w:rsid w:val="006860A9"/>
    <w:rsid w:val="0071424A"/>
    <w:rsid w:val="00763045"/>
    <w:rsid w:val="007B007A"/>
    <w:rsid w:val="0081649A"/>
    <w:rsid w:val="00825FC5"/>
    <w:rsid w:val="00855432"/>
    <w:rsid w:val="00893321"/>
    <w:rsid w:val="008D094E"/>
    <w:rsid w:val="009F1BC1"/>
    <w:rsid w:val="00A6226C"/>
    <w:rsid w:val="00A9273D"/>
    <w:rsid w:val="00B626A8"/>
    <w:rsid w:val="00BF0738"/>
    <w:rsid w:val="00C61CE0"/>
    <w:rsid w:val="00DD00B1"/>
    <w:rsid w:val="00E031D2"/>
    <w:rsid w:val="00E26A1A"/>
    <w:rsid w:val="00EB5D63"/>
    <w:rsid w:val="00F2190A"/>
    <w:rsid w:val="00F7768D"/>
    <w:rsid w:val="00F9152F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7640"/>
  <w15:chartTrackingRefBased/>
  <w15:docId w15:val="{2E5E814B-5F70-4913-9C94-CEBBB78F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1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C61CE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9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9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Phrase\Downloads\transactional_data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Phrase\Downloads\transactional_data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Medicines for Chronic</a:t>
            </a:r>
            <a:r>
              <a:rPr lang="en-IN" baseline="0"/>
              <a:t> v/s Non Chronic diseases </a:t>
            </a:r>
          </a:p>
          <a:p>
            <a:pPr>
              <a:defRPr/>
            </a:pPr>
            <a:r>
              <a:rPr lang="en-IN" baseline="0"/>
              <a:t>sold in each city 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'City wise medicines'!$D$3</c:f>
              <c:strCache>
                <c:ptCount val="1"/>
                <c:pt idx="0">
                  <c:v>City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'City wise medicines'!$D$4:$D$10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19-4056-9FD2-0C9E35597B5D}"/>
            </c:ext>
          </c:extLst>
        </c:ser>
        <c:ser>
          <c:idx val="1"/>
          <c:order val="1"/>
          <c:tx>
            <c:strRef>
              <c:f>'City wise medicines'!$E$3</c:f>
              <c:strCache>
                <c:ptCount val="1"/>
                <c:pt idx="0">
                  <c:v>Chronic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'City wise medicines'!$E$4:$E$10</c:f>
              <c:numCache>
                <c:formatCode>#,##0</c:formatCode>
                <c:ptCount val="7"/>
                <c:pt idx="0">
                  <c:v>44282</c:v>
                </c:pt>
                <c:pt idx="1">
                  <c:v>4491</c:v>
                </c:pt>
                <c:pt idx="2">
                  <c:v>3313</c:v>
                </c:pt>
                <c:pt idx="3">
                  <c:v>1142</c:v>
                </c:pt>
                <c:pt idx="4">
                  <c:v>36</c:v>
                </c:pt>
                <c:pt idx="5">
                  <c:v>1221</c:v>
                </c:pt>
                <c:pt idx="6">
                  <c:v>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19-4056-9FD2-0C9E35597B5D}"/>
            </c:ext>
          </c:extLst>
        </c:ser>
        <c:ser>
          <c:idx val="2"/>
          <c:order val="2"/>
          <c:tx>
            <c:strRef>
              <c:f>'City wise medicines'!$F$3</c:f>
              <c:strCache>
                <c:ptCount val="1"/>
                <c:pt idx="0">
                  <c:v>Non chronic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1.429068342586385E-2"/>
                  <c:y val="-0.1220208217874814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DB19-4056-9FD2-0C9E35597B5D}"/>
                </c:ext>
              </c:extLst>
            </c:dLbl>
            <c:dLbl>
              <c:idx val="1"/>
              <c:layout>
                <c:manualLayout>
                  <c:x val="7.2864725580701513E-3"/>
                  <c:y val="-8.2886463226431464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DB19-4056-9FD2-0C9E35597B5D}"/>
                </c:ext>
              </c:extLst>
            </c:dLbl>
            <c:dLbl>
              <c:idx val="2"/>
              <c:layout>
                <c:manualLayout>
                  <c:x val="-8.1684744927123895E-17"/>
                  <c:y val="-7.121661721068249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DB19-4056-9FD2-0C9E35597B5D}"/>
                </c:ext>
              </c:extLst>
            </c:dLbl>
            <c:dLbl>
              <c:idx val="3"/>
              <c:layout>
                <c:manualLayout>
                  <c:x val="0"/>
                  <c:y val="-5.934718100890207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DB19-4056-9FD2-0C9E35597B5D}"/>
                </c:ext>
              </c:extLst>
            </c:dLbl>
            <c:dLbl>
              <c:idx val="4"/>
              <c:layout>
                <c:manualLayout>
                  <c:x val="-8.1684744927123895E-17"/>
                  <c:y val="-4.3521266073194856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DB19-4056-9FD2-0C9E35597B5D}"/>
                </c:ext>
              </c:extLst>
            </c:dLbl>
            <c:dLbl>
              <c:idx val="5"/>
              <c:layout>
                <c:manualLayout>
                  <c:x val="1.2823137928493175E-2"/>
                  <c:y val="-5.934716997790442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DB19-4056-9FD2-0C9E35597B5D}"/>
                </c:ext>
              </c:extLst>
            </c:dLbl>
            <c:dLbl>
              <c:idx val="6"/>
              <c:layout>
                <c:manualLayout>
                  <c:x val="2.2277915060800288E-3"/>
                  <c:y val="-5.9347181008902079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8-DB19-4056-9FD2-0C9E35597B5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'City wise medicines'!$F$4:$F$10</c:f>
              <c:numCache>
                <c:formatCode>#,##0</c:formatCode>
                <c:ptCount val="7"/>
                <c:pt idx="0">
                  <c:v>38094</c:v>
                </c:pt>
                <c:pt idx="1">
                  <c:v>4435</c:v>
                </c:pt>
                <c:pt idx="2">
                  <c:v>3144</c:v>
                </c:pt>
                <c:pt idx="3">
                  <c:v>909</c:v>
                </c:pt>
                <c:pt idx="4">
                  <c:v>33</c:v>
                </c:pt>
                <c:pt idx="5">
                  <c:v>1096</c:v>
                </c:pt>
                <c:pt idx="6">
                  <c:v>212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B19-4056-9FD2-0C9E35597B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96759200"/>
        <c:axId val="396759528"/>
      </c:barChart>
      <c:catAx>
        <c:axId val="396759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6759528"/>
        <c:crosses val="autoZero"/>
        <c:auto val="1"/>
        <c:lblAlgn val="ctr"/>
        <c:lblOffset val="100"/>
        <c:noMultiLvlLbl val="0"/>
      </c:catAx>
      <c:valAx>
        <c:axId val="396759528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96759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[transactional_data.xlsx]City wise medicines!PivotTable9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medicines</a:t>
            </a:r>
            <a:r>
              <a:rPr lang="en-US" baseline="0"/>
              <a:t> sold in each city</a:t>
            </a:r>
            <a:endParaRPr lang="en-US"/>
          </a:p>
        </c:rich>
      </c:tx>
      <c:layout>
        <c:manualLayout>
          <c:xMode val="edge"/>
          <c:yMode val="edge"/>
          <c:x val="0.29249999999999998"/>
          <c:y val="4.527559055118110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9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dLblPos val="bestFit"/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3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  <c:pivotFmt>
        <c:idx val="16"/>
        <c:spPr>
          <a:solidFill>
            <a:schemeClr val="accent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pieChart>
        <c:varyColors val="1"/>
        <c:ser>
          <c:idx val="0"/>
          <c:order val="0"/>
          <c:tx>
            <c:strRef>
              <c:f>'City wise medicines'!$E$15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FEF-4214-A584-03687C384BC6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FEF-4214-A584-03687C384BC6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FEF-4214-A584-03687C384BC6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FEF-4214-A584-03687C384BC6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FEF-4214-A584-03687C384BC6}"/>
              </c:ext>
            </c:extLst>
          </c:dPt>
          <c:dPt>
            <c:idx val="5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FEF-4214-A584-03687C384BC6}"/>
              </c:ext>
            </c:extLst>
          </c:dPt>
          <c:dPt>
            <c:idx val="6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AFEF-4214-A584-03687C384BC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bestFit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'City wise medicines'!$D$16:$D$23</c:f>
              <c:strCach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strCache>
            </c:strRef>
          </c:cat>
          <c:val>
            <c:numRef>
              <c:f>'City wise medicines'!$E$16:$E$23</c:f>
              <c:numCache>
                <c:formatCode>#,##0</c:formatCode>
                <c:ptCount val="7"/>
                <c:pt idx="0">
                  <c:v>84368</c:v>
                </c:pt>
                <c:pt idx="1">
                  <c:v>9092</c:v>
                </c:pt>
                <c:pt idx="2">
                  <c:v>6562</c:v>
                </c:pt>
                <c:pt idx="3">
                  <c:v>2086</c:v>
                </c:pt>
                <c:pt idx="4">
                  <c:v>70</c:v>
                </c:pt>
                <c:pt idx="5">
                  <c:v>2357</c:v>
                </c:pt>
                <c:pt idx="6">
                  <c:v>474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FEF-4214-A584-03687C384BC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krati saxena</dc:creator>
  <cp:keywords/>
  <dc:description/>
  <cp:lastModifiedBy>vPhrase</cp:lastModifiedBy>
  <cp:revision>2</cp:revision>
  <dcterms:created xsi:type="dcterms:W3CDTF">2018-02-24T17:22:00Z</dcterms:created>
  <dcterms:modified xsi:type="dcterms:W3CDTF">2018-02-24T17:22:00Z</dcterms:modified>
</cp:coreProperties>
</file>