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E" w:rsidRDefault="00B5711E" w:rsidP="006A0BBF">
      <w:pPr>
        <w:jc w:val="both"/>
        <w:rPr>
          <w:b/>
        </w:rPr>
      </w:pP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drawing>
          <wp:anchor distT="0" distB="0" distL="114300" distR="114300" simplePos="0" relativeHeight="251659264" behindDoc="0" locked="0" layoutInCell="1" allowOverlap="1" wp14:anchorId="3E59A10E" wp14:editId="0F845E2C">
            <wp:simplePos x="0" y="0"/>
            <wp:positionH relativeFrom="margin">
              <wp:posOffset>885825</wp:posOffset>
            </wp:positionH>
            <wp:positionV relativeFrom="paragraph">
              <wp:posOffset>-47625</wp:posOffset>
            </wp:positionV>
            <wp:extent cx="1152525" cy="700867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0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11E" w:rsidRPr="003D577F" w:rsidRDefault="00B5711E" w:rsidP="00B5711E">
      <w:pPr>
        <w:pStyle w:val="Header"/>
        <w:ind w:firstLine="3600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 xml:space="preserve">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Department of Mathametical and Phycal Scienecs</w:t>
      </w:r>
    </w:p>
    <w:p w:rsidR="00B5711E" w:rsidRPr="003D577F" w:rsidRDefault="00B5711E" w:rsidP="00B5711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ab/>
        <w:t xml:space="preserve">                                              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East West University, Dhaka, Bangladesh.</w:t>
      </w:r>
    </w:p>
    <w:p w:rsidR="00B5711E" w:rsidRPr="00FA5D3B" w:rsidRDefault="00B5711E" w:rsidP="00B5711E">
      <w:pPr>
        <w:pStyle w:val="Header"/>
        <w:rPr>
          <w:b/>
          <w:bCs/>
          <w:noProof/>
          <w:sz w:val="23"/>
          <w:szCs w:val="23"/>
        </w:rPr>
      </w:pPr>
    </w:p>
    <w:p w:rsidR="00B5711E" w:rsidRDefault="00B5711E" w:rsidP="006A0BBF">
      <w:pPr>
        <w:jc w:val="both"/>
        <w:rPr>
          <w:b/>
        </w:rPr>
      </w:pPr>
    </w:p>
    <w:p w:rsidR="00B5711E" w:rsidRDefault="00B5711E" w:rsidP="00B5711E">
      <w:pPr>
        <w:pStyle w:val="NoSpacing"/>
        <w:rPr>
          <w:rFonts w:ascii="Times New Roman" w:hAnsi="Times New Roman" w:cs="Times New Roman"/>
          <w:b/>
          <w:sz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Instructor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Nazmul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Abedin khan                              </w:t>
      </w:r>
      <w:r w:rsidRPr="00FA5D3B">
        <w:rPr>
          <w:rFonts w:ascii="Times New Roman" w:hAnsi="Times New Roman" w:cs="Times New Roman"/>
          <w:b/>
          <w:sz w:val="24"/>
        </w:rPr>
        <w:t>Student name:</w:t>
      </w:r>
      <w:r>
        <w:rPr>
          <w:b/>
        </w:rPr>
        <w:t xml:space="preserve">  </w:t>
      </w:r>
      <w:r w:rsidRPr="00B5711E">
        <w:rPr>
          <w:b/>
          <w:sz w:val="24"/>
          <w:szCs w:val="24"/>
        </w:rPr>
        <w:t>B M Shahria Alam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109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FA5D3B">
        <w:rPr>
          <w:rFonts w:ascii="Times New Roman" w:hAnsi="Times New Roman" w:cs="Times New Roman"/>
          <w:b/>
          <w:sz w:val="24"/>
        </w:rPr>
        <w:t>ID:</w:t>
      </w:r>
      <w:r>
        <w:rPr>
          <w:rFonts w:ascii="Times New Roman" w:hAnsi="Times New Roman" w:cs="Times New Roman"/>
          <w:b/>
          <w:sz w:val="24"/>
        </w:rPr>
        <w:t xml:space="preserve"> 2021-3-60-016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CHE                                                                           </w:t>
      </w:r>
      <w:r w:rsidRPr="00FA5D3B">
        <w:rPr>
          <w:rFonts w:ascii="Times New Roman" w:hAnsi="Times New Roman" w:cs="Times New Roman"/>
          <w:b/>
          <w:sz w:val="24"/>
        </w:rPr>
        <w:t>Section:</w:t>
      </w:r>
      <w:r>
        <w:rPr>
          <w:rFonts w:ascii="Times New Roman" w:hAnsi="Times New Roman" w:cs="Times New Roman"/>
          <w:b/>
          <w:sz w:val="24"/>
        </w:rPr>
        <w:t xml:space="preserve"> 5</w:t>
      </w:r>
    </w:p>
    <w:p w:rsidR="006A0BBF" w:rsidRDefault="006A0BBF" w:rsidP="00890E03">
      <w:pPr>
        <w:jc w:val="both"/>
        <w:rPr>
          <w:b/>
        </w:rPr>
      </w:pPr>
    </w:p>
    <w:p w:rsidR="009C729F" w:rsidRDefault="009C729F" w:rsidP="00BE6DBB">
      <w:pPr>
        <w:jc w:val="both"/>
        <w:rPr>
          <w:b/>
        </w:rPr>
      </w:pPr>
      <w:r w:rsidRPr="009C729F">
        <w:rPr>
          <w:b/>
        </w:rPr>
        <w:t>Experiment-4: Standardization of a strong acid (</w:t>
      </w:r>
      <w:proofErr w:type="spellStart"/>
      <w:r w:rsidRPr="009C729F">
        <w:rPr>
          <w:b/>
        </w:rPr>
        <w:t>HCl</w:t>
      </w:r>
      <w:proofErr w:type="spellEnd"/>
      <w:r w:rsidRPr="009C729F">
        <w:rPr>
          <w:b/>
        </w:rPr>
        <w:t>) wi</w:t>
      </w:r>
      <w:r>
        <w:rPr>
          <w:b/>
        </w:rPr>
        <w:t>th a standard weak base (</w:t>
      </w:r>
      <w:proofErr w:type="gramStart"/>
      <w:r>
        <w:rPr>
          <w:b/>
        </w:rPr>
        <w:t>Na2</w:t>
      </w:r>
      <w:r w:rsidRPr="009C729F">
        <w:rPr>
          <w:b/>
        </w:rPr>
        <w:t>CO3 )</w:t>
      </w:r>
      <w:proofErr w:type="gramEnd"/>
      <w:r w:rsidRPr="009C729F">
        <w:rPr>
          <w:b/>
        </w:rPr>
        <w:t>.</w:t>
      </w:r>
    </w:p>
    <w:p w:rsidR="009C729F" w:rsidRPr="009C729F" w:rsidRDefault="009C729F" w:rsidP="009C729F">
      <w:pPr>
        <w:jc w:val="both"/>
        <w:rPr>
          <w:b/>
          <w:u w:val="single"/>
        </w:rPr>
      </w:pPr>
      <w:r w:rsidRPr="009C729F">
        <w:rPr>
          <w:b/>
          <w:u w:val="single"/>
        </w:rPr>
        <w:t>Theory:</w:t>
      </w:r>
    </w:p>
    <w:p w:rsidR="009C729F" w:rsidRPr="009C729F" w:rsidRDefault="009C729F" w:rsidP="009C729F">
      <w:pPr>
        <w:jc w:val="both"/>
      </w:pPr>
      <w:r w:rsidRPr="009C729F">
        <w:t>Sodium carbonate is the salt of a w</w:t>
      </w:r>
      <w:r>
        <w:t>eak acid, carbonic acid (</w:t>
      </w:r>
      <w:proofErr w:type="gramStart"/>
      <w:r>
        <w:t>H2CO</w:t>
      </w:r>
      <w:r w:rsidRPr="009C729F">
        <w:t>3 )</w:t>
      </w:r>
      <w:proofErr w:type="gramEnd"/>
      <w:r w:rsidRPr="009C729F">
        <w:t xml:space="preserve">. It is a </w:t>
      </w:r>
      <w:r>
        <w:t xml:space="preserve">primary standard substance. Its </w:t>
      </w:r>
      <w:r w:rsidRPr="009C729F">
        <w:t xml:space="preserve">reaction with </w:t>
      </w:r>
      <w:proofErr w:type="spellStart"/>
      <w:r w:rsidRPr="009C729F">
        <w:t>HCl</w:t>
      </w:r>
      <w:proofErr w:type="spellEnd"/>
      <w:r w:rsidRPr="009C729F">
        <w:t xml:space="preserve"> is a two-step process as follows:</w:t>
      </w:r>
    </w:p>
    <w:p w:rsidR="009C729F" w:rsidRPr="009C729F" w:rsidRDefault="009C729F" w:rsidP="009C729F">
      <w:pPr>
        <w:jc w:val="both"/>
        <w:rPr>
          <w:b/>
        </w:rPr>
      </w:pPr>
      <w:r>
        <w:t xml:space="preserve">                          </w:t>
      </w:r>
      <w:r w:rsidRPr="009C729F">
        <w:rPr>
          <w:b/>
        </w:rPr>
        <w:t>Na 2 CO 3(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 xml:space="preserve">) + </w:t>
      </w:r>
      <w:proofErr w:type="spellStart"/>
      <w:r w:rsidRPr="009C729F">
        <w:rPr>
          <w:b/>
        </w:rPr>
        <w:t>HCl</w:t>
      </w:r>
      <w:proofErr w:type="spellEnd"/>
      <w:r w:rsidRPr="009C729F">
        <w:rPr>
          <w:b/>
        </w:rPr>
        <w:t xml:space="preserve"> 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 xml:space="preserve">) </w:t>
      </w:r>
      <w:proofErr w:type="spellStart"/>
      <w:r w:rsidRPr="009C729F">
        <w:rPr>
          <w:b/>
        </w:rPr>
        <w:t>NaHCO</w:t>
      </w:r>
      <w:proofErr w:type="spellEnd"/>
      <w:r w:rsidRPr="009C729F">
        <w:rPr>
          <w:b/>
        </w:rPr>
        <w:t xml:space="preserve"> 3(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 xml:space="preserve">) + </w:t>
      </w:r>
      <w:proofErr w:type="spellStart"/>
      <w:r w:rsidRPr="009C729F">
        <w:rPr>
          <w:b/>
        </w:rPr>
        <w:t>NaCl</w:t>
      </w:r>
      <w:proofErr w:type="spellEnd"/>
      <w:r w:rsidRPr="009C729F">
        <w:rPr>
          <w:b/>
        </w:rPr>
        <w:t xml:space="preserve"> 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>) …………</w:t>
      </w:r>
      <w:proofErr w:type="gramStart"/>
      <w:r w:rsidRPr="009C729F">
        <w:rPr>
          <w:b/>
        </w:rPr>
        <w:t>..(</w:t>
      </w:r>
      <w:proofErr w:type="gramEnd"/>
      <w:r w:rsidRPr="009C729F">
        <w:rPr>
          <w:b/>
        </w:rPr>
        <w:t>1)</w:t>
      </w:r>
    </w:p>
    <w:p w:rsidR="009C729F" w:rsidRPr="009C729F" w:rsidRDefault="009C729F" w:rsidP="009C729F">
      <w:pPr>
        <w:jc w:val="both"/>
        <w:rPr>
          <w:b/>
        </w:rPr>
      </w:pPr>
      <w:r w:rsidRPr="009C729F">
        <w:rPr>
          <w:b/>
        </w:rPr>
        <w:t xml:space="preserve">                         </w:t>
      </w:r>
      <w:proofErr w:type="spellStart"/>
      <w:r w:rsidRPr="009C729F">
        <w:rPr>
          <w:b/>
        </w:rPr>
        <w:t>NaHCO</w:t>
      </w:r>
      <w:proofErr w:type="spellEnd"/>
      <w:r w:rsidRPr="009C729F">
        <w:rPr>
          <w:b/>
        </w:rPr>
        <w:t xml:space="preserve"> 3(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 xml:space="preserve">) + </w:t>
      </w:r>
      <w:proofErr w:type="spellStart"/>
      <w:r w:rsidRPr="009C729F">
        <w:rPr>
          <w:b/>
        </w:rPr>
        <w:t>HCl</w:t>
      </w:r>
      <w:proofErr w:type="spellEnd"/>
      <w:r w:rsidRPr="009C729F">
        <w:rPr>
          <w:b/>
        </w:rPr>
        <w:t xml:space="preserve"> 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 xml:space="preserve">) </w:t>
      </w:r>
      <w:proofErr w:type="spellStart"/>
      <w:r w:rsidRPr="009C729F">
        <w:rPr>
          <w:b/>
        </w:rPr>
        <w:t>NaCl</w:t>
      </w:r>
      <w:proofErr w:type="spellEnd"/>
      <w:r w:rsidRPr="009C729F">
        <w:rPr>
          <w:b/>
        </w:rPr>
        <w:t xml:space="preserve"> 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>) + H 2 O (l) + CO 2(g) … ……</w:t>
      </w:r>
      <w:proofErr w:type="gramStart"/>
      <w:r w:rsidRPr="009C729F">
        <w:rPr>
          <w:b/>
        </w:rPr>
        <w:t>.(</w:t>
      </w:r>
      <w:proofErr w:type="gramEnd"/>
      <w:r w:rsidRPr="009C729F">
        <w:rPr>
          <w:b/>
        </w:rPr>
        <w:t>2)</w:t>
      </w:r>
    </w:p>
    <w:p w:rsidR="009C729F" w:rsidRPr="009C729F" w:rsidRDefault="009C729F" w:rsidP="009C729F">
      <w:pPr>
        <w:jc w:val="both"/>
      </w:pPr>
      <w:r w:rsidRPr="009C729F">
        <w:t>The overall reaction:</w:t>
      </w:r>
    </w:p>
    <w:p w:rsidR="009C729F" w:rsidRPr="009C729F" w:rsidRDefault="009C729F" w:rsidP="009C729F">
      <w:pPr>
        <w:jc w:val="both"/>
        <w:rPr>
          <w:b/>
        </w:rPr>
      </w:pPr>
      <w:r>
        <w:t xml:space="preserve">                         </w:t>
      </w:r>
      <w:r w:rsidRPr="009C729F">
        <w:rPr>
          <w:b/>
        </w:rPr>
        <w:t>Na 2 CO 3(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>) + 2HCl 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>) 2NaCl (</w:t>
      </w:r>
      <w:proofErr w:type="spellStart"/>
      <w:r w:rsidRPr="009C729F">
        <w:rPr>
          <w:b/>
        </w:rPr>
        <w:t>aq</w:t>
      </w:r>
      <w:proofErr w:type="spellEnd"/>
      <w:r w:rsidRPr="009C729F">
        <w:rPr>
          <w:b/>
        </w:rPr>
        <w:t>) + H 2 O (l) + CO 2(g) …...…</w:t>
      </w:r>
      <w:proofErr w:type="gramStart"/>
      <w:r w:rsidRPr="009C729F">
        <w:rPr>
          <w:b/>
        </w:rPr>
        <w:t>..(</w:t>
      </w:r>
      <w:proofErr w:type="gramEnd"/>
      <w:r w:rsidRPr="009C729F">
        <w:rPr>
          <w:b/>
        </w:rPr>
        <w:t>3)</w:t>
      </w:r>
    </w:p>
    <w:p w:rsidR="009C729F" w:rsidRPr="009C729F" w:rsidRDefault="009C729F" w:rsidP="009C729F">
      <w:pPr>
        <w:jc w:val="both"/>
      </w:pPr>
      <w:r w:rsidRPr="009C729F">
        <w:t xml:space="preserve">Since 1 </w:t>
      </w:r>
      <w:proofErr w:type="spellStart"/>
      <w:r w:rsidRPr="009C729F">
        <w:t>mol</w:t>
      </w:r>
      <w:proofErr w:type="spellEnd"/>
      <w:r w:rsidRPr="009C729F">
        <w:t xml:space="preserve"> of Na 2 CO 3 reacts with 2 </w:t>
      </w:r>
      <w:proofErr w:type="spellStart"/>
      <w:r w:rsidRPr="009C729F">
        <w:t>mol</w:t>
      </w:r>
      <w:proofErr w:type="spellEnd"/>
      <w:r w:rsidRPr="009C729F">
        <w:t xml:space="preserve"> of </w:t>
      </w:r>
      <w:proofErr w:type="spellStart"/>
      <w:r w:rsidRPr="009C729F">
        <w:t>HCl</w:t>
      </w:r>
      <w:proofErr w:type="spellEnd"/>
      <w:r w:rsidRPr="009C729F">
        <w:t>, the following expression can be written:</w:t>
      </w:r>
    </w:p>
    <w:p w:rsidR="00685F58" w:rsidRPr="009C729F" w:rsidRDefault="009C729F" w:rsidP="009C729F">
      <w:pPr>
        <w:jc w:val="both"/>
        <w:rPr>
          <w:b/>
        </w:rPr>
      </w:pPr>
      <w:r>
        <w:rPr>
          <w:b/>
        </w:rPr>
        <w:t xml:space="preserve">                      </w:t>
      </w:r>
      <w:r w:rsidRPr="009C729F">
        <w:rPr>
          <w:b/>
        </w:rPr>
        <w:t>Va Ma = 2Vb Mb …...…</w:t>
      </w:r>
      <w:proofErr w:type="gramStart"/>
      <w:r w:rsidRPr="009C729F">
        <w:rPr>
          <w:b/>
        </w:rPr>
        <w:t>..(</w:t>
      </w:r>
      <w:proofErr w:type="gramEnd"/>
      <w:r w:rsidRPr="009C729F">
        <w:rPr>
          <w:b/>
        </w:rPr>
        <w:t>4)</w:t>
      </w:r>
    </w:p>
    <w:p w:rsidR="009C729F" w:rsidRDefault="009C729F" w:rsidP="009C729F">
      <w:pPr>
        <w:jc w:val="both"/>
      </w:pPr>
    </w:p>
    <w:p w:rsidR="009C729F" w:rsidRDefault="009C729F" w:rsidP="009C729F">
      <w:pPr>
        <w:jc w:val="both"/>
      </w:pPr>
      <w:r>
        <w:t xml:space="preserve">Where, </w:t>
      </w:r>
    </w:p>
    <w:p w:rsidR="009C729F" w:rsidRDefault="002459E2" w:rsidP="009C729F">
      <w:pPr>
        <w:jc w:val="both"/>
      </w:pPr>
      <w:r>
        <w:t xml:space="preserve">           Mb= Molarity of Na2CO</w:t>
      </w:r>
      <w:r w:rsidR="009C729F">
        <w:t>3</w:t>
      </w:r>
    </w:p>
    <w:p w:rsidR="009C729F" w:rsidRDefault="002459E2" w:rsidP="009C729F">
      <w:pPr>
        <w:jc w:val="both"/>
      </w:pPr>
      <w:r>
        <w:t xml:space="preserve">           </w:t>
      </w:r>
      <w:proofErr w:type="spellStart"/>
      <w:r>
        <w:t>Vb</w:t>
      </w:r>
      <w:proofErr w:type="spellEnd"/>
      <w:r>
        <w:t xml:space="preserve"> = Volume of Na2CO3</w:t>
      </w:r>
      <w:r w:rsidR="009C729F">
        <w:t xml:space="preserve"> = 10mL</w:t>
      </w:r>
    </w:p>
    <w:p w:rsidR="009C729F" w:rsidRDefault="002459E2" w:rsidP="009C729F">
      <w:pPr>
        <w:jc w:val="both"/>
      </w:pPr>
      <w:r>
        <w:t xml:space="preserve">           </w:t>
      </w:r>
      <w:proofErr w:type="spellStart"/>
      <w:proofErr w:type="gramStart"/>
      <w:r w:rsidR="009C729F">
        <w:t>V</w:t>
      </w:r>
      <w:r>
        <w:t>a</w:t>
      </w:r>
      <w:proofErr w:type="spellEnd"/>
      <w:proofErr w:type="gramEnd"/>
      <w:r w:rsidR="009C729F">
        <w:t xml:space="preserve"> = Volume of </w:t>
      </w:r>
      <w:proofErr w:type="spellStart"/>
      <w:r w:rsidR="009C729F">
        <w:t>HCl</w:t>
      </w:r>
      <w:proofErr w:type="spellEnd"/>
      <w:r w:rsidR="009C729F">
        <w:t xml:space="preserve"> </w:t>
      </w:r>
    </w:p>
    <w:p w:rsidR="009C729F" w:rsidRDefault="002459E2" w:rsidP="009C729F">
      <w:pPr>
        <w:jc w:val="both"/>
      </w:pPr>
      <w:r>
        <w:t xml:space="preserve">           Ma</w:t>
      </w:r>
      <w:r w:rsidR="009C729F">
        <w:t xml:space="preserve"> = Molarity of </w:t>
      </w:r>
      <w:proofErr w:type="spellStart"/>
      <w:r w:rsidR="009C729F">
        <w:t>HCl</w:t>
      </w:r>
      <w:proofErr w:type="spellEnd"/>
      <w:r w:rsidR="009C729F">
        <w:t xml:space="preserve"> =?</w:t>
      </w:r>
    </w:p>
    <w:p w:rsidR="002459E2" w:rsidRDefault="002459E2" w:rsidP="009C729F">
      <w:pPr>
        <w:jc w:val="both"/>
      </w:pPr>
    </w:p>
    <w:p w:rsidR="002459E2" w:rsidRPr="002459E2" w:rsidRDefault="002459E2" w:rsidP="002459E2">
      <w:pPr>
        <w:jc w:val="both"/>
        <w:rPr>
          <w:b/>
          <w:u w:val="single"/>
        </w:rPr>
      </w:pPr>
      <w:r w:rsidRPr="002459E2">
        <w:rPr>
          <w:b/>
          <w:u w:val="single"/>
        </w:rPr>
        <w:t>Procedure:</w:t>
      </w:r>
    </w:p>
    <w:p w:rsidR="002459E2" w:rsidRPr="002459E2" w:rsidRDefault="002459E2" w:rsidP="002459E2">
      <w:pPr>
        <w:jc w:val="both"/>
        <w:rPr>
          <w:b/>
        </w:rPr>
      </w:pPr>
      <w:r w:rsidRPr="002459E2">
        <w:rPr>
          <w:b/>
        </w:rPr>
        <w:t>a) Dilution of standard 0.1M Na 2 CO 3 from 1M Na 2 CO 3 solution:</w:t>
      </w:r>
    </w:p>
    <w:p w:rsidR="002459E2" w:rsidRDefault="002459E2" w:rsidP="002459E2">
      <w:pPr>
        <w:jc w:val="both"/>
      </w:pPr>
      <w:r>
        <w:t>Retrieve the 1M Na 2 CO 3 solution and a 100 mL volumetric flask from the stockroom. Take 10mL of 1M stock Na 2 CO 3 solution, transfer it to 100mL volumetric flask and dilute it up to the mark with water.</w:t>
      </w:r>
    </w:p>
    <w:p w:rsidR="00914735" w:rsidRPr="00914735" w:rsidRDefault="00914735" w:rsidP="00914735">
      <w:pPr>
        <w:jc w:val="both"/>
        <w:rPr>
          <w:b/>
        </w:rPr>
      </w:pPr>
      <w:r w:rsidRPr="00914735">
        <w:rPr>
          <w:b/>
        </w:rPr>
        <w:t xml:space="preserve">Dilution: </w:t>
      </w:r>
    </w:p>
    <w:p w:rsidR="00914735" w:rsidRDefault="00914735" w:rsidP="00914735">
      <w:pPr>
        <w:jc w:val="both"/>
      </w:pPr>
      <w:r>
        <w:t xml:space="preserve">How to prepare 0.1 M </w:t>
      </w:r>
      <w:proofErr w:type="spellStart"/>
      <w:r>
        <w:t>HCl</w:t>
      </w:r>
      <w:proofErr w:type="spellEnd"/>
      <w:r>
        <w:t xml:space="preserve"> solution from 1.0 M </w:t>
      </w:r>
      <w:proofErr w:type="spellStart"/>
      <w:r>
        <w:t>HCl</w:t>
      </w:r>
      <w:proofErr w:type="spellEnd"/>
      <w:r>
        <w:t xml:space="preserve"> solution</w:t>
      </w:r>
    </w:p>
    <w:p w:rsidR="00914735" w:rsidRDefault="00914735" w:rsidP="00914735">
      <w:pPr>
        <w:jc w:val="both"/>
      </w:pPr>
      <w:r>
        <w:t xml:space="preserve">Solution 1: Stock solution; </w:t>
      </w:r>
      <w:proofErr w:type="spellStart"/>
      <w:r>
        <w:t>HCl</w:t>
      </w:r>
      <w:proofErr w:type="spellEnd"/>
      <w:r>
        <w:t>, 1 M</w:t>
      </w:r>
    </w:p>
    <w:p w:rsidR="00914735" w:rsidRDefault="00914735" w:rsidP="00914735">
      <w:pPr>
        <w:jc w:val="both"/>
      </w:pPr>
      <w:r>
        <w:t xml:space="preserve">Solution 2: this is the target solution. </w:t>
      </w:r>
      <w:proofErr w:type="gramStart"/>
      <w:r>
        <w:t>have</w:t>
      </w:r>
      <w:proofErr w:type="gramEnd"/>
      <w:r>
        <w:t xml:space="preserve"> to prepare 0.1 M </w:t>
      </w:r>
      <w:proofErr w:type="spellStart"/>
      <w:r>
        <w:t>HCl</w:t>
      </w:r>
      <w:proofErr w:type="spellEnd"/>
      <w:r>
        <w:t xml:space="preserve"> in 100 mL volumetric flask.</w:t>
      </w:r>
    </w:p>
    <w:p w:rsidR="00914735" w:rsidRDefault="00914735" w:rsidP="00914735">
      <w:pPr>
        <w:jc w:val="both"/>
      </w:pPr>
      <w:r>
        <w:t>Equation is V1M1 = V2M</w:t>
      </w:r>
    </w:p>
    <w:p w:rsidR="00914735" w:rsidRDefault="00914735" w:rsidP="00914735">
      <w:pPr>
        <w:jc w:val="both"/>
      </w:pPr>
      <w:r>
        <w:t>Solution 1, mother solution, 1.0 M Na2CO3</w:t>
      </w:r>
    </w:p>
    <w:p w:rsidR="00914735" w:rsidRDefault="00914735" w:rsidP="00914735">
      <w:pPr>
        <w:jc w:val="both"/>
      </w:pPr>
      <w:r>
        <w:t xml:space="preserve"> Solution 2, target solution, 0.1 M Na2CO3 in 100 mL</w:t>
      </w:r>
    </w:p>
    <w:p w:rsidR="00914735" w:rsidRDefault="00914735" w:rsidP="00914735">
      <w:pPr>
        <w:jc w:val="both"/>
      </w:pPr>
      <w:r>
        <w:lastRenderedPageBreak/>
        <w:t xml:space="preserve"> V1M1 = V2 M2 </w:t>
      </w:r>
    </w:p>
    <w:p w:rsidR="00914735" w:rsidRDefault="00914735" w:rsidP="00914735">
      <w:pPr>
        <w:jc w:val="both"/>
      </w:pPr>
      <w:r>
        <w:t>V1=</w:t>
      </w:r>
      <w:r>
        <w:t xml:space="preserve">? </w:t>
      </w:r>
    </w:p>
    <w:p w:rsidR="00914735" w:rsidRDefault="00914735" w:rsidP="00914735">
      <w:pPr>
        <w:jc w:val="both"/>
      </w:pPr>
      <w:r>
        <w:t xml:space="preserve">M1 = 1 M </w:t>
      </w:r>
    </w:p>
    <w:p w:rsidR="00914735" w:rsidRDefault="00914735" w:rsidP="00914735">
      <w:pPr>
        <w:jc w:val="both"/>
      </w:pPr>
      <w:r>
        <w:t xml:space="preserve">V2 = 100 mL </w:t>
      </w:r>
    </w:p>
    <w:p w:rsidR="00914735" w:rsidRDefault="00914735" w:rsidP="00914735">
      <w:pPr>
        <w:jc w:val="both"/>
      </w:pPr>
      <w:r>
        <w:t xml:space="preserve">M2 = 0.1 M </w:t>
      </w:r>
    </w:p>
    <w:p w:rsidR="00914735" w:rsidRDefault="00914735" w:rsidP="00914735">
      <w:pPr>
        <w:jc w:val="both"/>
      </w:pPr>
      <w:r>
        <w:t>V1= V2xM2/M1</w:t>
      </w:r>
    </w:p>
    <w:p w:rsidR="00914735" w:rsidRDefault="00914735" w:rsidP="00914735">
      <w:pPr>
        <w:jc w:val="both"/>
      </w:pPr>
      <w:r>
        <w:t>Then we get V1 = 10 mL</w:t>
      </w:r>
    </w:p>
    <w:p w:rsidR="004E750E" w:rsidRDefault="004E750E" w:rsidP="004E750E">
      <w:pPr>
        <w:jc w:val="both"/>
      </w:pPr>
      <w:r w:rsidRPr="004E750E">
        <w:rPr>
          <w:b/>
          <w:u w:val="single"/>
        </w:rPr>
        <w:t xml:space="preserve">b) Standardization of </w:t>
      </w:r>
      <w:proofErr w:type="spellStart"/>
      <w:r w:rsidRPr="004E750E">
        <w:rPr>
          <w:b/>
          <w:u w:val="single"/>
        </w:rPr>
        <w:t>HCl</w:t>
      </w:r>
      <w:proofErr w:type="spellEnd"/>
      <w:r>
        <w:t>:</w:t>
      </w:r>
    </w:p>
    <w:p w:rsidR="004E750E" w:rsidRDefault="004E750E" w:rsidP="004E750E">
      <w:pPr>
        <w:jc w:val="both"/>
      </w:pPr>
      <w:r>
        <w:t xml:space="preserve">Take </w:t>
      </w:r>
      <w:proofErr w:type="spellStart"/>
      <w:r>
        <w:t>HCl</w:t>
      </w:r>
      <w:proofErr w:type="spellEnd"/>
      <w:r>
        <w:t xml:space="preserve"> (0.1M) solution in a burette and record the initial reading in Table.</w:t>
      </w:r>
    </w:p>
    <w:p w:rsidR="004E750E" w:rsidRDefault="004E750E" w:rsidP="004E750E">
      <w:pPr>
        <w:jc w:val="both"/>
      </w:pPr>
      <w:r>
        <w:t>Pipette 10 mL of standard 0.1M Na 2 CO 3 solution into a 250 mL conical flask. Add 0.1mL (2 drops) of methyl orange indicator to 10mL Na 2 CO 3 solution and the solution’s color changes to yellow.</w:t>
      </w:r>
    </w:p>
    <w:p w:rsidR="004E750E" w:rsidRDefault="004E750E" w:rsidP="004E750E">
      <w:pPr>
        <w:jc w:val="both"/>
      </w:pPr>
      <w:r>
        <w:t xml:space="preserve">Titrate the solution with the given </w:t>
      </w:r>
      <w:proofErr w:type="spellStart"/>
      <w:r>
        <w:t>HCl</w:t>
      </w:r>
      <w:proofErr w:type="spellEnd"/>
      <w:r>
        <w:t xml:space="preserve"> by continuously adding 0.2 mL (1drop) each time until changing its color from yellow to red. At the end point, record the final reading on burette in table.</w:t>
      </w:r>
    </w:p>
    <w:p w:rsidR="004E750E" w:rsidRDefault="004E750E" w:rsidP="004E750E">
      <w:pPr>
        <w:jc w:val="both"/>
      </w:pPr>
      <w:r>
        <w:t xml:space="preserve">Calculate the difference between two burette readings (initial and final), which is the amount of </w:t>
      </w:r>
      <w:proofErr w:type="spellStart"/>
      <w:r>
        <w:t>HCl</w:t>
      </w:r>
      <w:proofErr w:type="spellEnd"/>
      <w:r>
        <w:t xml:space="preserve"> required neutralizing Na2CO3</w:t>
      </w:r>
    </w:p>
    <w:p w:rsidR="00BB1AB7" w:rsidRDefault="00BB1AB7" w:rsidP="004E750E">
      <w:pPr>
        <w:jc w:val="both"/>
      </w:pPr>
    </w:p>
    <w:p w:rsidR="00D93D04" w:rsidRDefault="00B917D4" w:rsidP="006A0BBF">
      <w:pPr>
        <w:jc w:val="both"/>
        <w:rPr>
          <w:b/>
          <w:u w:val="single"/>
        </w:rPr>
      </w:pPr>
      <w:r>
        <w:rPr>
          <w:b/>
          <w:u w:val="single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080"/>
      </w:tblGrid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 xml:space="preserve">Volume of </w:t>
            </w:r>
            <w:proofErr w:type="spellStart"/>
            <w:r w:rsidRPr="004E750E">
              <w:rPr>
                <w:b/>
                <w:u w:val="single"/>
              </w:rPr>
              <w:t>HCl</w:t>
            </w:r>
            <w:proofErr w:type="spellEnd"/>
            <w:r w:rsidRPr="004E750E">
              <w:rPr>
                <w:b/>
                <w:u w:val="single"/>
              </w:rPr>
              <w:t>, ml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pH of base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11.64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0.2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11.54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0.4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11.44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0.6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11.35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0.8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11.27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11.19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11.12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11.06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10.95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10.89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10.85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10.76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10.71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10.67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3.2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10.63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3.4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3.6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10.56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3.8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10.52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10.49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10.45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10.42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10.38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10.35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lastRenderedPageBreak/>
              <w:t>5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10.31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10.28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10.24</w:t>
            </w:r>
          </w:p>
        </w:tc>
      </w:tr>
      <w:tr w:rsidR="004E750E" w:rsidRPr="004E750E" w:rsidTr="004E750E">
        <w:trPr>
          <w:trHeight w:val="315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10.21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10.17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10.14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10.07</w:t>
            </w:r>
          </w:p>
        </w:tc>
      </w:tr>
      <w:tr w:rsidR="004E750E" w:rsidRPr="004E750E" w:rsidTr="004E750E">
        <w:trPr>
          <w:trHeight w:val="315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10.03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9.99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9.95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9.91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9.86</w:t>
            </w:r>
          </w:p>
        </w:tc>
      </w:tr>
      <w:tr w:rsidR="004E750E" w:rsidRPr="004E750E" w:rsidTr="004E750E">
        <w:trPr>
          <w:trHeight w:val="315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9.82</w:t>
            </w:r>
          </w:p>
        </w:tc>
      </w:tr>
      <w:tr w:rsidR="004E750E" w:rsidRPr="004E750E" w:rsidTr="004E750E">
        <w:trPr>
          <w:trHeight w:val="315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9.77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9.71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9.66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9.53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9.45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9.37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9.26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9.13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8.96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9.8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8.71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8.33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7.95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7.53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10.8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7.21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7.14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7.07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11.8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7.01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6.95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12.2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12.4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6.85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12.6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12.8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6.76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13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6.72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13.2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6.68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13.4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6.64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13.6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13.8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6.56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6.53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14.2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6.49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14.4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6.46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14.6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6.42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14.8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6.39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lastRenderedPageBreak/>
              <w:t>15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6.35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15.2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6.32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15.4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6.28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15.6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6.25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15.8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6.21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6.18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16.2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6.14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16.4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16.6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6.06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16.8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6.02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5.98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17.2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5.94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17.4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17.6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5.85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17.8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5.75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18.2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5.69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18.4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5.63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18.6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5.56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18.8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5.49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5.4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19.2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5.29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19.4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5.16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19.6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4.97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19.8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4.67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3.91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highlight w:val="yellow"/>
                <w:u w:val="single"/>
              </w:rPr>
            </w:pPr>
            <w:r w:rsidRPr="004E750E">
              <w:rPr>
                <w:b/>
                <w:highlight w:val="yellow"/>
                <w:u w:val="single"/>
              </w:rPr>
              <w:t>20.2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highlight w:val="yellow"/>
                <w:u w:val="single"/>
              </w:rPr>
            </w:pPr>
            <w:r w:rsidRPr="004E750E">
              <w:rPr>
                <w:b/>
                <w:highlight w:val="yellow"/>
                <w:u w:val="single"/>
              </w:rPr>
              <w:t>3.17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20.4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2.88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20.6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2.71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20.8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2.59</w:t>
            </w:r>
          </w:p>
        </w:tc>
      </w:tr>
      <w:tr w:rsidR="004E750E" w:rsidRPr="004E750E" w:rsidTr="004E750E">
        <w:trPr>
          <w:trHeight w:val="300"/>
        </w:trPr>
        <w:tc>
          <w:tcPr>
            <w:tcW w:w="182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21</w:t>
            </w:r>
          </w:p>
        </w:tc>
        <w:tc>
          <w:tcPr>
            <w:tcW w:w="1080" w:type="dxa"/>
            <w:noWrap/>
            <w:hideMark/>
          </w:tcPr>
          <w:p w:rsidR="004E750E" w:rsidRPr="004E750E" w:rsidRDefault="004E750E" w:rsidP="004E750E">
            <w:pPr>
              <w:jc w:val="both"/>
              <w:rPr>
                <w:b/>
                <w:u w:val="single"/>
              </w:rPr>
            </w:pPr>
            <w:r w:rsidRPr="004E750E">
              <w:rPr>
                <w:b/>
                <w:u w:val="single"/>
              </w:rPr>
              <w:t>2.49</w:t>
            </w:r>
          </w:p>
        </w:tc>
      </w:tr>
    </w:tbl>
    <w:p w:rsidR="00B917D4" w:rsidRPr="00B917D4" w:rsidRDefault="00B917D4" w:rsidP="006A0BBF">
      <w:pPr>
        <w:jc w:val="both"/>
      </w:pPr>
    </w:p>
    <w:tbl>
      <w:tblPr>
        <w:tblW w:w="6220" w:type="dxa"/>
        <w:tblLook w:val="04A0" w:firstRow="1" w:lastRow="0" w:firstColumn="1" w:lastColumn="0" w:noHBand="0" w:noVBand="1"/>
      </w:tblPr>
      <w:tblGrid>
        <w:gridCol w:w="5260"/>
        <w:gridCol w:w="960"/>
      </w:tblGrid>
      <w:tr w:rsidR="004E750E" w:rsidRPr="004E750E" w:rsidTr="004E750E">
        <w:trPr>
          <w:trHeight w:val="300"/>
        </w:trPr>
        <w:tc>
          <w:tcPr>
            <w:tcW w:w="5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proofErr w:type="spellStart"/>
            <w:r w:rsidRPr="004E750E">
              <w:rPr>
                <w:rFonts w:ascii="Calibri" w:eastAsia="Times New Roman" w:hAnsi="Calibri" w:cs="Calibri"/>
                <w:b/>
                <w:bCs/>
                <w:color w:val="FA7D00"/>
              </w:rPr>
              <w:t>Va</w:t>
            </w:r>
            <w:proofErr w:type="spellEnd"/>
            <w:r w:rsidRPr="004E750E">
              <w:rPr>
                <w:rFonts w:ascii="Calibri" w:eastAsia="Times New Roman" w:hAnsi="Calibri" w:cs="Calibri"/>
                <w:b/>
                <w:bCs/>
                <w:color w:val="FA7D00"/>
              </w:rPr>
              <w:t xml:space="preserve"> x Ma = 2Vb x Mb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hideMark/>
          </w:tcPr>
          <w:p w:rsidR="004E750E" w:rsidRPr="004E750E" w:rsidRDefault="004E750E" w:rsidP="004E7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FA7D00"/>
              </w:rPr>
              <w:t> </w:t>
            </w:r>
          </w:p>
        </w:tc>
      </w:tr>
      <w:tr w:rsidR="004E750E" w:rsidRPr="004E750E" w:rsidTr="004E750E">
        <w:trPr>
          <w:trHeight w:val="31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E750E" w:rsidRPr="004E750E" w:rsidTr="004E750E">
        <w:trPr>
          <w:trHeight w:val="300"/>
        </w:trPr>
        <w:tc>
          <w:tcPr>
            <w:tcW w:w="5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4E750E">
              <w:rPr>
                <w:rFonts w:ascii="Calibri" w:eastAsia="Times New Roman" w:hAnsi="Calibri" w:cs="Calibri"/>
                <w:color w:val="3F3F76"/>
              </w:rPr>
              <w:t>Va</w:t>
            </w:r>
            <w:proofErr w:type="spellEnd"/>
            <w:r w:rsidRPr="004E750E">
              <w:rPr>
                <w:rFonts w:ascii="Calibri" w:eastAsia="Times New Roman" w:hAnsi="Calibri" w:cs="Calibri"/>
                <w:color w:val="3F3F76"/>
              </w:rPr>
              <w:t xml:space="preserve">, Volume of </w:t>
            </w:r>
            <w:proofErr w:type="spellStart"/>
            <w:r w:rsidRPr="004E750E">
              <w:rPr>
                <w:rFonts w:ascii="Calibri" w:eastAsia="Times New Roman" w:hAnsi="Calibri" w:cs="Calibri"/>
                <w:color w:val="3F3F76"/>
              </w:rPr>
              <w:t>HCl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4E750E">
              <w:rPr>
                <w:rFonts w:ascii="Calibri" w:eastAsia="Times New Roman" w:hAnsi="Calibri" w:cs="Calibri"/>
                <w:color w:val="3F3F76"/>
              </w:rPr>
              <w:t>20.2</w:t>
            </w:r>
          </w:p>
        </w:tc>
      </w:tr>
      <w:tr w:rsidR="004E750E" w:rsidRPr="004E750E" w:rsidTr="004E750E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4E750E">
              <w:rPr>
                <w:rFonts w:ascii="Calibri" w:eastAsia="Times New Roman" w:hAnsi="Calibri" w:cs="Calibri"/>
                <w:color w:val="3F3F76"/>
              </w:rPr>
              <w:t xml:space="preserve">Ma, Molarity of </w:t>
            </w:r>
            <w:proofErr w:type="spellStart"/>
            <w:r w:rsidRPr="004E750E">
              <w:rPr>
                <w:rFonts w:ascii="Calibri" w:eastAsia="Times New Roman" w:hAnsi="Calibri" w:cs="Calibri"/>
                <w:color w:val="3F3F76"/>
              </w:rPr>
              <w:t>HCl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4E750E">
              <w:rPr>
                <w:rFonts w:ascii="Calibri" w:eastAsia="Times New Roman" w:hAnsi="Calibri" w:cs="Calibri"/>
                <w:color w:val="3F3F76"/>
              </w:rPr>
              <w:t>?</w:t>
            </w:r>
          </w:p>
        </w:tc>
      </w:tr>
      <w:tr w:rsidR="004E750E" w:rsidRPr="004E750E" w:rsidTr="004E750E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4E750E">
              <w:rPr>
                <w:rFonts w:ascii="Calibri" w:eastAsia="Times New Roman" w:hAnsi="Calibri" w:cs="Calibri"/>
                <w:color w:val="3F3F76"/>
              </w:rPr>
              <w:t>Vb</w:t>
            </w:r>
            <w:proofErr w:type="spellEnd"/>
            <w:r w:rsidRPr="004E750E">
              <w:rPr>
                <w:rFonts w:ascii="Calibri" w:eastAsia="Times New Roman" w:hAnsi="Calibri" w:cs="Calibri"/>
                <w:color w:val="3F3F76"/>
              </w:rPr>
              <w:t>, Volume of Na2CO3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4E750E">
              <w:rPr>
                <w:rFonts w:ascii="Calibri" w:eastAsia="Times New Roman" w:hAnsi="Calibri" w:cs="Calibri"/>
                <w:color w:val="3F3F76"/>
              </w:rPr>
              <w:t>10 ml</w:t>
            </w:r>
          </w:p>
        </w:tc>
      </w:tr>
      <w:tr w:rsidR="004E750E" w:rsidRPr="004E750E" w:rsidTr="004E750E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4E750E">
              <w:rPr>
                <w:rFonts w:ascii="Calibri" w:eastAsia="Times New Roman" w:hAnsi="Calibri" w:cs="Calibri"/>
                <w:color w:val="3F3F76"/>
              </w:rPr>
              <w:t>Mb, Molarity of Na2CO3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4E750E">
              <w:rPr>
                <w:rFonts w:ascii="Calibri" w:eastAsia="Times New Roman" w:hAnsi="Calibri" w:cs="Calibri"/>
                <w:color w:val="3F3F76"/>
              </w:rPr>
              <w:t>0.1M</w:t>
            </w:r>
          </w:p>
        </w:tc>
      </w:tr>
      <w:tr w:rsidR="004E750E" w:rsidRPr="004E750E" w:rsidTr="004E750E">
        <w:trPr>
          <w:trHeight w:val="31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E750E" w:rsidRPr="004E750E" w:rsidTr="004E750E">
        <w:trPr>
          <w:trHeight w:val="300"/>
        </w:trPr>
        <w:tc>
          <w:tcPr>
            <w:tcW w:w="5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FA7D00"/>
              </w:rPr>
              <w:t>Ma=2Vb*Mb/</w:t>
            </w:r>
            <w:proofErr w:type="spellStart"/>
            <w:r w:rsidRPr="004E750E">
              <w:rPr>
                <w:rFonts w:ascii="Calibri" w:eastAsia="Times New Roman" w:hAnsi="Calibri" w:cs="Calibri"/>
                <w:b/>
                <w:bCs/>
                <w:color w:val="FA7D00"/>
              </w:rPr>
              <w:t>Va</w:t>
            </w:r>
            <w:proofErr w:type="spellEnd"/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4E750E" w:rsidRPr="004E750E" w:rsidRDefault="004E750E" w:rsidP="004E750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4E750E">
              <w:rPr>
                <w:rFonts w:ascii="Calibri" w:eastAsia="Times New Roman" w:hAnsi="Calibri" w:cs="Calibri"/>
                <w:b/>
                <w:bCs/>
                <w:color w:val="FA7D00"/>
              </w:rPr>
              <w:t>0.099M</w:t>
            </w:r>
          </w:p>
        </w:tc>
      </w:tr>
    </w:tbl>
    <w:p w:rsidR="00D93D04" w:rsidRPr="00B917D4" w:rsidRDefault="00D93D04" w:rsidP="006A0BBF">
      <w:pPr>
        <w:jc w:val="both"/>
        <w:rPr>
          <w:b/>
        </w:rPr>
      </w:pPr>
    </w:p>
    <w:tbl>
      <w:tblPr>
        <w:tblW w:w="5260" w:type="dxa"/>
        <w:tblLook w:val="04A0" w:firstRow="1" w:lastRow="0" w:firstColumn="1" w:lastColumn="0" w:noHBand="0" w:noVBand="1"/>
      </w:tblPr>
      <w:tblGrid>
        <w:gridCol w:w="5260"/>
      </w:tblGrid>
      <w:tr w:rsidR="004E750E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Pr="004E750E" w:rsidRDefault="004E750E" w:rsidP="004E750E">
            <w:pPr>
              <w:rPr>
                <w:rFonts w:ascii="Calibri" w:hAnsi="Calibri" w:cs="Calibri"/>
                <w:b/>
                <w:color w:val="9C0006"/>
                <w:u w:val="single"/>
              </w:rPr>
            </w:pPr>
            <w:r w:rsidRPr="004E750E">
              <w:rPr>
                <w:rFonts w:ascii="Calibri" w:hAnsi="Calibri" w:cs="Calibri"/>
                <w:b/>
                <w:color w:val="9C0006"/>
                <w:u w:val="single"/>
              </w:rPr>
              <w:t>Percentage of error:</w:t>
            </w:r>
          </w:p>
        </w:tc>
      </w:tr>
      <w:tr w:rsidR="004E750E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4E750E" w:rsidP="004E750E">
            <w:pPr>
              <w:rPr>
                <w:rFonts w:ascii="Calibri" w:hAnsi="Calibri" w:cs="Calibri"/>
                <w:color w:val="3F3F76"/>
              </w:rPr>
            </w:pPr>
            <w:r>
              <w:rPr>
                <w:rFonts w:ascii="Calibri" w:hAnsi="Calibri" w:cs="Calibri"/>
                <w:color w:val="3F3F76"/>
              </w:rPr>
              <w:t>Error = |(</w:t>
            </w:r>
            <w:proofErr w:type="spellStart"/>
            <w:r>
              <w:rPr>
                <w:rFonts w:ascii="Calibri" w:hAnsi="Calibri" w:cs="Calibri"/>
                <w:color w:val="3F3F76"/>
              </w:rPr>
              <w:t>Theo.value-Exp.value</w:t>
            </w:r>
            <w:proofErr w:type="spellEnd"/>
            <w:r>
              <w:rPr>
                <w:rFonts w:ascii="Calibri" w:hAnsi="Calibri" w:cs="Calibri"/>
                <w:color w:val="3F3F76"/>
              </w:rPr>
              <w:t>)/(</w:t>
            </w:r>
            <w:proofErr w:type="spellStart"/>
            <w:r>
              <w:rPr>
                <w:rFonts w:ascii="Calibri" w:hAnsi="Calibri" w:cs="Calibri"/>
                <w:color w:val="3F3F76"/>
              </w:rPr>
              <w:t>Theo.value</w:t>
            </w:r>
            <w:proofErr w:type="spellEnd"/>
            <w:r>
              <w:rPr>
                <w:rFonts w:ascii="Calibri" w:hAnsi="Calibri" w:cs="Calibri"/>
                <w:color w:val="3F3F76"/>
              </w:rPr>
              <w:t xml:space="preserve">)|×100%   </w:t>
            </w:r>
          </w:p>
        </w:tc>
      </w:tr>
      <w:tr w:rsidR="004E750E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4E750E" w:rsidP="004E750E">
            <w:pPr>
              <w:rPr>
                <w:rFonts w:ascii="Calibri" w:hAnsi="Calibri" w:cs="Calibri"/>
                <w:b/>
                <w:bCs/>
                <w:color w:val="FA7D00"/>
              </w:rPr>
            </w:pPr>
            <w:r>
              <w:rPr>
                <w:rFonts w:ascii="Calibri" w:hAnsi="Calibri" w:cs="Calibri"/>
                <w:b/>
                <w:bCs/>
                <w:color w:val="FA7D00"/>
              </w:rPr>
              <w:t xml:space="preserve">          = [(0.1-0.099)/0.1]*100%</w:t>
            </w:r>
          </w:p>
        </w:tc>
      </w:tr>
      <w:tr w:rsidR="004E750E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750E" w:rsidRDefault="004E750E" w:rsidP="004E750E">
            <w:pPr>
              <w:rPr>
                <w:rFonts w:ascii="Calibri" w:hAnsi="Calibri" w:cs="Calibri"/>
                <w:b/>
                <w:bCs/>
                <w:color w:val="FA7D00"/>
              </w:rPr>
            </w:pPr>
            <w:r>
              <w:rPr>
                <w:rFonts w:ascii="Calibri" w:hAnsi="Calibri" w:cs="Calibri"/>
                <w:b/>
                <w:bCs/>
                <w:color w:val="FA7D00"/>
              </w:rPr>
              <w:t xml:space="preserve">  </w:t>
            </w:r>
            <w:r w:rsidR="00914735">
              <w:rPr>
                <w:rFonts w:ascii="Calibri" w:hAnsi="Calibri" w:cs="Calibri"/>
                <w:b/>
                <w:bCs/>
                <w:color w:val="FA7D00"/>
              </w:rPr>
              <w:t xml:space="preserve">        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FA7D00"/>
              </w:rPr>
              <w:t>= 1%</w:t>
            </w:r>
          </w:p>
        </w:tc>
      </w:tr>
    </w:tbl>
    <w:p w:rsidR="006A0BBF" w:rsidRDefault="00914735" w:rsidP="006A0BBF">
      <w:pPr>
        <w:jc w:val="both"/>
      </w:pPr>
      <w:r>
        <w:rPr>
          <w:noProof/>
        </w:rPr>
        <w:lastRenderedPageBreak/>
        <w:drawing>
          <wp:inline distT="0" distB="0" distL="0" distR="0" wp14:anchorId="09E61A28" wp14:editId="5B86328B">
            <wp:extent cx="5847347" cy="3585410"/>
            <wp:effectExtent l="0" t="0" r="127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A0BBF" w:rsidRDefault="00914735" w:rsidP="006A0BBF">
      <w:pPr>
        <w:jc w:val="both"/>
      </w:pPr>
      <w:r>
        <w:rPr>
          <w:noProof/>
        </w:rPr>
        <w:drawing>
          <wp:inline distT="0" distB="0" distL="0" distR="0" wp14:anchorId="521BB98A" wp14:editId="0CA9C3DE">
            <wp:extent cx="7200900" cy="5581650"/>
            <wp:effectExtent l="0" t="0" r="0" b="0"/>
            <wp:docPr id="2" name="Picture 2" descr="Screenshot (306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3067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58" w:rsidRDefault="00685F58" w:rsidP="006A0BBF">
      <w:pPr>
        <w:jc w:val="both"/>
      </w:pPr>
    </w:p>
    <w:p w:rsidR="006A0BBF" w:rsidRDefault="006A0BBF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914735" w:rsidP="006A0BB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6.55pt;height:746.55pt">
            <v:imagedata r:id="rId7" o:title="Screenshot (30677)"/>
          </v:shape>
        </w:pict>
      </w:r>
    </w:p>
    <w:p w:rsidR="004E750E" w:rsidRDefault="004E750E" w:rsidP="006A0BBF">
      <w:pPr>
        <w:jc w:val="both"/>
      </w:pPr>
    </w:p>
    <w:p w:rsidR="004E750E" w:rsidRDefault="00914735" w:rsidP="006A0BBF">
      <w:pPr>
        <w:jc w:val="both"/>
      </w:pPr>
      <w:r>
        <w:pict>
          <v:shape id="_x0000_i1027" type="#_x0000_t75" style="width:289.9pt;height:680.2pt">
            <v:imagedata r:id="rId8" o:title="Screenshot (30678)"/>
          </v:shape>
        </w:pict>
      </w:r>
    </w:p>
    <w:sectPr w:rsidR="004E750E" w:rsidSect="00914735">
      <w:pgSz w:w="12240" w:h="15840"/>
      <w:pgMar w:top="27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B7"/>
    <w:rsid w:val="00003DB7"/>
    <w:rsid w:val="00215DF5"/>
    <w:rsid w:val="002459E2"/>
    <w:rsid w:val="00292832"/>
    <w:rsid w:val="004E750E"/>
    <w:rsid w:val="006745B8"/>
    <w:rsid w:val="00685F58"/>
    <w:rsid w:val="006A0BBF"/>
    <w:rsid w:val="0075579F"/>
    <w:rsid w:val="007D515A"/>
    <w:rsid w:val="00890E03"/>
    <w:rsid w:val="00914735"/>
    <w:rsid w:val="009C729F"/>
    <w:rsid w:val="00B5711E"/>
    <w:rsid w:val="00B917D4"/>
    <w:rsid w:val="00BB1AB7"/>
    <w:rsid w:val="00BE6DBB"/>
    <w:rsid w:val="00D12447"/>
    <w:rsid w:val="00D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8B3C"/>
  <w15:chartTrackingRefBased/>
  <w15:docId w15:val="{4010BEDC-E88E-49AC-8E6E-91CBB6F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1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5711E"/>
    <w:rPr>
      <w:rFonts w:eastAsiaTheme="minorEastAsia"/>
    </w:rPr>
  </w:style>
  <w:style w:type="paragraph" w:styleId="NoSpacing">
    <w:name w:val="No Spacing"/>
    <w:uiPriority w:val="1"/>
    <w:qFormat/>
    <w:rsid w:val="00B5711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sha\OneDrive\Desktop\CHE%20109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</a:t>
            </a:r>
            <a:r>
              <a:rPr lang="en-US" baseline="0"/>
              <a:t>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 of base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Sheet1!$A$2:$A$200</c:f>
              <c:numCache>
                <c:formatCode>General</c:formatCode>
                <c:ptCount val="19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  <c:pt idx="101">
                  <c:v>20.2</c:v>
                </c:pt>
                <c:pt idx="102">
                  <c:v>20.399999999999999</c:v>
                </c:pt>
                <c:pt idx="103">
                  <c:v>20.6</c:v>
                </c:pt>
                <c:pt idx="104">
                  <c:v>20.8</c:v>
                </c:pt>
                <c:pt idx="105">
                  <c:v>21</c:v>
                </c:pt>
              </c:numCache>
            </c:numRef>
          </c:xVal>
          <c:yVal>
            <c:numRef>
              <c:f>Sheet1!$B$2:$B$200</c:f>
              <c:numCache>
                <c:formatCode>General</c:formatCode>
                <c:ptCount val="199"/>
                <c:pt idx="0">
                  <c:v>11.64</c:v>
                </c:pt>
                <c:pt idx="1">
                  <c:v>11.54</c:v>
                </c:pt>
                <c:pt idx="2">
                  <c:v>11.44</c:v>
                </c:pt>
                <c:pt idx="3">
                  <c:v>11.35</c:v>
                </c:pt>
                <c:pt idx="4">
                  <c:v>11.27</c:v>
                </c:pt>
                <c:pt idx="5">
                  <c:v>11.19</c:v>
                </c:pt>
                <c:pt idx="6">
                  <c:v>11.12</c:v>
                </c:pt>
                <c:pt idx="7">
                  <c:v>11.06</c:v>
                </c:pt>
                <c:pt idx="8">
                  <c:v>11</c:v>
                </c:pt>
                <c:pt idx="9">
                  <c:v>10.95</c:v>
                </c:pt>
                <c:pt idx="10">
                  <c:v>10.89</c:v>
                </c:pt>
                <c:pt idx="11">
                  <c:v>10.85</c:v>
                </c:pt>
                <c:pt idx="12">
                  <c:v>10.8</c:v>
                </c:pt>
                <c:pt idx="13">
                  <c:v>10.76</c:v>
                </c:pt>
                <c:pt idx="14">
                  <c:v>10.71</c:v>
                </c:pt>
                <c:pt idx="15">
                  <c:v>10.67</c:v>
                </c:pt>
                <c:pt idx="16">
                  <c:v>10.63</c:v>
                </c:pt>
                <c:pt idx="17">
                  <c:v>10.6</c:v>
                </c:pt>
                <c:pt idx="18">
                  <c:v>10.56</c:v>
                </c:pt>
                <c:pt idx="19">
                  <c:v>10.52</c:v>
                </c:pt>
                <c:pt idx="20">
                  <c:v>10.49</c:v>
                </c:pt>
                <c:pt idx="21">
                  <c:v>10.45</c:v>
                </c:pt>
                <c:pt idx="22">
                  <c:v>10.42</c:v>
                </c:pt>
                <c:pt idx="23">
                  <c:v>10.38</c:v>
                </c:pt>
                <c:pt idx="24">
                  <c:v>10.35</c:v>
                </c:pt>
                <c:pt idx="25">
                  <c:v>10.31</c:v>
                </c:pt>
                <c:pt idx="26">
                  <c:v>10.28</c:v>
                </c:pt>
                <c:pt idx="27">
                  <c:v>10.24</c:v>
                </c:pt>
                <c:pt idx="28">
                  <c:v>10.210000000000001</c:v>
                </c:pt>
                <c:pt idx="29">
                  <c:v>10.17</c:v>
                </c:pt>
                <c:pt idx="30">
                  <c:v>10.14</c:v>
                </c:pt>
                <c:pt idx="31">
                  <c:v>10.1</c:v>
                </c:pt>
                <c:pt idx="32">
                  <c:v>10.07</c:v>
                </c:pt>
                <c:pt idx="33">
                  <c:v>10.029999999999999</c:v>
                </c:pt>
                <c:pt idx="34">
                  <c:v>9.99</c:v>
                </c:pt>
                <c:pt idx="35">
                  <c:v>9.9499999999999993</c:v>
                </c:pt>
                <c:pt idx="36">
                  <c:v>9.91</c:v>
                </c:pt>
                <c:pt idx="37">
                  <c:v>9.86</c:v>
                </c:pt>
                <c:pt idx="38">
                  <c:v>9.82</c:v>
                </c:pt>
                <c:pt idx="39">
                  <c:v>9.77</c:v>
                </c:pt>
                <c:pt idx="40">
                  <c:v>9.7100000000000009</c:v>
                </c:pt>
                <c:pt idx="41">
                  <c:v>9.66</c:v>
                </c:pt>
                <c:pt idx="42">
                  <c:v>9.6</c:v>
                </c:pt>
                <c:pt idx="43">
                  <c:v>9.5299999999999994</c:v>
                </c:pt>
                <c:pt idx="44">
                  <c:v>9.4499999999999993</c:v>
                </c:pt>
                <c:pt idx="45">
                  <c:v>9.3699999999999992</c:v>
                </c:pt>
                <c:pt idx="46">
                  <c:v>9.26</c:v>
                </c:pt>
                <c:pt idx="47">
                  <c:v>9.1300000000000008</c:v>
                </c:pt>
                <c:pt idx="48">
                  <c:v>8.9600000000000009</c:v>
                </c:pt>
                <c:pt idx="49">
                  <c:v>8.7100000000000009</c:v>
                </c:pt>
                <c:pt idx="50">
                  <c:v>8.33</c:v>
                </c:pt>
                <c:pt idx="51">
                  <c:v>7.95</c:v>
                </c:pt>
                <c:pt idx="52">
                  <c:v>7.7</c:v>
                </c:pt>
                <c:pt idx="53">
                  <c:v>7.53</c:v>
                </c:pt>
                <c:pt idx="54">
                  <c:v>7.4</c:v>
                </c:pt>
                <c:pt idx="55">
                  <c:v>7.3</c:v>
                </c:pt>
                <c:pt idx="56">
                  <c:v>7.21</c:v>
                </c:pt>
                <c:pt idx="57">
                  <c:v>7.14</c:v>
                </c:pt>
                <c:pt idx="58">
                  <c:v>7.07</c:v>
                </c:pt>
                <c:pt idx="59">
                  <c:v>7.01</c:v>
                </c:pt>
                <c:pt idx="60">
                  <c:v>6.95</c:v>
                </c:pt>
                <c:pt idx="61">
                  <c:v>6.9</c:v>
                </c:pt>
                <c:pt idx="62">
                  <c:v>6.85</c:v>
                </c:pt>
                <c:pt idx="63">
                  <c:v>6.8</c:v>
                </c:pt>
                <c:pt idx="64">
                  <c:v>6.76</c:v>
                </c:pt>
                <c:pt idx="65">
                  <c:v>6.72</c:v>
                </c:pt>
                <c:pt idx="66">
                  <c:v>6.68</c:v>
                </c:pt>
                <c:pt idx="67">
                  <c:v>6.64</c:v>
                </c:pt>
                <c:pt idx="68">
                  <c:v>6.6</c:v>
                </c:pt>
                <c:pt idx="69">
                  <c:v>6.56</c:v>
                </c:pt>
                <c:pt idx="70">
                  <c:v>6.53</c:v>
                </c:pt>
                <c:pt idx="71">
                  <c:v>6.49</c:v>
                </c:pt>
                <c:pt idx="72">
                  <c:v>6.46</c:v>
                </c:pt>
                <c:pt idx="73">
                  <c:v>6.42</c:v>
                </c:pt>
                <c:pt idx="74">
                  <c:v>6.39</c:v>
                </c:pt>
                <c:pt idx="75">
                  <c:v>6.35</c:v>
                </c:pt>
                <c:pt idx="76">
                  <c:v>6.32</c:v>
                </c:pt>
                <c:pt idx="77">
                  <c:v>6.28</c:v>
                </c:pt>
                <c:pt idx="78">
                  <c:v>6.25</c:v>
                </c:pt>
                <c:pt idx="79">
                  <c:v>6.21</c:v>
                </c:pt>
                <c:pt idx="80">
                  <c:v>6.18</c:v>
                </c:pt>
                <c:pt idx="81">
                  <c:v>6.14</c:v>
                </c:pt>
                <c:pt idx="82">
                  <c:v>6.1</c:v>
                </c:pt>
                <c:pt idx="83">
                  <c:v>6.06</c:v>
                </c:pt>
                <c:pt idx="84">
                  <c:v>6.02</c:v>
                </c:pt>
                <c:pt idx="85">
                  <c:v>5.98</c:v>
                </c:pt>
                <c:pt idx="86">
                  <c:v>5.94</c:v>
                </c:pt>
                <c:pt idx="87">
                  <c:v>5.9</c:v>
                </c:pt>
                <c:pt idx="88">
                  <c:v>5.85</c:v>
                </c:pt>
                <c:pt idx="89">
                  <c:v>5.8</c:v>
                </c:pt>
                <c:pt idx="90">
                  <c:v>5.75</c:v>
                </c:pt>
                <c:pt idx="91">
                  <c:v>5.69</c:v>
                </c:pt>
                <c:pt idx="92">
                  <c:v>5.63</c:v>
                </c:pt>
                <c:pt idx="93">
                  <c:v>5.56</c:v>
                </c:pt>
                <c:pt idx="94">
                  <c:v>5.49</c:v>
                </c:pt>
                <c:pt idx="95">
                  <c:v>5.4</c:v>
                </c:pt>
                <c:pt idx="96">
                  <c:v>5.29</c:v>
                </c:pt>
                <c:pt idx="97">
                  <c:v>5.16</c:v>
                </c:pt>
                <c:pt idx="98">
                  <c:v>4.97</c:v>
                </c:pt>
                <c:pt idx="99">
                  <c:v>4.67</c:v>
                </c:pt>
                <c:pt idx="100">
                  <c:v>3.91</c:v>
                </c:pt>
                <c:pt idx="101">
                  <c:v>3.17</c:v>
                </c:pt>
                <c:pt idx="102">
                  <c:v>2.88</c:v>
                </c:pt>
                <c:pt idx="103">
                  <c:v>2.71</c:v>
                </c:pt>
                <c:pt idx="104">
                  <c:v>2.59</c:v>
                </c:pt>
                <c:pt idx="105">
                  <c:v>2.4900000000000002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C-4083-90BC-40DBD8337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729087"/>
        <c:axId val="451734911"/>
      </c:scatterChart>
      <c:valAx>
        <c:axId val="45172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of HCl, ml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734911"/>
        <c:crosses val="autoZero"/>
        <c:crossBetween val="midCat"/>
      </c:valAx>
      <c:valAx>
        <c:axId val="45173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pH</a:t>
                </a:r>
                <a:r>
                  <a:rPr lang="en-US" baseline="0"/>
                  <a:t> of base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729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12</cp:revision>
  <dcterms:created xsi:type="dcterms:W3CDTF">2022-02-13T09:32:00Z</dcterms:created>
  <dcterms:modified xsi:type="dcterms:W3CDTF">2022-02-27T11:02:00Z</dcterms:modified>
</cp:coreProperties>
</file>