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s97n847tw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– Descriptive Statistics &amp; Probability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Performance</w:t>
      </w:r>
      <w:r w:rsidDel="00000000" w:rsidR="00000000" w:rsidRPr="00000000">
        <w:rPr>
          <w:rtl w:val="0"/>
        </w:rPr>
        <w:t xml:space="preserve"> — scores from a U.S. high-school exam (gender, parental education, test-prep, math / reading / writing scores).</w:t>
        <w:br w:type="textWrapping"/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CSV file given in the drive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&amp; Inspect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rows, list column types, and show the first five records.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Central-Tendency Metrics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mean, median, and mode for each of the three score columns.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Dispersion &amp; Shape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standard deviation, variance, and coefficient of variation for </w:t>
      </w:r>
      <w:r w:rsidDel="00000000" w:rsidR="00000000" w:rsidRPr="00000000">
        <w:rPr>
          <w:i w:val="1"/>
          <w:iCs w:val="1"/>
          <w:rtl w:val="0"/>
        </w:rPr>
        <w:t xml:space="preserve">math 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skewness and kurtosis for </w:t>
      </w:r>
      <w:r w:rsidDel="00000000" w:rsidR="00000000" w:rsidRPr="00000000">
        <w:rPr>
          <w:i w:val="1"/>
          <w:iCs w:val="1"/>
          <w:rtl w:val="0"/>
        </w:rPr>
        <w:t xml:space="preserve">reading score</w:t>
      </w:r>
      <w:r w:rsidDel="00000000" w:rsidR="00000000" w:rsidRPr="00000000">
        <w:rPr>
          <w:rtl w:val="0"/>
        </w:rPr>
        <w:t xml:space="preserve"> (use built-in functions or manual formulas).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&amp; Covariance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 correlation matrix for the three scores and identify the strongest pairwise relationship.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in one sentence how covariance differs from correlation and why we prefer the latter when comparing variables with different units.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Probability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the probability that a randomly selected student scored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80</w:t>
      </w:r>
      <w:r w:rsidDel="00000000" w:rsidR="00000000" w:rsidRPr="00000000">
        <w:rPr>
          <w:rtl w:val="0"/>
        </w:rPr>
        <w:t xml:space="preserve"> in both </w:t>
      </w:r>
      <w:r w:rsidDel="00000000" w:rsidR="00000000" w:rsidRPr="00000000">
        <w:rPr>
          <w:i w:val="1"/>
          <w:iCs w:val="1"/>
          <w:rtl w:val="0"/>
        </w:rPr>
        <w:t xml:space="preserve">math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reading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 P(A∩B)=count of students with both scores ≥ 80total studentsP(A \cap B) = \dfrac{\text{count of students with both scores ≥ 80}}{\text{total students}}P(A∩B)=total studentscount of students with both scores ≥ 80​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Checks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 a histogram (or box-plot) of </w:t>
      </w:r>
      <w:r w:rsidDel="00000000" w:rsidR="00000000" w:rsidRPr="00000000">
        <w:rPr>
          <w:i w:val="1"/>
          <w:iCs w:val="1"/>
          <w:rtl w:val="0"/>
        </w:rPr>
        <w:t xml:space="preserve">math scores</w:t>
      </w:r>
      <w:r w:rsidDel="00000000" w:rsidR="00000000" w:rsidRPr="00000000">
        <w:rPr>
          <w:rtl w:val="0"/>
        </w:rPr>
        <w:t xml:space="preserve"> and briefly comment on the distribution shape.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 (.ipynb) or worksheet</w:t>
      </w:r>
      <w:r w:rsidDel="00000000" w:rsidR="00000000" w:rsidRPr="00000000">
        <w:rPr>
          <w:rtl w:val="0"/>
        </w:rPr>
        <w:t xml:space="preserve"> with clearly labeled calculations and code.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short (≤100 words) interpretation summarizing the data’s central tendency, spread, and the observed relationship between math and reading scores.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34J_AYAK8V0qOITBiq7cHnkFUCkKdW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