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Pr>
    </w:p>
    <w:p>
      <w:pPr>
        <w:spacing w:after="120"/>
      </w:pPr>
      <w:r>
        <w:rPr>
          <w:rFonts w:ascii="Calibri" w:hAnsi="Calibri"/>
          <w:b/>
          <w:color w:val="1F6D4A"/>
          <w:sz w:val="20"/>
        </w:rPr>
        <w:t>TECHNICAL &amp; OPERATIONAL DISCOVERY RESPONSE</w:t>
      </w:r>
    </w:p>
    <w:p>
      <w:pPr>
        <w:spacing w:after="100"/>
      </w:pPr>
      <w:r>
        <w:rPr>
          <w:rFonts w:ascii="Calibri" w:hAnsi="Calibri"/>
          <w:b/>
          <w:color w:val="0B2545"/>
          <w:sz w:val="50"/>
        </w:rPr>
        <w:t>IDS Pulse Current-State Discovery</w:t>
      </w:r>
    </w:p>
    <w:p>
      <w:pPr>
        <w:spacing w:after="360"/>
      </w:pPr>
      <w:r>
        <w:rPr>
          <w:rFonts w:ascii="Calibri" w:hAnsi="Calibri"/>
          <w:color w:val="5F6B7A"/>
          <w:sz w:val="28"/>
        </w:rPr>
        <w:t>Detailed, evidence-based responses for the Puente AI integrity discovery call</w:t>
      </w:r>
    </w:p>
    <w:p>
      <w:pPr>
        <w:spacing w:after="60"/>
      </w:pPr>
      <w:r>
        <w:rPr>
          <w:rFonts w:ascii="Calibri" w:hAnsi="Calibri"/>
          <w:b/>
          <w:color w:val="0B2545"/>
        </w:rPr>
        <w:t xml:space="preserve">Prepared for: </w:t>
      </w:r>
      <w:r>
        <w:rPr>
          <w:rFonts w:ascii="Calibri" w:hAnsi="Calibri"/>
          <w:color w:val="0B2545"/>
        </w:rPr>
        <w:t>Puente AI / Deneb Dollinger</w:t>
      </w:r>
    </w:p>
    <w:p>
      <w:pPr>
        <w:spacing w:after="60"/>
      </w:pPr>
      <w:r>
        <w:rPr>
          <w:rFonts w:ascii="Calibri" w:hAnsi="Calibri"/>
          <w:b/>
          <w:color w:val="0B2545"/>
        </w:rPr>
        <w:t xml:space="preserve">Subject: </w:t>
      </w:r>
      <w:r>
        <w:rPr>
          <w:rFonts w:ascii="Calibri" w:hAnsi="Calibri"/>
          <w:color w:val="0B2545"/>
        </w:rPr>
        <w:t>QA Automotive Client - Current State and BaseTQ North Star Analysis</w:t>
      </w:r>
    </w:p>
    <w:p>
      <w:pPr>
        <w:spacing w:after="60"/>
      </w:pPr>
      <w:r>
        <w:rPr>
          <w:rFonts w:ascii="Calibri" w:hAnsi="Calibri"/>
          <w:b/>
          <w:color w:val="0B2545"/>
        </w:rPr>
        <w:t xml:space="preserve">Prepared by: </w:t>
      </w:r>
      <w:r>
        <w:rPr>
          <w:rFonts w:ascii="Calibri" w:hAnsi="Calibri"/>
          <w:color w:val="0B2545"/>
        </w:rPr>
        <w:t>IDS Pulse - technical discovery working draft</w:t>
      </w:r>
    </w:p>
    <w:p>
      <w:pPr>
        <w:spacing w:after="60"/>
      </w:pPr>
      <w:r>
        <w:rPr>
          <w:rFonts w:ascii="Calibri" w:hAnsi="Calibri"/>
          <w:b/>
          <w:color w:val="0B2545"/>
        </w:rPr>
        <w:t xml:space="preserve">Review date: </w:t>
      </w:r>
      <w:r>
        <w:rPr>
          <w:rFonts w:ascii="Calibri" w:hAnsi="Calibri"/>
          <w:color w:val="0B2545"/>
        </w:rPr>
        <w:t>August 20, 2026</w:t>
      </w:r>
    </w:p>
    <w:p>
      <w:pPr>
        <w:spacing w:after="60"/>
      </w:pPr>
      <w:r>
        <w:rPr>
          <w:rFonts w:ascii="Calibri" w:hAnsi="Calibri"/>
          <w:b/>
          <w:color w:val="0B2545"/>
        </w:rPr>
        <w:t xml:space="preserve">Document status: </w:t>
      </w:r>
      <w:r>
        <w:rPr>
          <w:rFonts w:ascii="Calibri" w:hAnsi="Calibri"/>
          <w:color w:val="0B2545"/>
        </w:rPr>
        <w:t>Detailed working response - not a legal, compliance, or production certification</w:t>
      </w:r>
    </w:p>
    <w:p>
      <w:pPr>
        <w:pBdr>
          <w:bottom w:val="single" w:sz="14" w:space="6" w:color="2E74B5"/>
        </w:pBdr>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8EEF5"/>
            <w:tcMar>
              <w:top w:w="100" w:type="dxa"/>
              <w:start w:w="120" w:type="dxa"/>
              <w:bottom w:w="100" w:type="dxa"/>
              <w:end w:w="120" w:type="dxa"/>
            </w:tcMar>
          </w:tcPr>
          <w:p>
            <w:pPr>
              <w:spacing w:after="0"/>
            </w:pPr>
            <w:r>
              <w:rPr>
                <w:rFonts w:ascii="Calibri" w:hAnsi="Calibri"/>
                <w:b/>
                <w:color w:val="0B2545"/>
                <w:sz w:val="21"/>
              </w:rPr>
              <w:t xml:space="preserve">Purpose. </w:t>
            </w:r>
            <w:r>
              <w:rPr>
                <w:rFonts w:ascii="Calibri" w:hAnsi="Calibri"/>
                <w:color w:val="0B2545"/>
                <w:sz w:val="21"/>
              </w:rPr>
              <w:t>This document answers all 43 discovery questions using the current codebase and available technical evidence. It deliberately separates implemented capability from deployed production reality and from business facts that require confirmation.</w:t>
            </w:r>
          </w:p>
        </w:tc>
      </w:tr>
    </w:tbl>
    <w:p>
      <w:pPr>
        <w:spacing w:after="40"/>
      </w:pPr>
    </w:p>
    <w:p>
      <w:r>
        <w:br w:type="page"/>
      </w:r>
    </w:p>
    <w:p>
      <w:pPr>
        <w:pStyle w:val="Heading1"/>
        <w:keepNext/>
      </w:pPr>
      <w:r>
        <w:t>Executive summary</w:t>
      </w:r>
    </w:p>
    <w:p>
      <w:r>
        <w:t>IDS Pulse is not a single monolithic application. The reviewed estate contains a legacy/AG React operations portal, a Flutter field application, a React/TypeScript read-only dashboard viewer, and a Supabase/PostgreSQL backend with Auth, Row Level Security, RPCs, Storage and evidence-delivery functions. The current mobile and dashboard work implements substantial field-capture, offline queueing, quality reporting, role-scoped release and evidence controls.</w:t>
      </w:r>
    </w:p>
    <w:p>
      <w:r>
        <w:t>The code is materially more advanced than a spreadsheet-only workflow, but the codebase alone does not prove production scale, customer adoption, formal compliance, backup guarantees, hosting tier, release cadence, named OEM relationships, or AI readiness. Those statements must be supported by operating records and leadership confirmation before they are shared externally.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5EF"/>
            <w:tcMar>
              <w:top w:w="100" w:type="dxa"/>
              <w:start w:w="120" w:type="dxa"/>
              <w:bottom w:w="100" w:type="dxa"/>
              <w:end w:w="120" w:type="dxa"/>
            </w:tcMar>
          </w:tcPr>
          <w:p>
            <w:pPr>
              <w:spacing w:after="0"/>
            </w:pPr>
            <w:r>
              <w:rPr>
                <w:rFonts w:ascii="Calibri" w:hAnsi="Calibri"/>
                <w:b/>
                <w:color w:val="1F6D4A"/>
                <w:sz w:val="21"/>
              </w:rPr>
              <w:t xml:space="preserve">Recommended positioning. </w:t>
            </w:r>
            <w:r>
              <w:rPr>
                <w:rFonts w:ascii="Calibri" w:hAnsi="Calibri"/>
                <w:color w:val="0B2545"/>
                <w:sz w:val="21"/>
              </w:rPr>
              <w:t>Describe IDS Pulse as a working multi-component quality-operations platform with implemented mobile capture and role-safe reporting. Describe deployment maturity, scale, compliance, integrations and customer footprint as validation items until documentary evidence is available.</w:t>
            </w:r>
          </w:p>
        </w:tc>
      </w:tr>
    </w:tbl>
    <w:p>
      <w:pPr>
        <w:spacing w:after="40"/>
      </w:pPr>
    </w:p>
    <w:p>
      <w:pPr>
        <w:pStyle w:val="Heading2"/>
        <w:keepNext/>
      </w:pPr>
      <w:r>
        <w:t>Evidence status legend</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EAF5EF"/>
            <w:vAlign w:val="center"/>
            <w:tcMar>
              <w:top w:w="100" w:type="dxa"/>
              <w:start w:w="120" w:type="dxa"/>
              <w:bottom w:w="100" w:type="dxa"/>
              <w:end w:w="120" w:type="dxa"/>
            </w:tcMar>
          </w:tcPr>
          <w:p>
            <w:pPr>
              <w:jc w:val="center"/>
            </w:pPr>
            <w:r>
              <w:rPr>
                <w:rFonts w:ascii="Calibri" w:hAnsi="Calibri"/>
                <w:b/>
                <w:color w:val="1F6D4A"/>
                <w:sz w:val="19"/>
              </w:rPr>
              <w:t>Verified in code</w:t>
            </w:r>
          </w:p>
        </w:tc>
        <w:tc>
          <w:tcPr>
            <w:tcW w:type="dxa" w:w="3120"/>
            <w:shd w:fill="FFF7DB"/>
            <w:vAlign w:val="center"/>
            <w:tcMar>
              <w:top w:w="100" w:type="dxa"/>
              <w:start w:w="120" w:type="dxa"/>
              <w:bottom w:w="100" w:type="dxa"/>
              <w:end w:w="120" w:type="dxa"/>
            </w:tcMar>
          </w:tcPr>
          <w:p>
            <w:pPr>
              <w:jc w:val="center"/>
            </w:pPr>
            <w:r>
              <w:rPr>
                <w:rFonts w:ascii="Calibri" w:hAnsi="Calibri"/>
                <w:b/>
                <w:color w:val="7A5A00"/>
                <w:sz w:val="19"/>
              </w:rPr>
              <w:t>Partially verified</w:t>
            </w:r>
          </w:p>
        </w:tc>
        <w:tc>
          <w:tcPr>
            <w:tcW w:type="dxa" w:w="3120"/>
            <w:shd w:fill="FCECEC"/>
            <w:vAlign w:val="center"/>
            <w:tcMar>
              <w:top w:w="100" w:type="dxa"/>
              <w:start w:w="120" w:type="dxa"/>
              <w:bottom w:w="100" w:type="dxa"/>
              <w:end w:w="120" w:type="dxa"/>
            </w:tcMar>
          </w:tcPr>
          <w:p>
            <w:pPr>
              <w:jc w:val="center"/>
            </w:pPr>
            <w:r>
              <w:rPr>
                <w:rFonts w:ascii="Calibri" w:hAnsi="Calibri"/>
                <w:b/>
                <w:color w:val="9B1C1C"/>
                <w:sz w:val="19"/>
              </w:rPr>
              <w:t>Business confirmation required</w:t>
            </w:r>
          </w:p>
        </w:tc>
      </w:tr>
      <w:tr>
        <w:tc>
          <w:tcPr>
            <w:tcW w:type="dxa" w:w="3120"/>
            <w:tcMar>
              <w:top w:w="100" w:type="dxa"/>
              <w:start w:w="120" w:type="dxa"/>
              <w:bottom w:w="100" w:type="dxa"/>
              <w:end w:w="120" w:type="dxa"/>
            </w:tcMar>
          </w:tcPr>
          <w:p>
            <w:r>
              <w:rPr>
                <w:rFonts w:ascii="Calibri" w:hAnsi="Calibri"/>
                <w:color w:val="0B2545"/>
                <w:sz w:val="18"/>
              </w:rPr>
              <w:t>A capability or structure is directly present in reviewed source code or configuration.</w:t>
            </w:r>
          </w:p>
        </w:tc>
        <w:tc>
          <w:tcPr>
            <w:tcW w:type="dxa" w:w="3120"/>
            <w:tcMar>
              <w:top w:w="100" w:type="dxa"/>
              <w:start w:w="120" w:type="dxa"/>
              <w:bottom w:w="100" w:type="dxa"/>
              <w:end w:w="120" w:type="dxa"/>
            </w:tcMar>
          </w:tcPr>
          <w:p>
            <w:r>
              <w:rPr>
                <w:rFonts w:ascii="Calibri" w:hAnsi="Calibri"/>
                <w:color w:val="0B2545"/>
                <w:sz w:val="18"/>
              </w:rPr>
              <w:t>Implementation evidence exists, but deployment, completeness, operational use or external dependency remains unconfirmed.</w:t>
            </w:r>
          </w:p>
        </w:tc>
        <w:tc>
          <w:tcPr>
            <w:tcW w:type="dxa" w:w="3120"/>
            <w:tcMar>
              <w:top w:w="100" w:type="dxa"/>
              <w:start w:w="120" w:type="dxa"/>
              <w:bottom w:w="100" w:type="dxa"/>
              <w:end w:w="120" w:type="dxa"/>
            </w:tcMar>
          </w:tcPr>
          <w:p>
            <w:r>
              <w:rPr>
                <w:rFonts w:ascii="Calibri" w:hAnsi="Calibri"/>
                <w:color w:val="0B2545"/>
                <w:sz w:val="18"/>
              </w:rPr>
              <w:t>The answer depends on contracts, operations, customer data, policy, legal evidence or leadership confirmation not present in source code.</w:t>
            </w:r>
          </w:p>
        </w:tc>
      </w:tr>
    </w:tbl>
    <w:p>
      <w:pPr>
        <w:pStyle w:val="Heading2"/>
        <w:keepNext/>
      </w:pPr>
      <w:r>
        <w:t>System landscape reviewed</w:t>
      </w:r>
    </w:p>
    <w:tbl>
      <w:tblPr>
        <w:tblStyle w:val="TableGrid"/>
        <w:tblW w:type="dxa" w:w="9360"/>
        <w:tblLayout w:type="fixed"/>
        <w:tblLook w:firstColumn="1" w:firstRow="1" w:lastColumn="0" w:lastRow="0" w:noHBand="0" w:noVBand="1" w:val="04A0"/>
        <w:tblInd w:w="120" w:type="dxa"/>
      </w:tblPr>
      <w:tblGrid>
        <w:gridCol w:w="2160"/>
        <w:gridCol w:w="3000"/>
        <w:gridCol w:w="4200"/>
      </w:tblGrid>
      <w:tr>
        <w:trPr>
          <w:tblHeader w:val="true"/>
        </w:trPr>
        <w:tc>
          <w:tcPr>
            <w:tcW w:type="dxa" w:w="2160"/>
            <w:shd w:fill="F2F4F7"/>
            <w:tcMar>
              <w:top w:w="100" w:type="dxa"/>
              <w:start w:w="120" w:type="dxa"/>
              <w:bottom w:w="100" w:type="dxa"/>
              <w:end w:w="120" w:type="dxa"/>
            </w:tcMar>
          </w:tcPr>
          <w:p>
            <w:r>
              <w:rPr>
                <w:rFonts w:ascii="Calibri" w:hAnsi="Calibri"/>
                <w:b/>
                <w:color w:val="0B2545"/>
              </w:rPr>
              <w:t>Component</w:t>
            </w:r>
          </w:p>
        </w:tc>
        <w:tc>
          <w:tcPr>
            <w:tcW w:type="dxa" w:w="3000"/>
            <w:shd w:fill="F2F4F7"/>
            <w:tcMar>
              <w:top w:w="100" w:type="dxa"/>
              <w:start w:w="120" w:type="dxa"/>
              <w:bottom w:w="100" w:type="dxa"/>
              <w:end w:w="120" w:type="dxa"/>
            </w:tcMar>
          </w:tcPr>
          <w:p>
            <w:r>
              <w:rPr>
                <w:rFonts w:ascii="Calibri" w:hAnsi="Calibri"/>
                <w:b/>
                <w:color w:val="0B2545"/>
              </w:rPr>
              <w:t>Technology</w:t>
            </w:r>
          </w:p>
        </w:tc>
        <w:tc>
          <w:tcPr>
            <w:tcW w:type="dxa" w:w="4200"/>
            <w:shd w:fill="F2F4F7"/>
            <w:tcMar>
              <w:top w:w="100" w:type="dxa"/>
              <w:start w:w="120" w:type="dxa"/>
              <w:bottom w:w="100" w:type="dxa"/>
              <w:end w:w="120" w:type="dxa"/>
            </w:tcMar>
          </w:tcPr>
          <w:p>
            <w:r>
              <w:rPr>
                <w:rFonts w:ascii="Calibri" w:hAnsi="Calibri"/>
                <w:b/>
                <w:color w:val="0B2545"/>
              </w:rPr>
              <w:t>Primary role</w:t>
            </w:r>
          </w:p>
        </w:tc>
      </w:tr>
      <w:tr>
        <w:tc>
          <w:tcPr>
            <w:tcW w:type="dxa" w:w="2160"/>
            <w:tcMar>
              <w:top w:w="100" w:type="dxa"/>
              <w:start w:w="120" w:type="dxa"/>
              <w:bottom w:w="100" w:type="dxa"/>
              <w:end w:w="120" w:type="dxa"/>
            </w:tcMar>
          </w:tcPr>
          <w:p>
            <w:r>
              <w:rPr>
                <w:rFonts w:ascii="Calibri" w:hAnsi="Calibri"/>
                <w:color w:val="0B2545"/>
                <w:sz w:val="18"/>
              </w:rPr>
              <w:t>AG / operations portal</w:t>
            </w:r>
          </w:p>
        </w:tc>
        <w:tc>
          <w:tcPr>
            <w:tcW w:type="dxa" w:w="3000"/>
            <w:tcMar>
              <w:top w:w="100" w:type="dxa"/>
              <w:start w:w="120" w:type="dxa"/>
              <w:bottom w:w="100" w:type="dxa"/>
              <w:end w:w="120" w:type="dxa"/>
            </w:tcMar>
          </w:tcPr>
          <w:p>
            <w:r>
              <w:rPr>
                <w:rFonts w:ascii="Calibri" w:hAnsi="Calibri"/>
                <w:color w:val="0B2545"/>
                <w:sz w:val="18"/>
              </w:rPr>
              <w:t>React 19, Vite 8, Tailwind 4, Capacitor 8</w:t>
            </w:r>
          </w:p>
        </w:tc>
        <w:tc>
          <w:tcPr>
            <w:tcW w:type="dxa" w:w="4200"/>
            <w:tcMar>
              <w:top w:w="100" w:type="dxa"/>
              <w:start w:w="120" w:type="dxa"/>
              <w:bottom w:w="100" w:type="dxa"/>
              <w:end w:w="120" w:type="dxa"/>
            </w:tcMar>
          </w:tcPr>
          <w:p>
            <w:r>
              <w:rPr>
                <w:rFonts w:ascii="Calibri" w:hAnsi="Calibri"/>
                <w:color w:val="0B2545"/>
                <w:sz w:val="18"/>
              </w:rPr>
              <w:t>Legacy and operational web experience, exports and local/Supabase data access</w:t>
            </w:r>
          </w:p>
        </w:tc>
      </w:tr>
      <w:tr>
        <w:tc>
          <w:tcPr>
            <w:tcW w:type="dxa" w:w="2160"/>
            <w:tcMar>
              <w:top w:w="100" w:type="dxa"/>
              <w:start w:w="120" w:type="dxa"/>
              <w:bottom w:w="100" w:type="dxa"/>
              <w:end w:w="120" w:type="dxa"/>
            </w:tcMar>
          </w:tcPr>
          <w:p>
            <w:r>
              <w:rPr>
                <w:rFonts w:ascii="Calibri" w:hAnsi="Calibri"/>
                <w:color w:val="0B2545"/>
                <w:sz w:val="18"/>
              </w:rPr>
              <w:t>IDS Pulse field app</w:t>
            </w:r>
          </w:p>
        </w:tc>
        <w:tc>
          <w:tcPr>
            <w:tcW w:type="dxa" w:w="3000"/>
            <w:tcMar>
              <w:top w:w="100" w:type="dxa"/>
              <w:start w:w="120" w:type="dxa"/>
              <w:bottom w:w="100" w:type="dxa"/>
              <w:end w:w="120" w:type="dxa"/>
            </w:tcMar>
          </w:tcPr>
          <w:p>
            <w:r>
              <w:rPr>
                <w:rFonts w:ascii="Calibri" w:hAnsi="Calibri"/>
                <w:color w:val="0B2545"/>
                <w:sz w:val="18"/>
              </w:rPr>
              <w:t>Flutter / Dart, Drift local database, mobile scanner</w:t>
            </w:r>
          </w:p>
        </w:tc>
        <w:tc>
          <w:tcPr>
            <w:tcW w:type="dxa" w:w="4200"/>
            <w:tcMar>
              <w:top w:w="100" w:type="dxa"/>
              <w:start w:w="120" w:type="dxa"/>
              <w:bottom w:w="100" w:type="dxa"/>
              <w:end w:w="120" w:type="dxa"/>
            </w:tcMar>
          </w:tcPr>
          <w:p>
            <w:r>
              <w:rPr>
                <w:rFonts w:ascii="Calibri" w:hAnsi="Calibri"/>
                <w:color w:val="0B2545"/>
                <w:sz w:val="18"/>
              </w:rPr>
              <w:t>Offline-capable field capture for quality, hours and expenses</w:t>
            </w:r>
          </w:p>
        </w:tc>
      </w:tr>
      <w:tr>
        <w:tc>
          <w:tcPr>
            <w:tcW w:type="dxa" w:w="2160"/>
            <w:tcMar>
              <w:top w:w="100" w:type="dxa"/>
              <w:start w:w="120" w:type="dxa"/>
              <w:bottom w:w="100" w:type="dxa"/>
              <w:end w:w="120" w:type="dxa"/>
            </w:tcMar>
          </w:tcPr>
          <w:p>
            <w:r>
              <w:rPr>
                <w:rFonts w:ascii="Calibri" w:hAnsi="Calibri"/>
                <w:color w:val="0B2545"/>
                <w:sz w:val="18"/>
              </w:rPr>
              <w:t>Read-only dashboard viewer</w:t>
            </w:r>
          </w:p>
        </w:tc>
        <w:tc>
          <w:tcPr>
            <w:tcW w:type="dxa" w:w="3000"/>
            <w:tcMar>
              <w:top w:w="100" w:type="dxa"/>
              <w:start w:w="120" w:type="dxa"/>
              <w:bottom w:w="100" w:type="dxa"/>
              <w:end w:w="120" w:type="dxa"/>
            </w:tcMar>
          </w:tcPr>
          <w:p>
            <w:r>
              <w:rPr>
                <w:rFonts w:ascii="Calibri" w:hAnsi="Calibri"/>
                <w:color w:val="0B2545"/>
                <w:sz w:val="18"/>
              </w:rPr>
              <w:t>React 19, TypeScript, Vite, Supabase client</w:t>
            </w:r>
          </w:p>
        </w:tc>
        <w:tc>
          <w:tcPr>
            <w:tcW w:type="dxa" w:w="4200"/>
            <w:tcMar>
              <w:top w:w="100" w:type="dxa"/>
              <w:start w:w="120" w:type="dxa"/>
              <w:bottom w:w="100" w:type="dxa"/>
              <w:end w:w="120" w:type="dxa"/>
            </w:tcMar>
          </w:tcPr>
          <w:p>
            <w:r>
              <w:rPr>
                <w:rFonts w:ascii="Calibri" w:hAnsi="Calibri"/>
                <w:color w:val="0B2545"/>
                <w:sz w:val="18"/>
              </w:rPr>
              <w:t>Role-scoped reporting and safe evidence viewing</w:t>
            </w:r>
          </w:p>
        </w:tc>
      </w:tr>
      <w:tr>
        <w:tc>
          <w:tcPr>
            <w:tcW w:type="dxa" w:w="2160"/>
            <w:tcMar>
              <w:top w:w="100" w:type="dxa"/>
              <w:start w:w="120" w:type="dxa"/>
              <w:bottom w:w="100" w:type="dxa"/>
              <w:end w:w="120" w:type="dxa"/>
            </w:tcMar>
          </w:tcPr>
          <w:p>
            <w:r>
              <w:rPr>
                <w:rFonts w:ascii="Calibri" w:hAnsi="Calibri"/>
                <w:color w:val="0B2545"/>
                <w:sz w:val="18"/>
              </w:rPr>
              <w:t>Backend</w:t>
            </w:r>
          </w:p>
        </w:tc>
        <w:tc>
          <w:tcPr>
            <w:tcW w:type="dxa" w:w="3000"/>
            <w:tcMar>
              <w:top w:w="100" w:type="dxa"/>
              <w:start w:w="120" w:type="dxa"/>
              <w:bottom w:w="100" w:type="dxa"/>
              <w:end w:w="120" w:type="dxa"/>
            </w:tcMar>
          </w:tcPr>
          <w:p>
            <w:r>
              <w:rPr>
                <w:rFonts w:ascii="Calibri" w:hAnsi="Calibri"/>
                <w:color w:val="0B2545"/>
                <w:sz w:val="18"/>
              </w:rPr>
              <w:t>Supabase Auth, PostgreSQL, RLS, RPCs, Storage, Edge functions</w:t>
            </w:r>
          </w:p>
        </w:tc>
        <w:tc>
          <w:tcPr>
            <w:tcW w:type="dxa" w:w="4200"/>
            <w:tcMar>
              <w:top w:w="100" w:type="dxa"/>
              <w:start w:w="120" w:type="dxa"/>
              <w:bottom w:w="100" w:type="dxa"/>
              <w:end w:w="120" w:type="dxa"/>
            </w:tcMar>
          </w:tcPr>
          <w:p>
            <w:r>
              <w:rPr>
                <w:rFonts w:ascii="Calibri" w:hAnsi="Calibri"/>
                <w:color w:val="0B2545"/>
                <w:sz w:val="18"/>
              </w:rPr>
              <w:t>Identity, authorization, durable records, composition and evidence delivery</w:t>
            </w:r>
          </w:p>
        </w:tc>
      </w:tr>
    </w:tbl>
    <w:p>
      <w:r>
        <w:br w:type="page"/>
      </w:r>
    </w:p>
    <w:p>
      <w:pPr>
        <w:pStyle w:val="Heading1"/>
        <w:keepNext/>
      </w:pPr>
      <w:r>
        <w:t>A. Architecture &amp; Tech Stack</w:t>
      </w:r>
    </w:p>
    <w:p>
      <w:pPr>
        <w:spacing w:after="200"/>
      </w:pPr>
      <w:r>
        <w:t>What exists technically, how the components relate, and which operating facts still require confirmation.</w:t>
      </w:r>
    </w:p>
    <w:p>
      <w:pPr>
        <w:pStyle w:val="Heading2"/>
        <w:keepNext/>
      </w:pPr>
      <w:r>
        <w:t>1. What is the current solution built on - language/framework, database engine, and where is it hosted?</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The reviewed solution spans three front ends. The AG operations portal uses React 19, Vite 8, Tailwind CSS 4 and Capacitor 8. The field application uses Flutter/Dart with Drift for the device database and Supabase Flutter for backend access. The separate dashboard viewer uses React 19, TypeScript and Vite. The backend is Supabase: PostgreSQL, Supabase Auth, Row Level Security, RPC functions, Storage and evidence-delivery Edge functions. Vercel deployment configuration exists for the web applications. Source code proves the intended technology stack, but it does not by itself prove the active hosting plan, final production region, environment parity or contractual service level.</w:t>
      </w:r>
    </w:p>
    <w:p>
      <w:pPr>
        <w:spacing w:after="160"/>
        <w:ind w:left="259"/>
      </w:pPr>
      <w:r>
        <w:rPr>
          <w:rFonts w:ascii="Calibri" w:hAnsi="Calibri"/>
          <w:b/>
          <w:color w:val="9B1C1C"/>
        </w:rPr>
        <w:t xml:space="preserve">Confirm before external release: </w:t>
      </w:r>
      <w:r>
        <w:rPr>
          <w:rFonts w:ascii="Calibri" w:hAnsi="Calibri"/>
          <w:color w:val="0B2545"/>
        </w:rPr>
        <w:t>Active production project reference, hosting region, Supabase/Vercel plan, environment inventory, service owners and SLA.</w:t>
      </w:r>
    </w:p>
    <w:p>
      <w:pPr>
        <w:pStyle w:val="Heading2"/>
        <w:keepNext/>
      </w:pPr>
      <w:r>
        <w:t>2. Is it one monolithic application, or separate mobile app, web portal, and backend/API components?</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EAF5EF"/>
            <w:tcMar>
              <w:top w:w="100" w:type="dxa"/>
              <w:start w:w="120" w:type="dxa"/>
              <w:bottom w:w="100" w:type="dxa"/>
              <w:end w:w="120" w:type="dxa"/>
            </w:tcMar>
          </w:tcPr>
          <w:p>
            <w:pPr>
              <w:spacing w:after="0"/>
            </w:pPr>
            <w:r>
              <w:rPr>
                <w:rFonts w:ascii="Calibri" w:hAnsi="Calibri"/>
                <w:b/>
                <w:color w:val="1F6D4A"/>
                <w:sz w:val="18"/>
              </w:rPr>
              <w:t>STATUS: VERIFIED</w:t>
            </w:r>
          </w:p>
        </w:tc>
      </w:tr>
    </w:tbl>
    <w:p>
      <w:pPr>
        <w:keepLines w:val="0"/>
      </w:pPr>
      <w:r>
        <w:t>It is a multi-component system, not one monolith. The Flutter field app, AG React portal, read-only dashboard viewer and Supabase backend are separate code and deployment surfaces. They share business concepts and backend data contracts, but each has a distinct responsibility and release risk.</w:t>
      </w:r>
    </w:p>
    <w:p>
      <w:pPr>
        <w:pStyle w:val="Heading2"/>
        <w:keepNext/>
      </w:pPr>
      <w:r>
        <w:t>3. Who originally built it, and who maintains it today?</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CECEC"/>
            <w:tcMar>
              <w:top w:w="100" w:type="dxa"/>
              <w:start w:w="120" w:type="dxa"/>
              <w:bottom w:w="100" w:type="dxa"/>
              <w:end w:w="120" w:type="dxa"/>
            </w:tcMar>
          </w:tcPr>
          <w:p>
            <w:pPr>
              <w:spacing w:after="0"/>
            </w:pPr>
            <w:r>
              <w:rPr>
                <w:rFonts w:ascii="Calibri" w:hAnsi="Calibri"/>
                <w:b/>
                <w:color w:val="9B1C1C"/>
                <w:sz w:val="18"/>
              </w:rPr>
              <w:t>STATUS: BUSINESS CONFIRMATION REQUIRED</w:t>
            </w:r>
          </w:p>
        </w:tc>
      </w:tr>
    </w:tbl>
    <w:p>
      <w:pPr>
        <w:keepLines w:val="0"/>
      </w:pPr>
      <w:r>
        <w:t>Repository history and source code can identify technical contributors, but they do not establish contractual ownership, employment status, current support responsibility or available engineering capacity. IDS leadership should provide the original builder, current maintainer, escalation owner and whether any contractor retains privileged access.</w:t>
      </w:r>
    </w:p>
    <w:p>
      <w:pPr>
        <w:spacing w:after="160"/>
        <w:ind w:left="259"/>
      </w:pPr>
      <w:r>
        <w:rPr>
          <w:rFonts w:ascii="Calibri" w:hAnsi="Calibri"/>
          <w:b/>
          <w:color w:val="9B1C1C"/>
        </w:rPr>
        <w:t xml:space="preserve">Confirm before external release: </w:t>
      </w:r>
      <w:r>
        <w:rPr>
          <w:rFonts w:ascii="Calibri" w:hAnsi="Calibri"/>
          <w:color w:val="0B2545"/>
        </w:rPr>
        <w:t>Named owner for each repository, backend project, deployment account, support schedule and offboarding status.</w:t>
      </w:r>
    </w:p>
    <w:p>
      <w:pPr>
        <w:pStyle w:val="Heading2"/>
        <w:keepNext/>
      </w:pPr>
      <w:r>
        <w:t>4. Is there a real API layer, or do reports and dashboards query the database directly?</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EAF5EF"/>
            <w:tcMar>
              <w:top w:w="100" w:type="dxa"/>
              <w:start w:w="120" w:type="dxa"/>
              <w:bottom w:w="100" w:type="dxa"/>
              <w:end w:w="120" w:type="dxa"/>
            </w:tcMar>
          </w:tcPr>
          <w:p>
            <w:pPr>
              <w:spacing w:after="0"/>
            </w:pPr>
            <w:r>
              <w:rPr>
                <w:rFonts w:ascii="Calibri" w:hAnsi="Calibri"/>
                <w:b/>
                <w:color w:val="1F6D4A"/>
                <w:sz w:val="18"/>
              </w:rPr>
              <w:t>STATUS: VERIFIED</w:t>
            </w:r>
          </w:p>
        </w:tc>
      </w:tr>
    </w:tbl>
    <w:p>
      <w:pPr>
        <w:keepLines w:val="0"/>
      </w:pPr>
      <w:r>
        <w:t>A real server-side contract layer exists. The current mobile and dashboard paths use PostgreSQL RPCs, strict request/response envelopes, Row Level Security and safe server projections. The dashboard does not need unrestricted raw-table access for external users. Some legacy AG code still contains a SharedDatabase abstraction and direct Supabase/local-data patterns, so it would be inaccurate to say every historical feature exclusively uses one modern API gateway.</w:t>
      </w:r>
    </w:p>
    <w:p>
      <w:pPr>
        <w:pStyle w:val="Heading2"/>
        <w:keepNext/>
      </w:pPr>
      <w:r>
        <w:t>5. What does the release process look like - CI/CD, manual deploys, cadence and change management?</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The repositories contain build and test scripts, Vercel configuration and ordered Supabase migrations. These support a controlled release process, but no complete repository-level CI/CD pipeline, approval policy, deployment cadence or production change log was proven in this review. The recent work uses local static, unit and connected harnesses, but final deployment evidence must be recorded separately.</w:t>
      </w:r>
    </w:p>
    <w:p>
      <w:pPr>
        <w:spacing w:after="160"/>
        <w:ind w:left="259"/>
      </w:pPr>
      <w:r>
        <w:rPr>
          <w:rFonts w:ascii="Calibri" w:hAnsi="Calibri"/>
          <w:b/>
          <w:color w:val="9B1C1C"/>
        </w:rPr>
        <w:t xml:space="preserve">Confirm before external release: </w:t>
      </w:r>
      <w:r>
        <w:rPr>
          <w:rFonts w:ascii="Calibri" w:hAnsi="Calibri"/>
          <w:color w:val="0B2545"/>
        </w:rPr>
        <w:t>Who can deploy, required approvals, rollback process, release frequency, environment promotion rules and the authoritative change-management record.</w:t>
      </w:r>
    </w:p>
    <w:p>
      <w:pPr>
        <w:pStyle w:val="Heading2"/>
        <w:keepNext/>
      </w:pPr>
      <w:r>
        <w:t>6. Is there existing technical documentation, or would we be reverse-engineering the codebase?</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Technical documentation, migration tests, architecture notes and workflow tests exist. However, some documents are aspirational, older than the current code or describe demo behavior. A new partner would not start from zero, but should reconcile documentation against source, database history and deployed environments before relying on it as authoritative.</w:t>
      </w:r>
    </w:p>
    <w:p>
      <w:r>
        <w:br w:type="page"/>
      </w:r>
    </w:p>
    <w:p>
      <w:pPr>
        <w:pStyle w:val="Heading1"/>
        <w:keepNext/>
      </w:pPr>
      <w:r>
        <w:t>B. Data &amp; Data Model</w:t>
      </w:r>
    </w:p>
    <w:p>
      <w:pPr>
        <w:spacing w:after="200"/>
      </w:pPr>
      <w:r>
        <w:t>How information is represented, captured, synchronized and prepared for reporting or analytics.</w:t>
      </w:r>
    </w:p>
    <w:p>
      <w:pPr>
        <w:pStyle w:val="Heading2"/>
        <w:keepNext/>
      </w:pPr>
      <w:r>
        <w:t>7. Can you walk us through the data schema for inspections and quality alerts?</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EAF5EF"/>
            <w:tcMar>
              <w:top w:w="100" w:type="dxa"/>
              <w:start w:w="120" w:type="dxa"/>
              <w:bottom w:w="100" w:type="dxa"/>
              <w:end w:w="120" w:type="dxa"/>
            </w:tcMar>
          </w:tcPr>
          <w:p>
            <w:pPr>
              <w:spacing w:after="0"/>
            </w:pPr>
            <w:r>
              <w:rPr>
                <w:rFonts w:ascii="Calibri" w:hAnsi="Calibri"/>
                <w:b/>
                <w:color w:val="1F6D4A"/>
                <w:sz w:val="18"/>
              </w:rPr>
              <w:t>STATUS: VERIFIED</w:t>
            </w:r>
          </w:p>
        </w:tc>
      </w:tr>
    </w:tbl>
    <w:p>
      <w:pPr>
        <w:keepLines w:val="0"/>
      </w:pPr>
      <w:r>
        <w:t>The model includes authenticated users and business users, projects/clients/plants, assignments, project contact memberships, local outbox records, mobile quality submissions, Routine and Rework source records, Urgent incidents with evidence and immutable recipient snapshots, Daily report compositions and amendments, time entries and corrections, expenses, and audit/release metadata. Daily reports are scoped by IDS Rep, project and work date. The server recomposes eligible same-day quality sources and the approved hours snapshot rather than trusting a client-provided list. External access is constrained by both the immutable release snapshot and the contact's current active membership.</w:t>
      </w:r>
    </w:p>
    <w:p>
      <w:pPr>
        <w:pStyle w:val="Heading2"/>
        <w:keepNext/>
      </w:pPr>
      <w:r>
        <w:t>8. How is data captured in the field today - app, tablet, paper-to-digital, barcode/scanner hardware?</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EAF5EF"/>
            <w:tcMar>
              <w:top w:w="100" w:type="dxa"/>
              <w:start w:w="120" w:type="dxa"/>
              <w:bottom w:w="100" w:type="dxa"/>
              <w:end w:w="120" w:type="dxa"/>
            </w:tcMar>
          </w:tcPr>
          <w:p>
            <w:pPr>
              <w:spacing w:after="0"/>
            </w:pPr>
            <w:r>
              <w:rPr>
                <w:rFonts w:ascii="Calibri" w:hAnsi="Calibri"/>
                <w:b/>
                <w:color w:val="1F6D4A"/>
                <w:sz w:val="18"/>
              </w:rPr>
              <w:t>STATUS: VERIFIED</w:t>
            </w:r>
          </w:p>
        </w:tc>
      </w:tr>
    </w:tbl>
    <w:p>
      <w:pPr>
        <w:keepLines w:val="0"/>
      </w:pPr>
      <w:r>
        <w:t>The Flutter app provides structured Routine, Rework, Urgent, Daily, Hours and Expense workflows. It supports camera-based Data Matrix, QR and common one-dimensional barcode scanning, marked photos, submitted video and manual entry fallback. Data is written to a local Drift database and queued through an outbox so capture can continue offline before synchronized server validation. The exact production mix of phones, tablets, paper fallback and dedicated hardware remains an operational question.</w:t>
      </w:r>
    </w:p>
    <w:p>
      <w:pPr>
        <w:pStyle w:val="Heading2"/>
        <w:keepNext/>
      </w:pPr>
      <w:r>
        <w:t>9. What is the volume - inspections per day, quality alerts per month, active facilities/programs?</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CECEC"/>
            <w:tcMar>
              <w:top w:w="100" w:type="dxa"/>
              <w:start w:w="120" w:type="dxa"/>
              <w:bottom w:w="100" w:type="dxa"/>
              <w:end w:w="120" w:type="dxa"/>
            </w:tcMar>
          </w:tcPr>
          <w:p>
            <w:pPr>
              <w:spacing w:after="0"/>
            </w:pPr>
            <w:r>
              <w:rPr>
                <w:rFonts w:ascii="Calibri" w:hAnsi="Calibri"/>
                <w:b/>
                <w:color w:val="9B1C1C"/>
                <w:sz w:val="18"/>
              </w:rPr>
              <w:t>STATUS: BUSINESS CONFIRMATION REQUIRED</w:t>
            </w:r>
          </w:p>
        </w:tc>
      </w:tr>
    </w:tbl>
    <w:p>
      <w:pPr>
        <w:keepLines w:val="0"/>
      </w:pPr>
      <w:r>
        <w:t>No defensible production volume was established from source code. Counts such as hundreds of inspections, thousands of records or a specific number of facilities should not be quoted until they are calculated from the active production database over a defined period and reconciled with retention rules.</w:t>
      </w:r>
    </w:p>
    <w:p>
      <w:pPr>
        <w:spacing w:after="160"/>
        <w:ind w:left="259"/>
      </w:pPr>
      <w:r>
        <w:rPr>
          <w:rFonts w:ascii="Calibri" w:hAnsi="Calibri"/>
          <w:b/>
          <w:color w:val="9B1C1C"/>
        </w:rPr>
        <w:t xml:space="preserve">Confirm before external release: </w:t>
      </w:r>
      <w:r>
        <w:rPr>
          <w:rFonts w:ascii="Calibri" w:hAnsi="Calibri"/>
          <w:color w:val="0B2545"/>
        </w:rPr>
        <w:t>Trailing 30/90-day counts by record type, distinct active facilities/projects, active users, peak-hour traffic and storage growth.</w:t>
      </w:r>
    </w:p>
    <w:p>
      <w:pPr>
        <w:pStyle w:val="Heading2"/>
        <w:keepNext/>
      </w:pPr>
      <w:r>
        <w:t>10. Is data structured consistently across every site, or does each facility keep its own format/spreadsheet?</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The current application enforces canonical record types, field validation, label limits, recipient rules and normalized server envelopes. That provides a consistent target model. It does not prove every facility has migrated, that every legacy spreadsheet follows the same format, or that all historical imports satisfy the current contract.</w:t>
      </w:r>
    </w:p>
    <w:p>
      <w:pPr>
        <w:spacing w:after="160"/>
        <w:ind w:left="259"/>
      </w:pPr>
      <w:r>
        <w:rPr>
          <w:rFonts w:ascii="Calibri" w:hAnsi="Calibri"/>
          <w:b/>
          <w:color w:val="9B1C1C"/>
        </w:rPr>
        <w:t xml:space="preserve">Confirm before external release: </w:t>
      </w:r>
      <w:r>
        <w:rPr>
          <w:rFonts w:ascii="Calibri" w:hAnsi="Calibri"/>
          <w:color w:val="0B2545"/>
        </w:rPr>
        <w:t>Site-by-site process inventory, remaining spreadsheets, import mappings and known data exceptions.</w:t>
      </w:r>
    </w:p>
    <w:p>
      <w:pPr>
        <w:pStyle w:val="Heading2"/>
        <w:keepNext/>
      </w:pPr>
      <w:r>
        <w:t>11. Is there a single source of truth, or do reports get manually assembled from exports today?</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Supabase/PostgreSQL is designed to be the durable server source of truth. The mobile database is a local offline staging and retry layer, not a competing authoritative store. For Daily reports, the server authoritatively composes eligible sources and hours. The AG portal also supports PDF, Excel, CSV and QuickBooks-format exports, but current operational reliance on manual report assembly must be confirmed with users.</w:t>
      </w:r>
    </w:p>
    <w:p>
      <w:pPr>
        <w:pStyle w:val="Heading2"/>
        <w:keepNext/>
      </w:pPr>
      <w:r>
        <w:t>12. How clean and complete is historical data - can it seed or train analytics/AI models?</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CECEC"/>
            <w:tcMar>
              <w:top w:w="100" w:type="dxa"/>
              <w:start w:w="120" w:type="dxa"/>
              <w:bottom w:w="100" w:type="dxa"/>
              <w:end w:w="120" w:type="dxa"/>
            </w:tcMar>
          </w:tcPr>
          <w:p>
            <w:pPr>
              <w:spacing w:after="0"/>
            </w:pPr>
            <w:r>
              <w:rPr>
                <w:rFonts w:ascii="Calibri" w:hAnsi="Calibri"/>
                <w:b/>
                <w:color w:val="9B1C1C"/>
                <w:sz w:val="18"/>
              </w:rPr>
              <w:t>STATUS: BUSINESS CONFIRMATION REQUIRED</w:t>
            </w:r>
          </w:p>
        </w:tc>
      </w:tr>
    </w:tbl>
    <w:p>
      <w:pPr>
        <w:keepLines w:val="0"/>
      </w:pPr>
      <w:r>
        <w:t>The schema contains structured fields, immutable snapshots and audit-relevant metadata, which are useful foundations. Historical data should not be described as AI-ready without profiling completeness, label consistency, duplicate rates, missing evidence, taxonomy drift, correction history, consent and retention. A governed data-quality assessment is required before model training or benchmarking.</w:t>
      </w:r>
    </w:p>
    <w:p>
      <w:r>
        <w:br w:type="page"/>
      </w:r>
    </w:p>
    <w:p>
      <w:pPr>
        <w:pStyle w:val="Heading1"/>
        <w:keepNext/>
      </w:pPr>
      <w:r>
        <w:t>C. Reporting &amp; Analytics Gaps</w:t>
      </w:r>
    </w:p>
    <w:p>
      <w:pPr>
        <w:spacing w:after="200"/>
      </w:pPr>
      <w:r>
        <w:t>The present reporting path, known technical boundaries and the questions that require stakeholder validation.</w:t>
      </w:r>
    </w:p>
    <w:p>
      <w:pPr>
        <w:pStyle w:val="Heading2"/>
        <w:keepNext/>
      </w:pPr>
      <w:r>
        <w:t>13. Walk me through how a manager actually gets a report today, step by step.</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EAF5EF"/>
            <w:tcMar>
              <w:top w:w="100" w:type="dxa"/>
              <w:start w:w="120" w:type="dxa"/>
              <w:bottom w:w="100" w:type="dxa"/>
              <w:end w:w="120" w:type="dxa"/>
            </w:tcMar>
          </w:tcPr>
          <w:p>
            <w:pPr>
              <w:spacing w:after="0"/>
            </w:pPr>
            <w:r>
              <w:rPr>
                <w:rFonts w:ascii="Calibri" w:hAnsi="Calibri"/>
                <w:b/>
                <w:color w:val="1F6D4A"/>
                <w:sz w:val="18"/>
              </w:rPr>
              <w:t>STATUS: VERIFIED</w:t>
            </w:r>
          </w:p>
        </w:tc>
      </w:tr>
    </w:tbl>
    <w:p>
      <w:pPr>
        <w:keepLines w:val="0"/>
      </w:pPr>
      <w:r>
        <w:t>The intended current flow is: an IDS Rep works within an assigned project/plant/client context; captures Routine, Rework, Urgent, Hours and Expense records; the device stores and queues them locally; the backend validates and persists each record; the Daily report is created for the Rep/project/work date and the server attaches every eligible confirmed same-day quality source plus the frozen hours summary; the Rep selects active authorized Client contacts; and authorized users read a safe dashboard projection. Routine and Rework remain internal standalone records but their approved safe details can appear inside the released Daily. Urgent evidence is separately authorized and externally limited to the marked photo and submitted video.</w:t>
      </w:r>
    </w:p>
    <w:p>
      <w:pPr>
        <w:pStyle w:val="Heading2"/>
        <w:keepNext/>
      </w:pPr>
      <w:r>
        <w:t>14. Which reports are requested most often, and which take the longest to produce?</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CECEC"/>
            <w:tcMar>
              <w:top w:w="100" w:type="dxa"/>
              <w:start w:w="120" w:type="dxa"/>
              <w:bottom w:w="100" w:type="dxa"/>
              <w:end w:w="120" w:type="dxa"/>
            </w:tcMar>
          </w:tcPr>
          <w:p>
            <w:pPr>
              <w:spacing w:after="0"/>
            </w:pPr>
            <w:r>
              <w:rPr>
                <w:rFonts w:ascii="Calibri" w:hAnsi="Calibri"/>
                <w:b/>
                <w:color w:val="9B1C1C"/>
                <w:sz w:val="18"/>
              </w:rPr>
              <w:t>STATUS: BUSINESS CONFIRMATION REQUIRED</w:t>
            </w:r>
          </w:p>
        </w:tc>
      </w:tr>
    </w:tbl>
    <w:p>
      <w:pPr>
        <w:keepLines w:val="0"/>
      </w:pPr>
      <w:r>
        <w:t>The implemented report families are Routine, Rework, Urgent, Daily, Hours/OT and Expense. Code does not reveal stakeholder request frequency or staff effort. A short time-and-demand study should measure requests, manual touches, turnaround time and rework by report type.</w:t>
      </w:r>
    </w:p>
    <w:p>
      <w:pPr>
        <w:pStyle w:val="Heading2"/>
        <w:keepNext/>
      </w:pPr>
      <w:r>
        <w:t>15. What decisions are delayed or made blind because of the current reporting gap?</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CECEC"/>
            <w:tcMar>
              <w:top w:w="100" w:type="dxa"/>
              <w:start w:w="120" w:type="dxa"/>
              <w:bottom w:w="100" w:type="dxa"/>
              <w:end w:w="120" w:type="dxa"/>
            </w:tcMar>
          </w:tcPr>
          <w:p>
            <w:pPr>
              <w:spacing w:after="0"/>
            </w:pPr>
            <w:r>
              <w:rPr>
                <w:rFonts w:ascii="Calibri" w:hAnsi="Calibri"/>
                <w:b/>
                <w:color w:val="9B1C1C"/>
                <w:sz w:val="18"/>
              </w:rPr>
              <w:t>STATUS: BUSINESS CONFIRMATION REQUIRED</w:t>
            </w:r>
          </w:p>
        </w:tc>
      </w:tr>
    </w:tbl>
    <w:p>
      <w:pPr>
        <w:keepLines w:val="0"/>
      </w:pPr>
      <w:r>
        <w:t>Likely decision areas include containment status, repeat defects, supplier escalation, staffing/overtime, expense exposure and cross-plant performance. These are hypotheses, not verified business outcomes. Managers should identify the actual delayed decisions, the data they lack and the financial or customer consequence.</w:t>
      </w:r>
    </w:p>
    <w:p>
      <w:pPr>
        <w:pStyle w:val="Heading2"/>
        <w:keepNext/>
      </w:pPr>
      <w:r>
        <w:t>16. Do you need real-time/live dashboards, or is daily or weekly reporting sufficient?</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The architecture can support near-real-time synchronization and dashboard reads, while Daily reports provide a formal daily snapshot and amendment path. The required freshness is a business service-level decision: Urgent alerts may require minutes, Daily reporting may require end-of-shift completeness, and trend analytics may be daily or weekly.</w:t>
      </w:r>
    </w:p>
    <w:p>
      <w:pPr>
        <w:pStyle w:val="Heading2"/>
        <w:keepNext/>
      </w:pPr>
      <w:r>
        <w:t>17. Is there cross-facility or cross-program rollup today, or is everything siloed per site?</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The current dashboard contract supports role-scoped feeds and IDS Rep filtering across the projects visible to the signed-in user. That is a technical basis for rollups. Actual cross-facility data coverage, consistent classifications and deployed authorization across all sites have not been proven.</w:t>
      </w:r>
    </w:p>
    <w:p>
      <w:pPr>
        <w:pStyle w:val="Heading2"/>
        <w:keepNext/>
      </w:pPr>
      <w:r>
        <w:t>18. What would good analytics look like?</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CECEC"/>
            <w:tcMar>
              <w:top w:w="100" w:type="dxa"/>
              <w:start w:w="120" w:type="dxa"/>
              <w:bottom w:w="100" w:type="dxa"/>
              <w:end w:w="120" w:type="dxa"/>
            </w:tcMar>
          </w:tcPr>
          <w:p>
            <w:pPr>
              <w:spacing w:after="0"/>
            </w:pPr>
            <w:r>
              <w:rPr>
                <w:rFonts w:ascii="Calibri" w:hAnsi="Calibri"/>
                <w:b/>
                <w:color w:val="9B1C1C"/>
                <w:sz w:val="18"/>
              </w:rPr>
              <w:t>STATUS: BUSINESS CONFIRMATION REQUIRED</w:t>
            </w:r>
          </w:p>
        </w:tc>
      </w:tr>
    </w:tbl>
    <w:p>
      <w:pPr>
        <w:keepLines w:val="0"/>
      </w:pPr>
      <w:r>
        <w:t>A practical first analytics layer should include defect and rework trends by plant/program/part, Pareto charts, containment aging, recurrence, clean-lot and label traceability, supplier/facility scorecards, Daily completeness, hours/OT and expense views, and explicit data-quality indicators. Predictive alerts should follow only after definitions, data quality and human review rules are stable.</w:t>
      </w:r>
    </w:p>
    <w:p>
      <w:r>
        <w:br w:type="page"/>
      </w:r>
    </w:p>
    <w:p>
      <w:pPr>
        <w:pStyle w:val="Heading1"/>
        <w:keepNext/>
      </w:pPr>
      <w:r>
        <w:t>D. Integrations &amp; Dependencies</w:t>
      </w:r>
    </w:p>
    <w:p>
      <w:pPr>
        <w:spacing w:after="200"/>
      </w:pPr>
      <w:r>
        <w:t>Confirmed technical connections and integration claims that should not be overstated.</w:t>
      </w:r>
    </w:p>
    <w:p>
      <w:pPr>
        <w:pStyle w:val="Heading2"/>
        <w:keepNext/>
      </w:pPr>
      <w:r>
        <w:t>19. Does the current system integrate with OEM/customer portals, ERP, PPAP/quality systems, or scanning hardware?</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Confirmed capabilities include camera-based scanning, image/video evidence, Supabase Auth/Database/Storage and document/data exports including PDF, Excel, CSV and QuickBooks-format CSV. No direct production API integration with an OEM portal, ERP, PPAP or enterprise QMS was proven. Email or notification delivery should be described as configured only when the relevant provider and deployment are verified.</w:t>
      </w:r>
    </w:p>
    <w:p>
      <w:pPr>
        <w:pStyle w:val="Heading2"/>
        <w:keepNext/>
      </w:pPr>
      <w:r>
        <w:t>20. Are there external systems the current tool depends on?</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The code depends on Supabase, Vercel for web deployment configuration, mobile platform services and third-party Flutter/JavaScript packages. Business dependencies such as customer portals, part masters, supplier directories or HR/accounting systems require a separate integration inventory.</w:t>
      </w:r>
    </w:p>
    <w:p>
      <w:pPr>
        <w:pStyle w:val="Heading2"/>
        <w:keepNext/>
      </w:pPr>
      <w:r>
        <w:t>21. What authentication is used - SSO, custom login, per-facility credentials?</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EAF5EF"/>
            <w:tcMar>
              <w:top w:w="100" w:type="dxa"/>
              <w:start w:w="120" w:type="dxa"/>
              <w:bottom w:w="100" w:type="dxa"/>
              <w:end w:w="120" w:type="dxa"/>
            </w:tcMar>
          </w:tcPr>
          <w:p>
            <w:pPr>
              <w:spacing w:after="0"/>
            </w:pPr>
            <w:r>
              <w:rPr>
                <w:rFonts w:ascii="Calibri" w:hAnsi="Calibri"/>
                <w:b/>
                <w:color w:val="1F6D4A"/>
                <w:sz w:val="18"/>
              </w:rPr>
              <w:t>STATUS: VERIFIED</w:t>
            </w:r>
          </w:p>
        </w:tc>
      </w:tr>
    </w:tbl>
    <w:p>
      <w:pPr>
        <w:keepLines w:val="0"/>
      </w:pPr>
      <w:r>
        <w:t>The reviewed current solution uses Supabase Auth email/password identities, JWT-backed sessions and database authorization through user roles, project assignments, live contact memberships, recipient snapshots and RLS/RPC checks. Authentication alone does not grant dashboard access; the Auth identity must map to an active business user. No live enterprise SSO integration was found in the reviewed code.</w:t>
      </w:r>
    </w:p>
    <w:p>
      <w:pPr>
        <w:pStyle w:val="Heading2"/>
        <w:keepNext/>
      </w:pPr>
      <w:r>
        <w:t>22. Is the solution tied to specific hardware?</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The mobile application requires a supported device with camera access for scanning and evidence capture; manual entry remains available. Android is the clearest operational target, while iOS configuration exists in the project. The scanner recognizes the uploaded Data Matrix-style BIN label as well as QR and common one-dimensional formats. A certified device/OS/browser matrix and physical-plant acceptance test are still required.</w:t>
      </w:r>
    </w:p>
    <w:p>
      <w:r>
        <w:br w:type="page"/>
      </w:r>
    </w:p>
    <w:p>
      <w:pPr>
        <w:pStyle w:val="Heading1"/>
        <w:keepNext/>
      </w:pPr>
      <w:r>
        <w:t>E. Users, Roles &amp; Workflow</w:t>
      </w:r>
    </w:p>
    <w:p>
      <w:pPr>
        <w:spacing w:after="200"/>
      </w:pPr>
      <w:r>
        <w:t>Who uses the system, how work is assigned and how external access is constrained.</w:t>
      </w:r>
    </w:p>
    <w:p>
      <w:pPr>
        <w:pStyle w:val="Heading2"/>
        <w:keepNext/>
      </w:pPr>
      <w:r>
        <w:t>23. Who are the primary users?</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EAF5EF"/>
            <w:tcMar>
              <w:top w:w="100" w:type="dxa"/>
              <w:start w:w="120" w:type="dxa"/>
              <w:bottom w:w="100" w:type="dxa"/>
              <w:end w:w="120" w:type="dxa"/>
            </w:tcMar>
          </w:tcPr>
          <w:p>
            <w:pPr>
              <w:spacing w:after="0"/>
            </w:pPr>
            <w:r>
              <w:rPr>
                <w:rFonts w:ascii="Calibri" w:hAnsi="Calibri"/>
                <w:b/>
                <w:color w:val="1F6D4A"/>
                <w:sz w:val="18"/>
              </w:rPr>
              <w:t>STATUS: VERIFIED</w:t>
            </w:r>
          </w:p>
        </w:tc>
      </w:tr>
    </w:tbl>
    <w:p>
      <w:pPr>
        <w:keepLines w:val="0"/>
      </w:pPr>
      <w:r>
        <w:t>The code supports IDS field roles such as Rep/QRE/quality representative, internal office/admin/owner/lead roles, finance/accounting users, selected Client and Supplier contacts, and mandatory internal oversight recipients. Exact business titles and which roles are active in production should be confirmed, because UI labels are not always equivalent to formal authority.</w:t>
      </w:r>
    </w:p>
    <w:p>
      <w:pPr>
        <w:pStyle w:val="Heading2"/>
        <w:keepNext/>
      </w:pPr>
      <w:r>
        <w:t>24. What does a typical day look like for a field inspector?</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EAF5EF"/>
            <w:tcMar>
              <w:top w:w="100" w:type="dxa"/>
              <w:start w:w="120" w:type="dxa"/>
              <w:bottom w:w="100" w:type="dxa"/>
              <w:end w:w="120" w:type="dxa"/>
            </w:tcMar>
          </w:tcPr>
          <w:p>
            <w:pPr>
              <w:spacing w:after="0"/>
            </w:pPr>
            <w:r>
              <w:rPr>
                <w:rFonts w:ascii="Calibri" w:hAnsi="Calibri"/>
                <w:b/>
                <w:color w:val="1F6D4A"/>
                <w:sz w:val="18"/>
              </w:rPr>
              <w:t>STATUS: VERIFIED</w:t>
            </w:r>
          </w:p>
        </w:tc>
      </w:tr>
    </w:tbl>
    <w:p>
      <w:pPr>
        <w:keepLines w:val="0"/>
      </w:pPr>
      <w:r>
        <w:t>The IDS Rep opens an assigned project and plant context, captures Routine/Rework/Urgent quality activity, scans part or BIN/container labels where relevant, adds approved photos/video, records Hours and Expenses, and prepares the Daily report. The app can preserve drafts and queue work offline. The Rep selects specific active Client contacts for report release; the Client organization remains derived from the assigned project rather than freely chosen.</w:t>
      </w:r>
    </w:p>
    <w:p>
      <w:pPr>
        <w:pStyle w:val="Heading2"/>
        <w:keepNext/>
      </w:pPr>
      <w:r>
        <w:t>25. What permission levels exist, and can facilities/programs be configured differently?</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EAF5EF"/>
            <w:tcMar>
              <w:top w:w="100" w:type="dxa"/>
              <w:start w:w="120" w:type="dxa"/>
              <w:bottom w:w="100" w:type="dxa"/>
              <w:end w:w="120" w:type="dxa"/>
            </w:tcMar>
          </w:tcPr>
          <w:p>
            <w:pPr>
              <w:spacing w:after="0"/>
            </w:pPr>
            <w:r>
              <w:rPr>
                <w:rFonts w:ascii="Calibri" w:hAnsi="Calibri"/>
                <w:b/>
                <w:color w:val="1F6D4A"/>
                <w:sz w:val="18"/>
              </w:rPr>
              <w:t>STATUS: VERIFIED</w:t>
            </w:r>
          </w:p>
        </w:tc>
      </w:tr>
    </w:tbl>
    <w:p>
      <w:pPr>
        <w:keepLines w:val="0"/>
      </w:pPr>
      <w:r>
        <w:t>Authorization combines global business role, assigned project, project contact membership, report capability flags, immutable recipient snapshots and current membership status. Project and assignment records carry configuration context, so behavior can vary by assignment. A Client contact who leaves can be deactivated; historical release snapshots remain for audit while live access is revoked. Reactivating identities and historical access should remain governed by immutable membership lifecycle rules.</w:t>
      </w:r>
    </w:p>
    <w:p>
      <w:pPr>
        <w:pStyle w:val="Heading2"/>
        <w:keepNext/>
      </w:pPr>
      <w:r>
        <w:t>26. Do customers or OEMs get direct access to the tool or reports?</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The current design supports direct read-only dashboard access for explicitly selected, currently active Client contacts. They receive audience-safe report data, not unrestricted raw tables. Routine and Rework are internal standalone source activities; approved details appear in an authorized Daily. For Urgent evidence, external Clients receive the marked photo and submitted video only, while originals and annotation artifacts remain internal. Actual customer account provisioning and environment rollout must be confirmed.</w:t>
      </w:r>
    </w:p>
    <w:p>
      <w:r>
        <w:br w:type="page"/>
      </w:r>
    </w:p>
    <w:p>
      <w:pPr>
        <w:pStyle w:val="Heading1"/>
        <w:keepNext/>
      </w:pPr>
      <w:r>
        <w:t>F. Infrastructure, Security &amp; Compliance</w:t>
      </w:r>
    </w:p>
    <w:p>
      <w:pPr>
        <w:spacing w:after="200"/>
      </w:pPr>
      <w:r>
        <w:t>Implemented security controls versus certifications and operating guarantees that require evidence.</w:t>
      </w:r>
    </w:p>
    <w:p>
      <w:pPr>
        <w:pStyle w:val="Heading2"/>
        <w:keepNext/>
      </w:pPr>
      <w:r>
        <w:t>27. Is data subject to IATF 16949, ISO or customer-specific security requirements?</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CECEC"/>
            <w:tcMar>
              <w:top w:w="100" w:type="dxa"/>
              <w:start w:w="120" w:type="dxa"/>
              <w:bottom w:w="100" w:type="dxa"/>
              <w:end w:w="120" w:type="dxa"/>
            </w:tcMar>
          </w:tcPr>
          <w:p>
            <w:pPr>
              <w:spacing w:after="0"/>
            </w:pPr>
            <w:r>
              <w:rPr>
                <w:rFonts w:ascii="Calibri" w:hAnsi="Calibri"/>
                <w:b/>
                <w:color w:val="9B1C1C"/>
                <w:sz w:val="18"/>
              </w:rPr>
              <w:t>STATUS: BUSINESS CONFIRMATION REQUIRED</w:t>
            </w:r>
          </w:p>
        </w:tc>
      </w:tr>
    </w:tbl>
    <w:p>
      <w:pPr>
        <w:keepLines w:val="0"/>
      </w:pPr>
      <w:r>
        <w:t>The workflows support automotive traceability, immutable snapshots, audit-oriented releases and evidence control, but those features do not constitute IATF 16949, ISO certification or compliance with an OEM security addendum. Compliance obligations, records retention, electronic-signature requirements and customer data clauses require legal and quality-system review.</w:t>
      </w:r>
    </w:p>
    <w:p>
      <w:pPr>
        <w:pStyle w:val="Heading2"/>
        <w:keepNext/>
      </w:pPr>
      <w:r>
        <w:t>28. Where is data hosted, and are there data-residency requirements?</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CECEC"/>
            <w:tcMar>
              <w:top w:w="100" w:type="dxa"/>
              <w:start w:w="120" w:type="dxa"/>
              <w:bottom w:w="100" w:type="dxa"/>
              <w:end w:w="120" w:type="dxa"/>
            </w:tcMar>
          </w:tcPr>
          <w:p>
            <w:pPr>
              <w:spacing w:after="0"/>
            </w:pPr>
            <w:r>
              <w:rPr>
                <w:rFonts w:ascii="Calibri" w:hAnsi="Calibri"/>
                <w:b/>
                <w:color w:val="9B1C1C"/>
                <w:sz w:val="18"/>
              </w:rPr>
              <w:t>STATUS: BUSINESS CONFIRMATION REQUIRED</w:t>
            </w:r>
          </w:p>
        </w:tc>
      </w:tr>
    </w:tbl>
    <w:p>
      <w:pPr>
        <w:keepLines w:val="0"/>
      </w:pPr>
      <w:r>
        <w:t>Supabase and Vercel configurations establish cloud-hosted components, but the active production region, data residency, replication geography, support access and contractual restrictions were not proven. Do not state U.S.-only, Canada-only or a specific region until verified in the live project and agreements.</w:t>
      </w:r>
    </w:p>
    <w:p>
      <w:pPr>
        <w:pStyle w:val="Heading2"/>
        <w:keepNext/>
      </w:pPr>
      <w:r>
        <w:t>29. Has the app had a security review; are there known vulnerabilities or technical debt?</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Implemented safeguards include RLS, strict RPC request/response contracts, restricted raw-table access, safe dashboard projections, live-membership checks, immutable release snapshots, short-lived evidence grants and client-specific media restrictions. This is meaningful engineering evidence, but no independent penetration test or formal security certification was found. Technical debt includes multiple application generations, legacy compatibility surfaces and the need to prove deployed migration parity and full connected role-matrix results.</w:t>
      </w:r>
    </w:p>
    <w:p>
      <w:pPr>
        <w:pStyle w:val="Heading2"/>
        <w:keepNext/>
      </w:pPr>
      <w:r>
        <w:t>30. What is the backup and disaster-recovery story?</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CECEC"/>
            <w:tcMar>
              <w:top w:w="100" w:type="dxa"/>
              <w:start w:w="120" w:type="dxa"/>
              <w:bottom w:w="100" w:type="dxa"/>
              <w:end w:w="120" w:type="dxa"/>
            </w:tcMar>
          </w:tcPr>
          <w:p>
            <w:pPr>
              <w:spacing w:after="0"/>
            </w:pPr>
            <w:r>
              <w:rPr>
                <w:rFonts w:ascii="Calibri" w:hAnsi="Calibri"/>
                <w:b/>
                <w:color w:val="9B1C1C"/>
                <w:sz w:val="18"/>
              </w:rPr>
              <w:t>STATUS: BUSINESS CONFIRMATION REQUIRED</w:t>
            </w:r>
          </w:p>
        </w:tc>
      </w:tr>
    </w:tbl>
    <w:p>
      <w:pPr>
        <w:keepLines w:val="0"/>
      </w:pPr>
      <w:r>
        <w:t>No defensible RPO, RTO, PITR retention, backup ownership or restore-drill evidence was established. Supabase capabilities vary by plan and configuration, so platform marketing must not be treated as the project's actual backup policy.</w:t>
      </w:r>
    </w:p>
    <w:p>
      <w:pPr>
        <w:spacing w:after="160"/>
        <w:ind w:left="259"/>
      </w:pPr>
      <w:r>
        <w:rPr>
          <w:rFonts w:ascii="Calibri" w:hAnsi="Calibri"/>
          <w:b/>
          <w:color w:val="9B1C1C"/>
        </w:rPr>
        <w:t xml:space="preserve">Confirm before external release: </w:t>
      </w:r>
      <w:r>
        <w:rPr>
          <w:rFonts w:ascii="Calibri" w:hAnsi="Calibri"/>
          <w:color w:val="0B2545"/>
        </w:rPr>
        <w:t>Backup schedule, PITR window, retention, encryption/key ownership, tested restore date, RPO/RTO and source/deployment recovery procedure.</w:t>
      </w:r>
    </w:p>
    <w:p>
      <w:pPr>
        <w:pStyle w:val="Heading2"/>
        <w:keepNext/>
      </w:pPr>
      <w:r>
        <w:t>31. Do you have SSO capability?</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No configured enterprise SSO flow was found in the reviewed applications. Supabase can support enterprise identity options depending on plan and configuration, but enabling SSO would require provider setup, domain/claim mapping, role provisioning, deprovisioning and testing. Therefore the correct answer is 'not currently proven; technically assessable,' not 'yes, already available.'</w:t>
      </w:r>
    </w:p>
    <w:p>
      <w:pPr>
        <w:pStyle w:val="Heading1"/>
        <w:keepNext/>
      </w:pPr>
      <w:r>
        <w:t>G. Team, Ownership &amp; Constraints</w:t>
      </w:r>
    </w:p>
    <w:p>
      <w:pPr>
        <w:spacing w:after="200"/>
      </w:pPr>
      <w:r>
        <w:t>Commercial and organizational facts that cannot be derived from source code.</w:t>
      </w:r>
    </w:p>
    <w:p>
      <w:pPr>
        <w:pStyle w:val="Heading2"/>
        <w:keepNext/>
      </w:pPr>
      <w:r>
        <w:t>32. Who owns and maintains the code day to day, and what is their bandwidth?</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CECEC"/>
            <w:tcMar>
              <w:top w:w="100" w:type="dxa"/>
              <w:start w:w="120" w:type="dxa"/>
              <w:bottom w:w="100" w:type="dxa"/>
              <w:end w:w="120" w:type="dxa"/>
            </w:tcMar>
          </w:tcPr>
          <w:p>
            <w:pPr>
              <w:spacing w:after="0"/>
            </w:pPr>
            <w:r>
              <w:rPr>
                <w:rFonts w:ascii="Calibri" w:hAnsi="Calibri"/>
                <w:b/>
                <w:color w:val="9B1C1C"/>
                <w:sz w:val="18"/>
              </w:rPr>
              <w:t>STATUS: BUSINESS CONFIRMATION REQUIRED</w:t>
            </w:r>
          </w:p>
        </w:tc>
      </w:tr>
    </w:tbl>
    <w:p>
      <w:pPr>
        <w:keepLines w:val="0"/>
      </w:pPr>
      <w:r>
        <w:t>A named application owner, backend owner, deployment owner, data steward and support escalation path must be supplied by IDS leadership. Repository access or recent commits alone do not prove accountability or available bandwidth.</w:t>
      </w:r>
    </w:p>
    <w:p>
      <w:pPr>
        <w:pStyle w:val="Heading2"/>
        <w:keepNext/>
      </w:pPr>
      <w:r>
        <w:t>33. What is the appetite and budget for a full replatform versus layering analytics on the current system?</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CECEC"/>
            <w:tcMar>
              <w:top w:w="100" w:type="dxa"/>
              <w:start w:w="120" w:type="dxa"/>
              <w:bottom w:w="100" w:type="dxa"/>
              <w:end w:w="120" w:type="dxa"/>
            </w:tcMar>
          </w:tcPr>
          <w:p>
            <w:pPr>
              <w:spacing w:after="0"/>
            </w:pPr>
            <w:r>
              <w:rPr>
                <w:rFonts w:ascii="Calibri" w:hAnsi="Calibri"/>
                <w:b/>
                <w:color w:val="9B1C1C"/>
                <w:sz w:val="18"/>
              </w:rPr>
              <w:t>STATUS: BUSINESS CONFIRMATION REQUIRED</w:t>
            </w:r>
          </w:p>
        </w:tc>
      </w:tr>
    </w:tbl>
    <w:p>
      <w:pPr>
        <w:keepLines w:val="0"/>
      </w:pPr>
      <w:r>
        <w:t>The existing capture, offline, authorization and reporting foundation makes a staged analytics layer the lower-risk starting point. A full replatform should be justified only by validated gaps in operability, maintainability, security, scale or user experience. Budget, procurement route and risk appetite remain leadership decisions.</w:t>
      </w:r>
    </w:p>
    <w:p>
      <w:pPr>
        <w:pStyle w:val="Heading2"/>
        <w:keepNext/>
      </w:pPr>
      <w:r>
        <w:t>34. Are there licensing or IP constraints on what may be touched or rebuilt?</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CECEC"/>
            <w:tcMar>
              <w:top w:w="100" w:type="dxa"/>
              <w:start w:w="120" w:type="dxa"/>
              <w:bottom w:w="100" w:type="dxa"/>
              <w:end w:w="120" w:type="dxa"/>
            </w:tcMar>
          </w:tcPr>
          <w:p>
            <w:pPr>
              <w:spacing w:after="0"/>
            </w:pPr>
            <w:r>
              <w:rPr>
                <w:rFonts w:ascii="Calibri" w:hAnsi="Calibri"/>
                <w:b/>
                <w:color w:val="9B1C1C"/>
                <w:sz w:val="18"/>
              </w:rPr>
              <w:t>STATUS: BUSINESS CONFIRMATION REQUIRED</w:t>
            </w:r>
          </w:p>
        </w:tc>
      </w:tr>
    </w:tbl>
    <w:p>
      <w:pPr>
        <w:keepLines w:val="0"/>
      </w:pPr>
      <w:r>
        <w:t>Source availability does not establish ownership of every component, contractor deliverable, brand asset, data set or third-party license obligation. A legal inventory should confirm repository ownership, contributor agreements, open-source obligations, customer-data rights and rights to create derivative systems.</w:t>
      </w:r>
    </w:p>
    <w:p>
      <w:pPr>
        <w:pStyle w:val="Heading2"/>
        <w:keepNext/>
      </w:pPr>
      <w:r>
        <w:t>35. Is a specific customer/OEM ask or deadline driving urgency?</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CECEC"/>
            <w:tcMar>
              <w:top w:w="100" w:type="dxa"/>
              <w:start w:w="120" w:type="dxa"/>
              <w:bottom w:w="100" w:type="dxa"/>
              <w:end w:w="120" w:type="dxa"/>
            </w:tcMar>
          </w:tcPr>
          <w:p>
            <w:pPr>
              <w:spacing w:after="0"/>
            </w:pPr>
            <w:r>
              <w:rPr>
                <w:rFonts w:ascii="Calibri" w:hAnsi="Calibri"/>
                <w:b/>
                <w:color w:val="9B1C1C"/>
                <w:sz w:val="18"/>
              </w:rPr>
              <w:t>STATUS: BUSINESS CONFIRMATION REQUIRED</w:t>
            </w:r>
          </w:p>
        </w:tc>
      </w:tr>
    </w:tbl>
    <w:p>
      <w:pPr>
        <w:keepLines w:val="0"/>
      </w:pPr>
      <w:r>
        <w:t>No customer commitment, OEM mandate or contractual deadline can be inferred from code. Leadership should identify the requesting party, exact deliverable, acceptance criteria, due date and consequence of delay before the roadmap is committed.</w:t>
      </w:r>
    </w:p>
    <w:p>
      <w:r>
        <w:br w:type="page"/>
      </w:r>
    </w:p>
    <w:p>
      <w:pPr>
        <w:pStyle w:val="Heading1"/>
        <w:keepNext/>
      </w:pPr>
      <w:r>
        <w:t>H. AI Readiness</w:t>
      </w:r>
    </w:p>
    <w:p>
      <w:pPr>
        <w:spacing w:after="200"/>
      </w:pPr>
      <w:r>
        <w:t>What the current data can support and what must be governed before AI is introduced.</w:t>
      </w:r>
    </w:p>
    <w:p>
      <w:pPr>
        <w:pStyle w:val="Heading2"/>
        <w:keepNext/>
      </w:pPr>
      <w:r>
        <w:t>36. Are defect photos tagged or categorized in a structured way?</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Urgent evidence has structured attachment roles, release states, marked images, video and incident metadata. Quality records also contain part/BIN labels and structured categories. This is a useful starting point, but a computer-vision program still needs a consistent defect taxonomy, ground-truth labels, image-quality checks, consent/usage rights, class-balance analysis and a representative validation set.</w:t>
      </w:r>
    </w:p>
    <w:p>
      <w:pPr>
        <w:pStyle w:val="Heading2"/>
        <w:keepNext/>
      </w:pPr>
      <w:r>
        <w:t>37. Is there free-text data that could feed summarization or NLP?</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EAF5EF"/>
            <w:tcMar>
              <w:top w:w="100" w:type="dxa"/>
              <w:start w:w="120" w:type="dxa"/>
              <w:bottom w:w="100" w:type="dxa"/>
              <w:end w:w="120" w:type="dxa"/>
            </w:tcMar>
          </w:tcPr>
          <w:p>
            <w:pPr>
              <w:spacing w:after="0"/>
            </w:pPr>
            <w:r>
              <w:rPr>
                <w:rFonts w:ascii="Calibri" w:hAnsi="Calibri"/>
                <w:b/>
                <w:color w:val="1F6D4A"/>
                <w:sz w:val="18"/>
              </w:rPr>
              <w:t>STATUS: VERIFIED</w:t>
            </w:r>
          </w:p>
        </w:tc>
      </w:tr>
    </w:tbl>
    <w:p>
      <w:pPr>
        <w:keepLines w:val="0"/>
      </w:pPr>
      <w:r>
        <w:t>Yes. Comments, summaries, notes, issue descriptions, handover text, unavailable-label reasons and other narrative fields exist. Before NLP use, the team should define permitted fields, redact sensitive content, preserve source references and evaluate hallucination/error risk.</w:t>
      </w:r>
    </w:p>
    <w:p>
      <w:pPr>
        <w:pStyle w:val="Heading2"/>
        <w:keepNext/>
      </w:pPr>
      <w:r>
        <w:t>38. Has the organization tried automation or AI before?</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CECEC"/>
            <w:tcMar>
              <w:top w:w="100" w:type="dxa"/>
              <w:start w:w="120" w:type="dxa"/>
              <w:bottom w:w="100" w:type="dxa"/>
              <w:end w:w="120" w:type="dxa"/>
            </w:tcMar>
          </w:tcPr>
          <w:p>
            <w:pPr>
              <w:spacing w:after="0"/>
            </w:pPr>
            <w:r>
              <w:rPr>
                <w:rFonts w:ascii="Calibri" w:hAnsi="Calibri"/>
                <w:b/>
                <w:color w:val="9B1C1C"/>
                <w:sz w:val="18"/>
              </w:rPr>
              <w:t>STATUS: BUSINESS CONFIRMATION REQUIRED</w:t>
            </w:r>
          </w:p>
        </w:tc>
      </w:tr>
    </w:tbl>
    <w:p>
      <w:pPr>
        <w:keepLines w:val="0"/>
      </w:pPr>
      <w:r>
        <w:t>The product contains workflow automation such as offline sync, server composition, evidence release and exports. No reliable evidence of a production AI deployment, measured AI outcome or failed AI pilot was established. Business stakeholders should answer this directly.</w:t>
      </w:r>
    </w:p>
    <w:p>
      <w:pPr>
        <w:pStyle w:val="Heading2"/>
        <w:keepNext/>
      </w:pPr>
      <w:r>
        <w:t>39. Who should own or govern AI outputs; do OEM-facing reports need explainability or an audit trail?</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CECEC"/>
            <w:tcMar>
              <w:top w:w="100" w:type="dxa"/>
              <w:start w:w="120" w:type="dxa"/>
              <w:bottom w:w="100" w:type="dxa"/>
              <w:end w:w="120" w:type="dxa"/>
            </w:tcMar>
          </w:tcPr>
          <w:p>
            <w:pPr>
              <w:spacing w:after="0"/>
            </w:pPr>
            <w:r>
              <w:rPr>
                <w:rFonts w:ascii="Calibri" w:hAnsi="Calibri"/>
                <w:b/>
                <w:color w:val="9B1C1C"/>
                <w:sz w:val="18"/>
              </w:rPr>
              <w:t>STATUS: BUSINESS CONFIRMATION REQUIRED</w:t>
            </w:r>
          </w:p>
        </w:tc>
      </w:tr>
    </w:tbl>
    <w:p>
      <w:pPr>
        <w:keepLines w:val="0"/>
      </w:pPr>
      <w:r>
        <w:t>AI outputs should be advisory until governance is approved. Recommended controls are a named business owner, human approval for externally released content, source citations to underlying records, model/prompt versioning, confidence and exception handling, immutable audit history, retention rules and a mechanism to correct or withdraw an output. The existing immutable snapshots and amendments are helpful foundations, not a complete AI governance program.</w:t>
      </w:r>
    </w:p>
    <w:p>
      <w:r>
        <w:br w:type="page"/>
      </w:r>
    </w:p>
    <w:p>
      <w:pPr>
        <w:pStyle w:val="Heading1"/>
        <w:keepNext/>
      </w:pPr>
      <w:r>
        <w:t>I. North Star Alignment</w:t>
      </w:r>
    </w:p>
    <w:p>
      <w:pPr>
        <w:spacing w:after="200"/>
      </w:pPr>
      <w:r>
        <w:t>How the existing platform maps to BaseTQ-style capabilities and what should be prioritized next.</w:t>
      </w:r>
    </w:p>
    <w:p>
      <w:pPr>
        <w:pStyle w:val="Heading2"/>
        <w:keepNext/>
      </w:pPr>
      <w:r>
        <w:t>40. Which BaseTQ-style capabilities matter most?</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The current code already covers mobile inspection capture, quality alerts, Daily reporting, role-scoped dashboard access, label scanning, evidence, Hours/OT and Expenses. The recommended priority is operational reliability and complete role-safe reporting first, followed by cross-facility analytics, then governed AI. Containment/sorting workflow depth and plant-specific configuration should be validated with users before scope is finalized.</w:t>
      </w:r>
    </w:p>
    <w:p>
      <w:pPr>
        <w:pStyle w:val="Heading2"/>
        <w:keepNext/>
      </w:pPr>
      <w:r>
        <w:t>41. Do you need supplier- or OEM-facing views, or is this internal only?</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EAF5EF"/>
            <w:tcMar>
              <w:top w:w="100" w:type="dxa"/>
              <w:start w:w="120" w:type="dxa"/>
              <w:bottom w:w="100" w:type="dxa"/>
              <w:end w:w="120" w:type="dxa"/>
            </w:tcMar>
          </w:tcPr>
          <w:p>
            <w:pPr>
              <w:spacing w:after="0"/>
            </w:pPr>
            <w:r>
              <w:rPr>
                <w:rFonts w:ascii="Calibri" w:hAnsi="Calibri"/>
                <w:b/>
                <w:color w:val="1F6D4A"/>
                <w:sz w:val="18"/>
              </w:rPr>
              <w:t>STATUS: VERIFIED</w:t>
            </w:r>
          </w:p>
        </w:tc>
      </w:tr>
    </w:tbl>
    <w:p>
      <w:pPr>
        <w:keepLines w:val="0"/>
      </w:pPr>
      <w:r>
        <w:t>The design supports both. Internal IDS and finance roles receive role-appropriate views, while selected Client and Supplier contacts can receive restricted external access. External access is report- and membership-scoped rather than a blanket customer portal entitlement. The exact Supplier/OEM audience and contract wording still need business approval.</w:t>
      </w:r>
    </w:p>
    <w:p>
      <w:pPr>
        <w:pStyle w:val="Heading2"/>
        <w:keepNext/>
      </w:pPr>
      <w:r>
        <w:t>42. Is barcode/serial-number scanning already solved, or a current gap?</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The app has an implemented camera scanner for Data Matrix, QR, Code 128, Code 39, Code 93, EAN, ITF and UPC formats. Current UI supports confirmed part and BIN/container capture, manual fallback, duplicate and size controls, offline drafts and safe dashboard display. The remaining work is operational acceptance: test actual plant labels, lighting, damaged labels, device permissions, supported hardware and the exact parsing rules for each customer label format.</w:t>
      </w:r>
    </w:p>
    <w:p>
      <w:pPr>
        <w:pStyle w:val="Heading2"/>
        <w:keepNext/>
      </w:pPr>
      <w:r>
        <w:t>43. How important is a formal approval/authorization workflow?</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FF7DB"/>
            <w:tcMar>
              <w:top w:w="100" w:type="dxa"/>
              <w:start w:w="120" w:type="dxa"/>
              <w:bottom w:w="100" w:type="dxa"/>
              <w:end w:w="120" w:type="dxa"/>
            </w:tcMar>
          </w:tcPr>
          <w:p>
            <w:pPr>
              <w:spacing w:after="0"/>
            </w:pPr>
            <w:r>
              <w:rPr>
                <w:rFonts w:ascii="Calibri" w:hAnsi="Calibri"/>
                <w:b/>
                <w:color w:val="7A5A00"/>
                <w:sz w:val="18"/>
              </w:rPr>
              <w:t>STATUS: PARTIALLY VERIFIED</w:t>
            </w:r>
          </w:p>
        </w:tc>
      </w:tr>
    </w:tbl>
    <w:p>
      <w:pPr>
        <w:keepLines w:val="0"/>
      </w:pPr>
      <w:r>
        <w:t>It is important for safety, customer trust and billing control. Current code includes selected-contact report release, live-membership authorization, immutable recipient snapshots, Urgent evidence authorization, Daily amendments and Hours/OT review/correction paths. Before claiming a complete end-to-end approval system, confirm the production rules for alert closure, overtime approval, rejection/return, amendment authority, final sign-off, delegation and audit retention.</w:t>
      </w:r>
    </w:p>
    <w:p>
      <w:r>
        <w:br w:type="page"/>
      </w:r>
    </w:p>
    <w:p>
      <w:pPr>
        <w:pStyle w:val="Heading1"/>
        <w:keepNext/>
      </w:pPr>
      <w:r>
        <w:t>Critical facts IDS leadership must supply</w:t>
      </w:r>
    </w:p>
    <w:p>
      <w:pPr>
        <w:spacing w:after="200"/>
      </w:pPr>
      <w:r>
        <w:t>These items cannot be made authoritative by inspecting code. They should be completed before the discovery document is issued externally.</w:t>
      </w:r>
    </w:p>
    <w:p>
      <w:pPr>
        <w:pStyle w:val="ListBullet"/>
      </w:pPr>
      <w:r>
        <w:t>Production record volume by type and time period; active plants, programs, users and customers.</w:t>
      </w:r>
    </w:p>
    <w:p>
      <w:pPr>
        <w:pStyle w:val="ListBullet"/>
      </w:pPr>
      <w:r>
        <w:t>Named customers/OEMs and written permission to reference them.</w:t>
      </w:r>
    </w:p>
    <w:p>
      <w:pPr>
        <w:pStyle w:val="ListBullet"/>
      </w:pPr>
      <w:r>
        <w:t>Current maintainers, code/IP ownership, contractor obligations and privileged-access owners.</w:t>
      </w:r>
    </w:p>
    <w:p>
      <w:pPr>
        <w:pStyle w:val="ListBullet"/>
      </w:pPr>
      <w:r>
        <w:t>Active production, staging and development environments, regions, plans and service owners.</w:t>
      </w:r>
    </w:p>
    <w:p>
      <w:pPr>
        <w:pStyle w:val="ListBullet"/>
      </w:pPr>
      <w:r>
        <w:t>Release cadence, CI/CD and approval process, rollback procedure and change-management evidence.</w:t>
      </w:r>
    </w:p>
    <w:p>
      <w:pPr>
        <w:pStyle w:val="ListBullet"/>
      </w:pPr>
      <w:r>
        <w:t>Backup/PITR configuration, retention, RPO/RTO and last successful restore drill.</w:t>
      </w:r>
    </w:p>
    <w:p>
      <w:pPr>
        <w:pStyle w:val="ListBullet"/>
      </w:pPr>
      <w:r>
        <w:t>Compliance scope, certifications, OEM security addenda, retention requirements and data residency.</w:t>
      </w:r>
    </w:p>
    <w:p>
      <w:pPr>
        <w:pStyle w:val="ListBullet"/>
      </w:pPr>
      <w:r>
        <w:t>Known incidents, penetration tests, vulnerability remediation and accepted technical debt.</w:t>
      </w:r>
    </w:p>
    <w:p>
      <w:pPr>
        <w:pStyle w:val="ListBullet"/>
      </w:pPr>
      <w:r>
        <w:t>SSO requirements, identity lifecycle, customer provisioning and deprovisioning process.</w:t>
      </w:r>
    </w:p>
    <w:p>
      <w:pPr>
        <w:pStyle w:val="ListBullet"/>
      </w:pPr>
      <w:r>
        <w:t>Actual reporting pain, turnaround time, top requested reports and decisions delayed today.</w:t>
      </w:r>
    </w:p>
    <w:p>
      <w:pPr>
        <w:pStyle w:val="ListBullet"/>
      </w:pPr>
      <w:r>
        <w:t>Budget, procurement route, deadline, customer acceptance criteria and replatform appetite.</w:t>
      </w:r>
    </w:p>
    <w:p>
      <w:pPr>
        <w:pStyle w:val="ListBullet"/>
      </w:pPr>
      <w:r>
        <w:t>AI use cases, training rights, data-quality baseline, human approvers and audit/explainability requirements.</w:t>
      </w:r>
    </w:p>
    <w:p>
      <w:pPr>
        <w:pStyle w:val="Heading2"/>
        <w:keepNext/>
      </w:pPr>
      <w:r>
        <w:t>Recommended discovery-call positioning</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5EF"/>
            <w:tcMar>
              <w:top w:w="100" w:type="dxa"/>
              <w:start w:w="120" w:type="dxa"/>
              <w:bottom w:w="100" w:type="dxa"/>
              <w:end w:w="120" w:type="dxa"/>
            </w:tcMar>
          </w:tcPr>
          <w:p>
            <w:pPr>
              <w:spacing w:after="0"/>
            </w:pPr>
            <w:r>
              <w:rPr>
                <w:rFonts w:ascii="Calibri" w:hAnsi="Calibri"/>
                <w:b/>
                <w:color w:val="1F6D4A"/>
                <w:sz w:val="21"/>
              </w:rPr>
              <w:t xml:space="preserve">Say this. </w:t>
            </w:r>
            <w:r>
              <w:rPr>
                <w:rFonts w:ascii="Calibri" w:hAnsi="Calibri"/>
                <w:color w:val="0B2545"/>
                <w:sz w:val="21"/>
              </w:rPr>
              <w:t>We have a working multi-component platform with offline mobile capture, structured quality workflows, role-scoped reporting, evidence controls and a Supabase data foundation. We are now validating deployment maturity, data quality, operational scale and governance before expanding analytics and AI.</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CECEC"/>
            <w:tcMar>
              <w:top w:w="100" w:type="dxa"/>
              <w:start w:w="120" w:type="dxa"/>
              <w:bottom w:w="100" w:type="dxa"/>
              <w:end w:w="120" w:type="dxa"/>
            </w:tcMar>
          </w:tcPr>
          <w:p>
            <w:pPr>
              <w:spacing w:after="0"/>
            </w:pPr>
            <w:r>
              <w:rPr>
                <w:rFonts w:ascii="Calibri" w:hAnsi="Calibri"/>
                <w:b/>
                <w:color w:val="9B1C1C"/>
                <w:sz w:val="21"/>
              </w:rPr>
              <w:t xml:space="preserve">Avoid this. </w:t>
            </w:r>
            <w:r>
              <w:rPr>
                <w:rFonts w:ascii="Calibri" w:hAnsi="Calibri"/>
                <w:color w:val="0B2545"/>
                <w:sz w:val="21"/>
              </w:rPr>
              <w:t>Do not claim named OEM adoption, enterprise scale, formal certification, complete SSO, guaranteed backup/PITR, fully automated CI/CD, immediate AI-training readiness or end-to-end production deployment unless supporting records are available.</w:t>
            </w:r>
          </w:p>
        </w:tc>
      </w:tr>
    </w:tbl>
    <w:p>
      <w:pPr>
        <w:spacing w:after="40"/>
      </w:pPr>
    </w:p>
    <w:p>
      <w:pPr>
        <w:pStyle w:val="Heading2"/>
        <w:keepNext/>
      </w:pPr>
      <w:r>
        <w:t>Evidence basis</w:t>
      </w:r>
    </w:p>
    <w:p>
      <w:r>
        <w:t>This response was prepared from the current local source tree and configuration available on August 20, 2026. Representative evidence includes the AG React application and deployment configuration, the Flutter field application and tests, the Supabase migrations and local role/report harnesses, and the React/TypeScript incident-evidence dashboard viewer. It is a technical discovery response, not a substitute for production database metrics, cloud-console configuration, contracts, certifications, legal review or stakeholder interviews.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6DEE8"/>
      </w:pBdr>
    </w:pPr>
    <w:r>
      <w:rPr>
        <w:rFonts w:ascii="Calibri" w:hAnsi="Calibri"/>
        <w:b/>
        <w:color w:val="5F6B7A"/>
        <w:sz w:val="18"/>
      </w:rPr>
      <w:t>PUENTE AI | IDS Pulse Current-State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IDS Pulse Current-State Discovery - Detailed Verified Responses</dc:title>
  <dc:subject>Puente AI discovery call response</dc:subject>
  <dc:creator>IDS Pulse</dc:creator>
  <cp:keywords>IDS Pulse, Puente AI, discovery, automotive quality, Supabase, Flutter</cp:keywords>
  <dc:description>Prepared from current technical evidence; business confirmation items are explicitly marked.</dc:description>
  <cp:lastModifiedBy/>
  <cp:revision>1</cp:revision>
  <dcterms:created xsi:type="dcterms:W3CDTF">2013-12-23T23:15:00Z</dcterms:created>
  <dcterms:modified xsi:type="dcterms:W3CDTF">2013-12-23T23:15:00Z</dcterms:modified>
  <cp:category/>
</cp:coreProperties>
</file>