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Baig Bots Portfolio Theme Guide</w:t>
      </w:r>
    </w:p>
    <w:p>
      <w:r>
        <w:t>A practical design and motion reference for building a portfolio site on a Baig Bots subdomain. This guide records the current home page system and the rules needed to carry its visual identity into a new project. The portfolio should reuse the same tokens, typography, cut-corner components and restrained circuit motion while showing projects as the main content.</w:t>
      </w:r>
    </w:p>
    <w:p>
      <w:pPr>
        <w:pStyle w:val="Heading1"/>
      </w:pPr>
      <w:r>
        <w:t>Design foundation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4061"/>
        <w:gridCol w:w="4248"/>
      </w:tblGrid>
      <w:tr>
        <w:tc>
          <w:tcPr>
            <w:tcW w:type="dxa" w:w="3379"/>
            <w:shd w:fill="3333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3379"/>
            <w:shd w:fill="3333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Current rule</w:t>
            </w:r>
          </w:p>
        </w:tc>
        <w:tc>
          <w:tcPr>
            <w:tcW w:type="dxa" w:w="3379"/>
            <w:shd w:fill="3333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Portfolio use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Layout</w:t>
            </w:r>
          </w:p>
        </w:tc>
        <w:tc>
          <w:tcPr>
            <w:tcW w:type="dxa" w:w="4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1280px maximum content width; horizontal padding clamp(20px, 4vw, 56px)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Use one centered page container.</w:t>
            </w:r>
          </w:p>
        </w:tc>
      </w:tr>
      <w:tr>
        <w:tc>
          <w:tcPr>
            <w:tcW w:type="dxa" w:w="1757"/>
            <w:shd w:fill="F7F4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Sections</w:t>
            </w:r>
          </w:p>
        </w:tc>
        <w:tc>
          <w:tcPr>
            <w:tcW w:type="dxa" w:w="4061"/>
            <w:shd w:fill="F7F4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Vertical padding clamp(72px, 9vw, 132px)</w:t>
            </w:r>
          </w:p>
        </w:tc>
        <w:tc>
          <w:tcPr>
            <w:tcW w:type="dxa" w:w="4248"/>
            <w:shd w:fill="F7F4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Keep generous spacing between projects.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Corners</w:t>
            </w:r>
          </w:p>
        </w:tc>
        <w:tc>
          <w:tcPr>
            <w:tcW w:type="dxa" w:w="4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12px diagonal cuts at top right and bottom left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Use the same shape on cards and main buttons.</w:t>
            </w:r>
          </w:p>
        </w:tc>
      </w:tr>
      <w:tr>
        <w:tc>
          <w:tcPr>
            <w:tcW w:type="dxa" w:w="1757"/>
            <w:shd w:fill="F7F4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Theme</w:t>
            </w:r>
          </w:p>
        </w:tc>
        <w:tc>
          <w:tcPr>
            <w:tcW w:type="dxa" w:w="4061"/>
            <w:shd w:fill="F7F4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Manual light and dark toggle saved in localStorage</w:t>
            </w:r>
          </w:p>
        </w:tc>
        <w:tc>
          <w:tcPr>
            <w:tcW w:type="dxa" w:w="4248"/>
            <w:shd w:fill="F7F4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Offer the same toggle and apply theme before render.</w:t>
            </w:r>
          </w:p>
        </w:tc>
      </w:tr>
    </w:tbl>
    <w:p>
      <w:pPr>
        <w:spacing w:after="40"/>
      </w:pPr>
    </w:p>
    <w:p>
      <w:pPr>
        <w:pStyle w:val="Heading1"/>
      </w:pPr>
      <w:r>
        <w:t>Fonts and type scale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88"/>
        <w:gridCol w:w="5962"/>
      </w:tblGrid>
      <w:tr>
        <w:tc>
          <w:tcPr>
            <w:tcW w:type="dxa" w:w="3379"/>
            <w:shd w:fill="3333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379"/>
            <w:shd w:fill="3333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Font</w:t>
            </w:r>
          </w:p>
        </w:tc>
        <w:tc>
          <w:tcPr>
            <w:tcW w:type="dxa" w:w="3379"/>
            <w:shd w:fill="3333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Current treatment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Display headings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Sora</w:t>
            </w:r>
          </w:p>
        </w:tc>
        <w:tc>
          <w:tcPr>
            <w:tcW w:type="dxa" w:w="59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Bold; tight letter spacing around -0.04em; large headings use clamp(2.4rem, 4.6vw, 4.4rem).</w:t>
            </w:r>
          </w:p>
        </w:tc>
      </w:tr>
      <w:tr>
        <w:tc>
          <w:tcPr>
            <w:tcW w:type="dxa" w:w="2016"/>
            <w:shd w:fill="F7F4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Body and controls</w:t>
            </w:r>
          </w:p>
        </w:tc>
        <w:tc>
          <w:tcPr>
            <w:tcW w:type="dxa" w:w="2088"/>
            <w:shd w:fill="F7F4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Instrument Sans</w:t>
            </w:r>
          </w:p>
        </w:tc>
        <w:tc>
          <w:tcPr>
            <w:tcW w:type="dxa" w:w="5962"/>
            <w:shd w:fill="F7F4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17px base with 1.55 line height; buttons about 0.98rem and weight 600.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Labels and numbers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JetBrains Mono</w:t>
            </w:r>
          </w:p>
        </w:tc>
        <w:tc>
          <w:tcPr>
            <w:tcW w:type="dxa" w:w="59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Uppercase eyebrow labels at about 12.5px with 0.14em tracking.</w:t>
            </w:r>
          </w:p>
        </w:tc>
      </w:tr>
    </w:tbl>
    <w:p>
      <w:pPr>
        <w:spacing w:after="40"/>
      </w:pPr>
    </w:p>
    <w:p>
      <w:r>
        <w:t>Use Sora for project titles and major statements, Instrument Sans for descriptions, and JetBrains Mono for project categories, numbers, years and technical metadata. Font files are declared in src/styles.css; the main Latin weights are available under public/assets.</w:t>
      </w:r>
    </w:p>
    <w:p>
      <w:pPr>
        <w:pStyle w:val="Heading1"/>
      </w:pPr>
      <w:r>
        <w:t>Color tokens</w:t>
      </w:r>
    </w:p>
    <w:p>
      <w:r>
        <w:t>All theme colors are defined in src/theme/colors.css. Use semantic CSS variables rather than copying hex values into individual components.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59"/>
        <w:gridCol w:w="3096"/>
        <w:gridCol w:w="3096"/>
      </w:tblGrid>
      <w:tr>
        <w:tc>
          <w:tcPr>
            <w:tcW w:type="dxa" w:w="3379"/>
            <w:shd w:fill="3333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Token / role</w:t>
            </w:r>
          </w:p>
        </w:tc>
        <w:tc>
          <w:tcPr>
            <w:tcW w:type="dxa" w:w="3379"/>
            <w:shd w:fill="3333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Light</w:t>
            </w:r>
          </w:p>
        </w:tc>
        <w:tc>
          <w:tcPr>
            <w:tcW w:type="dxa" w:w="3379"/>
            <w:shd w:fill="3333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Dark</w:t>
            </w:r>
          </w:p>
        </w:tc>
      </w:tr>
      <w:tr>
        <w:tc>
          <w:tcPr>
            <w:tcW w:type="dxa" w:w="38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--bg / page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#FFFFFF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#0F0F10</w:t>
            </w:r>
          </w:p>
        </w:tc>
      </w:tr>
      <w:tr>
        <w:tc>
          <w:tcPr>
            <w:tcW w:type="dxa" w:w="3859"/>
            <w:shd w:fill="F7F4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--bg-alt / alternate surface</w:t>
            </w:r>
          </w:p>
        </w:tc>
        <w:tc>
          <w:tcPr>
            <w:tcW w:type="dxa" w:w="3096"/>
            <w:shd w:fill="F7F4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#F3F3F3</w:t>
            </w:r>
          </w:p>
        </w:tc>
        <w:tc>
          <w:tcPr>
            <w:tcW w:type="dxa" w:w="3096"/>
            <w:shd w:fill="F7F4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#140D0F</w:t>
            </w:r>
          </w:p>
        </w:tc>
      </w:tr>
      <w:tr>
        <w:tc>
          <w:tcPr>
            <w:tcW w:type="dxa" w:w="38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--card / card fill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#FFFFFF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#170F11</w:t>
            </w:r>
          </w:p>
        </w:tc>
      </w:tr>
      <w:tr>
        <w:tc>
          <w:tcPr>
            <w:tcW w:type="dxa" w:w="3859"/>
            <w:shd w:fill="F7F4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--text / primary text</w:t>
            </w:r>
          </w:p>
        </w:tc>
        <w:tc>
          <w:tcPr>
            <w:tcW w:type="dxa" w:w="3096"/>
            <w:shd w:fill="F7F4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#191919</w:t>
            </w:r>
          </w:p>
        </w:tc>
        <w:tc>
          <w:tcPr>
            <w:tcW w:type="dxa" w:w="3096"/>
            <w:shd w:fill="F7F4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#F5F3F3</w:t>
            </w:r>
          </w:p>
        </w:tc>
      </w:tr>
      <w:tr>
        <w:tc>
          <w:tcPr>
            <w:tcW w:type="dxa" w:w="38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--muted / secondary text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#555555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#B9AEB0</w:t>
            </w:r>
          </w:p>
        </w:tc>
      </w:tr>
      <w:tr>
        <w:tc>
          <w:tcPr>
            <w:tcW w:type="dxa" w:w="3859"/>
            <w:shd w:fill="F7F4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--head / highlighted heading</w:t>
            </w:r>
          </w:p>
        </w:tc>
        <w:tc>
          <w:tcPr>
            <w:tcW w:type="dxa" w:w="3096"/>
            <w:shd w:fill="F7F4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#701018</w:t>
            </w:r>
          </w:p>
        </w:tc>
        <w:tc>
          <w:tcPr>
            <w:tcW w:type="dxa" w:w="3096"/>
            <w:shd w:fill="F7F4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#FF2E3E</w:t>
            </w:r>
          </w:p>
        </w:tc>
      </w:tr>
      <w:tr>
        <w:tc>
          <w:tcPr>
            <w:tcW w:type="dxa" w:w="38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--accent / primary action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#701018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#D90A1B</w:t>
            </w:r>
          </w:p>
        </w:tc>
      </w:tr>
      <w:tr>
        <w:tc>
          <w:tcPr>
            <w:tcW w:type="dxa" w:w="3859"/>
            <w:shd w:fill="F7F4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--line / boundaries</w:t>
            </w:r>
          </w:p>
        </w:tc>
        <w:tc>
          <w:tcPr>
            <w:tcW w:type="dxa" w:w="3096"/>
            <w:shd w:fill="F7F4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#CECCCC</w:t>
            </w:r>
          </w:p>
        </w:tc>
        <w:tc>
          <w:tcPr>
            <w:tcW w:type="dxa" w:w="3096"/>
            <w:shd w:fill="F7F4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#3A2227</w:t>
            </w:r>
          </w:p>
        </w:tc>
      </w:tr>
      <w:tr>
        <w:tc>
          <w:tcPr>
            <w:tcW w:type="dxa" w:w="38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--marquee-bg / moving band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#701018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#FFFFFF</w:t>
            </w:r>
          </w:p>
        </w:tc>
      </w:tr>
      <w:tr>
        <w:tc>
          <w:tcPr>
            <w:tcW w:type="dxa" w:w="3859"/>
            <w:shd w:fill="F7F4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--marquee-text / moving band</w:t>
            </w:r>
          </w:p>
        </w:tc>
        <w:tc>
          <w:tcPr>
            <w:tcW w:type="dxa" w:w="3096"/>
            <w:shd w:fill="F7F4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#FFFFFF</w:t>
            </w:r>
          </w:p>
        </w:tc>
        <w:tc>
          <w:tcPr>
            <w:tcW w:type="dxa" w:w="3096"/>
            <w:shd w:fill="F7F4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#E5262F</w:t>
            </w:r>
          </w:p>
        </w:tc>
      </w:tr>
    </w:tbl>
    <w:p>
      <w:pPr>
        <w:spacing w:after="40"/>
      </w:pPr>
    </w:p>
    <w:p>
      <w:r>
        <w:t>Brand constants include maroon #701018, brighter red #E5262F and dark ink #191919. The contact callout uses a maroon background and white text in both themes.</w:t>
      </w:r>
    </w:p>
    <w:p>
      <w:r>
        <w:br w:type="page"/>
      </w:r>
    </w:p>
    <w:p>
      <w:pPr>
        <w:pStyle w:val="Heading1"/>
      </w:pPr>
      <w:r>
        <w:t>Components to reuse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891"/>
      </w:tblGrid>
      <w:tr>
        <w:tc>
          <w:tcPr>
            <w:tcW w:type="dxa" w:w="5069"/>
            <w:shd w:fill="3333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5069"/>
            <w:shd w:fill="3333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Visual rule and behavior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Primary button</w:t>
            </w:r>
          </w:p>
        </w:tc>
        <w:tc>
          <w:tcPr>
            <w:tcW w:type="dxa" w:w="7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Cut-corner silhouette; at least 50px tall; 26px horizontal padding; white text on --accent. Hover raises a second color layer and shifts the arrow about 5px right.</w:t>
            </w:r>
          </w:p>
        </w:tc>
      </w:tr>
      <w:tr>
        <w:tc>
          <w:tcPr>
            <w:tcW w:type="dxa" w:w="2160"/>
            <w:shd w:fill="F7F4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Secondary link</w:t>
            </w:r>
          </w:p>
        </w:tc>
        <w:tc>
          <w:tcPr>
            <w:tcW w:type="dxa" w:w="7891"/>
            <w:shd w:fill="F7F4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Text plus right arrow; red underline grows from left to right on hover. Keep focus states visible.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Project card</w:t>
            </w:r>
          </w:p>
        </w:tc>
        <w:tc>
          <w:tcPr>
            <w:tcW w:type="dxa" w:w="7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Use --card fill with --line edge and the 12px cut corners. Provide an image, project type, title, short outcome and a clear case-study link. On hover, lift subtly, show a soft cursor spotlight and reveal a thin accent trace.</w:t>
            </w:r>
          </w:p>
        </w:tc>
      </w:tr>
      <w:tr>
        <w:tc>
          <w:tcPr>
            <w:tcW w:type="dxa" w:w="2160"/>
            <w:shd w:fill="F7F4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Metric card</w:t>
            </w:r>
          </w:p>
        </w:tc>
        <w:tc>
          <w:tcPr>
            <w:tcW w:type="dxa" w:w="7891"/>
            <w:shd w:fill="F7F4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Independent cut-corner tile with oversized Sora number, mono label and short explanation. Reveal the number when the tile enters the viewport.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Header</w:t>
            </w:r>
          </w:p>
        </w:tc>
        <w:tc>
          <w:tcPr>
            <w:tcW w:type="dxa" w:w="7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Dark sticky navigation in both modes, white links, red active/hover accent and the manual theme switch.</w:t>
            </w:r>
          </w:p>
        </w:tc>
      </w:tr>
      <w:tr>
        <w:tc>
          <w:tcPr>
            <w:tcW w:type="dxa" w:w="2160"/>
            <w:shd w:fill="F7F4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Service marquee</w:t>
            </w:r>
          </w:p>
        </w:tc>
        <w:tc>
          <w:tcPr>
            <w:tcW w:type="dxa" w:w="7891"/>
            <w:shd w:fill="F7F4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Continuous ticker; light mode maroon with white text, dark mode white with red text. Motion stays steady and does not respond to pointer speed or page scroll.</w:t>
            </w:r>
          </w:p>
        </w:tc>
      </w:tr>
    </w:tbl>
    <w:p>
      <w:pPr>
        <w:spacing w:after="40"/>
      </w:pPr>
    </w:p>
    <w:p>
      <w:pPr>
        <w:pStyle w:val="Heading1"/>
      </w:pPr>
      <w:r>
        <w:t>Background language</w:t>
      </w:r>
    </w:p>
    <w:p>
      <w:pPr>
        <w:pStyle w:val="ListBullet"/>
      </w:pPr>
      <w:r>
        <w:t>Circuit paths: thin SVG lines in --circuit with round nodes. A separate short dashed path moves along the same route in --pulse. Hero uses 1.5px base lines and 2.5px pulses; the contact callout uses white moving highlights over maroon.</w:t>
      </w:r>
    </w:p>
    <w:p>
      <w:pPr>
        <w:pStyle w:val="ListBullet"/>
      </w:pPr>
      <w:r>
        <w:t>Grid and dots: fine low-contrast lines or a 22px dotted field behind selected sections. Keep them decorative and below the content layer.</w:t>
      </w:r>
    </w:p>
    <w:p>
      <w:pPr>
        <w:pStyle w:val="ListBullet"/>
      </w:pPr>
      <w:r>
        <w:t>Cursor reveal: a 38px grid and dot pattern appears inside a roughly 200px radial mask around the pointer. Hide this interaction on touch devices and over moving sliders.</w:t>
      </w:r>
    </w:p>
    <w:p>
      <w:pPr>
        <w:pStyle w:val="ListBullet"/>
      </w:pPr>
      <w:r>
        <w:t>Hero depth: a Three.js canvas carries the orbital system with floating service chips. Keep it as the hero focal point; portfolio project imagery should remain readable and static by default.</w:t>
      </w:r>
    </w:p>
    <w:p>
      <w:r>
        <w:br w:type="page"/>
      </w:r>
    </w:p>
    <w:p>
      <w:pPr>
        <w:pStyle w:val="Heading1"/>
      </w:pPr>
      <w:r>
        <w:t>Motion rules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15"/>
        <w:gridCol w:w="4032"/>
        <w:gridCol w:w="4104"/>
      </w:tblGrid>
      <w:tr>
        <w:tc>
          <w:tcPr>
            <w:tcW w:type="dxa" w:w="3379"/>
            <w:shd w:fill="3333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Pattern</w:t>
            </w:r>
          </w:p>
        </w:tc>
        <w:tc>
          <w:tcPr>
            <w:tcW w:type="dxa" w:w="3379"/>
            <w:shd w:fill="3333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Current behavior</w:t>
            </w:r>
          </w:p>
        </w:tc>
        <w:tc>
          <w:tcPr>
            <w:tcW w:type="dxa" w:w="3379"/>
            <w:shd w:fill="3333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Portfolio recommendation</w:t>
            </w:r>
          </w:p>
        </w:tc>
      </w:tr>
      <w:tr>
        <w:tc>
          <w:tcPr>
            <w:tcW w:type="dxa" w:w="19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Entrance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Headings split into words or characters and rise into view; cards reveal on viewport entry.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Use once-per-entry reveals for project sections. Avoid re-triggering on every scroll.</w:t>
            </w:r>
          </w:p>
        </w:tc>
      </w:tr>
      <w:tr>
        <w:tc>
          <w:tcPr>
            <w:tcW w:type="dxa" w:w="1915"/>
            <w:shd w:fill="F7F4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Circuit motion</w:t>
            </w:r>
          </w:p>
        </w:tc>
        <w:tc>
          <w:tcPr>
            <w:tcW w:type="dxa" w:w="4032"/>
            <w:shd w:fill="F7F4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SVG paths draw in, then short dashes travel continuously along them.</w:t>
            </w:r>
          </w:p>
        </w:tc>
        <w:tc>
          <w:tcPr>
            <w:tcW w:type="dxa" w:w="4104"/>
            <w:shd w:fill="F7F4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Use in hero and one callout only; keep pulses behind text.</w:t>
            </w:r>
          </w:p>
        </w:tc>
      </w:tr>
      <w:tr>
        <w:tc>
          <w:tcPr>
            <w:tcW w:type="dxa" w:w="19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Cards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Soft spotlight follows pointer; selected cards tilt lightly; icon stroke draws on hover.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Apply hover effects only where pointer is fine; never block card links.</w:t>
            </w:r>
          </w:p>
        </w:tc>
      </w:tr>
      <w:tr>
        <w:tc>
          <w:tcPr>
            <w:tcW w:type="dxa" w:w="1915"/>
            <w:shd w:fill="F7F4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Numbers and diagrams</w:t>
            </w:r>
          </w:p>
        </w:tc>
        <w:tc>
          <w:tcPr>
            <w:tcW w:type="dxa" w:w="4032"/>
            <w:shd w:fill="F7F4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Metric numbers count up in view; chart lines and process arrow grow in view.</w:t>
            </w:r>
          </w:p>
        </w:tc>
        <w:tc>
          <w:tcPr>
            <w:tcW w:type="dxa" w:w="4104"/>
            <w:shd w:fill="F7F4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Use for real portfolio results or case-study diagrams.</w:t>
            </w:r>
          </w:p>
        </w:tc>
      </w:tr>
      <w:tr>
        <w:tc>
          <w:tcPr>
            <w:tcW w:type="dxa" w:w="19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Marquee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CSS linear infinite drift, 42s on primary row and 54s reverse on secondary.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Keep ticker independent of scroll and mouse movement.</w:t>
            </w:r>
          </w:p>
        </w:tc>
      </w:tr>
    </w:tbl>
    <w:p>
      <w:pPr>
        <w:spacing w:after="40"/>
      </w:pPr>
    </w:p>
    <w:p>
      <w:r>
        <w:t>Animation implementation currently uses GSAP with ScrollTrigger, SplitText and DrawSVGPlugin; Motion for React viewport paths and bars; and Three.js for the hero canvas. Keep animation cleanup with the component lifecycle. Provide a nonanimated fallback when WebGL is unavailable.</w:t>
      </w:r>
    </w:p>
    <w:p>
      <w:pPr>
        <w:pStyle w:val="Heading1"/>
      </w:pPr>
      <w:r>
        <w:t>Portfolio page plan</w:t>
      </w:r>
    </w:p>
    <w:p>
      <w:r>
        <w:t>Suggested sections: hero with a short portfolio statement, featured work cards, a compact project index with filters, two or three detailed case-study highlights, process or outcomes, and a closing contact callout. Each case study should show the problem, role, solution, technologies and measured outcome where a real measurement exists. Use actual project screenshots rather than decorative mock data.</w:t>
      </w:r>
    </w:p>
    <w:p>
      <w:r>
        <w:t>For a new codebase, copy theme tokens first, then shared typography and button/card CSS. Build the portfolio content on top of those shared rules. Check at desktop and mobile widths, both theme modes, keyboard focus and motion performance.</w:t>
      </w:r>
    </w:p>
    <w:p>
      <w:pPr>
        <w:pStyle w:val="Heading1"/>
      </w:pPr>
      <w:r>
        <w:t>Source map</w:t>
      </w:r>
    </w:p>
    <w:p>
      <w:r>
        <w:t>Colors: src/theme/colors.css  •  theme behavior: src/theme/theme.js  •  CSS and font declarations: src/styles.css  •  interactive motion: src/site.js  •  React assembly: src/components/Page.jsx and src/components/sections.jsx  •  reusable motion examples: src/components/DrawCircleText.jsx and src/components/ProcessGrowth.jsx  •  markup examples: src/components/markup/Hero.html and Contact.html.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51" w:bottom="893" w:left="10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6"/>
      </w:rPr>
      <w:t>Portfolio subdomain  •  source based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b/>
        <w:color w:val="701018"/>
        <w:sz w:val="16"/>
      </w:rPr>
      <w:t>BAIG BOTS  /  DESIGN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ptos" w:hAnsi="Aptos"/>
      <w:color w:val="23232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