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021" w:rsidRDefault="00F2290A">
      <w:r>
        <w:rPr>
          <w:noProof/>
        </w:rPr>
        <w:drawing>
          <wp:inline distT="0" distB="0" distL="0" distR="0" wp14:anchorId="27AECF4C" wp14:editId="32924E85">
            <wp:extent cx="5760720" cy="264622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820" r="2820" b="8594"/>
                    <a:stretch/>
                  </pic:blipFill>
                  <pic:spPr bwMode="auto">
                    <a:xfrm>
                      <a:off x="0" y="0"/>
                      <a:ext cx="5780937" cy="2655513"/>
                    </a:xfrm>
                    <a:prstGeom prst="rect">
                      <a:avLst/>
                    </a:prstGeom>
                    <a:ln>
                      <a:noFill/>
                    </a:ln>
                    <a:extLst>
                      <a:ext uri="{53640926-AAD7-44D8-BBD7-CCE9431645EC}">
                        <a14:shadowObscured xmlns:a14="http://schemas.microsoft.com/office/drawing/2010/main"/>
                      </a:ext>
                    </a:extLst>
                  </pic:spPr>
                </pic:pic>
              </a:graphicData>
            </a:graphic>
          </wp:inline>
        </w:drawing>
      </w:r>
    </w:p>
    <w:p w:rsidR="00F2290A" w:rsidRDefault="00F2290A">
      <w:r w:rsidRPr="00215FBE">
        <w:rPr>
          <w:b/>
          <w:u w:val="single"/>
        </w:rPr>
        <w:t>Multiple R:</w:t>
      </w:r>
      <w:r>
        <w:t xml:space="preserve"> Square root of R-squared. It represent</w:t>
      </w:r>
      <w:r w:rsidR="00215FBE">
        <w:t>s the correlation between the closing-</w:t>
      </w:r>
      <w:r>
        <w:t>price for each day within the selected time-frame. The value of 1 represents</w:t>
      </w:r>
      <w:r w:rsidR="00E57679">
        <w:t xml:space="preserve"> perfect linear relationship and 0 represents no correlation between the variables being tested. </w:t>
      </w:r>
      <w:r w:rsidR="00E57679">
        <w:br/>
        <w:t>As we can see above, the multiple R value is 0.1532 which is very low and it is evident that the number of articles related to cyber security about Sony Pictures had no significant impact on the stock price of the company.</w:t>
      </w:r>
      <w:r w:rsidR="00E57679">
        <w:br/>
      </w:r>
      <w:r w:rsidR="00E57679" w:rsidRPr="00215FBE">
        <w:rPr>
          <w:b/>
          <w:u w:val="single"/>
        </w:rPr>
        <w:t>R Square:</w:t>
      </w:r>
      <w:r w:rsidR="00E57679">
        <w:t xml:space="preserve"> This is the coefficient of determination, which essentially tells us how many points fall on the regression line. </w:t>
      </w:r>
      <w:proofErr w:type="gramStart"/>
      <w:r w:rsidR="00E57679">
        <w:t>i.e</w:t>
      </w:r>
      <w:proofErr w:type="gramEnd"/>
      <w:r w:rsidR="00E57679">
        <w:t xml:space="preserve">. What percentage of </w:t>
      </w:r>
      <w:r w:rsidR="00215FBE">
        <w:t>data fits the model. As we can see, only 2.3% of the values fit the model. This makes it clear that number of cyber security related articles do not determine the stock price of a company.</w:t>
      </w:r>
    </w:p>
    <w:p w:rsidR="00145AEA" w:rsidRDefault="00145AEA">
      <w:r>
        <w:rPr>
          <w:noProof/>
        </w:rPr>
        <w:lastRenderedPageBreak/>
        <w:drawing>
          <wp:inline distT="0" distB="0" distL="0" distR="0" wp14:anchorId="0D580C8B" wp14:editId="7A794E84">
            <wp:extent cx="5943600" cy="3858895"/>
            <wp:effectExtent l="0" t="0" r="19050" b="273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sectPr w:rsidR="0014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90A"/>
    <w:rsid w:val="00145AEA"/>
    <w:rsid w:val="00215FBE"/>
    <w:rsid w:val="003615BD"/>
    <w:rsid w:val="00E57679"/>
    <w:rsid w:val="00E63F46"/>
    <w:rsid w:val="00F2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9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9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adeep\Documents\Fall2015\Big%20Data%20Management%20and%20Analytics\Project\count%20sony.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Correlation</a:t>
            </a:r>
            <a:r>
              <a:rPr lang="en-US" baseline="0"/>
              <a:t> </a:t>
            </a:r>
            <a:endParaRPr lang="en-US"/>
          </a:p>
        </c:rich>
      </c:tx>
      <c:overlay val="0"/>
    </c:title>
    <c:autoTitleDeleted val="0"/>
    <c:plotArea>
      <c:layout/>
      <c:scatterChart>
        <c:scatterStyle val="lineMarker"/>
        <c:varyColors val="0"/>
        <c:ser>
          <c:idx val="0"/>
          <c:order val="0"/>
          <c:tx>
            <c:strRef>
              <c:f>'count sony'!$K$1</c:f>
              <c:strCache>
                <c:ptCount val="1"/>
                <c:pt idx="0">
                  <c:v>Close</c:v>
                </c:pt>
              </c:strCache>
            </c:strRef>
          </c:tx>
          <c:spPr>
            <a:ln w="28575">
              <a:noFill/>
            </a:ln>
            <a:effectLst>
              <a:glow rad="63500">
                <a:schemeClr val="bg1">
                  <a:alpha val="40000"/>
                </a:schemeClr>
              </a:glow>
              <a:softEdge rad="0"/>
            </a:effectLst>
          </c:spPr>
          <c:marker>
            <c:spPr>
              <a:effectLst>
                <a:glow rad="63500">
                  <a:schemeClr val="bg1">
                    <a:alpha val="40000"/>
                  </a:schemeClr>
                </a:glow>
                <a:softEdge rad="0"/>
              </a:effectLst>
            </c:spPr>
          </c:marker>
          <c:trendline>
            <c:spPr>
              <a:ln w="25400" cmpd="sng">
                <a:solidFill>
                  <a:schemeClr val="tx1"/>
                </a:solidFill>
              </a:ln>
            </c:spPr>
            <c:trendlineType val="linear"/>
            <c:dispRSqr val="1"/>
            <c:dispEq val="0"/>
            <c:trendlineLbl>
              <c:layout>
                <c:manualLayout>
                  <c:x val="-6.3255534986815243E-3"/>
                  <c:y val="6.8291427261660168E-2"/>
                </c:manualLayout>
              </c:layout>
              <c:numFmt formatCode="General" sourceLinked="0"/>
              <c:txPr>
                <a:bodyPr/>
                <a:lstStyle/>
                <a:p>
                  <a:pPr>
                    <a:defRPr/>
                  </a:pPr>
                  <a:endParaRPr lang="en-US"/>
                </a:p>
              </c:txPr>
            </c:trendlineLbl>
          </c:trendline>
          <c:xVal>
            <c:numRef>
              <c:f>'count sony'!$J$2:$J$63</c:f>
              <c:numCache>
                <c:formatCode>General</c:formatCode>
                <c:ptCount val="62"/>
                <c:pt idx="0">
                  <c:v>13</c:v>
                </c:pt>
                <c:pt idx="1">
                  <c:v>12</c:v>
                </c:pt>
                <c:pt idx="2">
                  <c:v>13</c:v>
                </c:pt>
                <c:pt idx="3">
                  <c:v>9</c:v>
                </c:pt>
                <c:pt idx="4">
                  <c:v>11</c:v>
                </c:pt>
                <c:pt idx="5">
                  <c:v>9</c:v>
                </c:pt>
                <c:pt idx="6">
                  <c:v>16</c:v>
                </c:pt>
                <c:pt idx="7">
                  <c:v>18</c:v>
                </c:pt>
                <c:pt idx="8">
                  <c:v>13</c:v>
                </c:pt>
                <c:pt idx="9">
                  <c:v>16</c:v>
                </c:pt>
                <c:pt idx="10">
                  <c:v>16</c:v>
                </c:pt>
                <c:pt idx="11">
                  <c:v>12</c:v>
                </c:pt>
                <c:pt idx="12">
                  <c:v>12</c:v>
                </c:pt>
                <c:pt idx="13">
                  <c:v>11</c:v>
                </c:pt>
                <c:pt idx="14">
                  <c:v>13</c:v>
                </c:pt>
                <c:pt idx="15">
                  <c:v>12</c:v>
                </c:pt>
                <c:pt idx="16">
                  <c:v>11</c:v>
                </c:pt>
                <c:pt idx="17">
                  <c:v>22</c:v>
                </c:pt>
                <c:pt idx="18">
                  <c:v>9</c:v>
                </c:pt>
                <c:pt idx="19">
                  <c:v>12</c:v>
                </c:pt>
                <c:pt idx="20">
                  <c:v>13</c:v>
                </c:pt>
                <c:pt idx="21">
                  <c:v>11</c:v>
                </c:pt>
                <c:pt idx="22">
                  <c:v>6</c:v>
                </c:pt>
                <c:pt idx="23">
                  <c:v>11</c:v>
                </c:pt>
                <c:pt idx="24">
                  <c:v>15</c:v>
                </c:pt>
                <c:pt idx="25">
                  <c:v>13</c:v>
                </c:pt>
                <c:pt idx="26">
                  <c:v>16</c:v>
                </c:pt>
                <c:pt idx="27">
                  <c:v>16</c:v>
                </c:pt>
                <c:pt idx="28">
                  <c:v>6</c:v>
                </c:pt>
                <c:pt idx="29">
                  <c:v>6</c:v>
                </c:pt>
                <c:pt idx="30">
                  <c:v>9</c:v>
                </c:pt>
                <c:pt idx="31">
                  <c:v>23</c:v>
                </c:pt>
                <c:pt idx="32">
                  <c:v>28</c:v>
                </c:pt>
                <c:pt idx="33">
                  <c:v>16</c:v>
                </c:pt>
                <c:pt idx="34">
                  <c:v>11</c:v>
                </c:pt>
                <c:pt idx="35">
                  <c:v>16</c:v>
                </c:pt>
                <c:pt idx="36">
                  <c:v>15</c:v>
                </c:pt>
                <c:pt idx="37">
                  <c:v>23</c:v>
                </c:pt>
                <c:pt idx="38">
                  <c:v>24</c:v>
                </c:pt>
                <c:pt idx="39">
                  <c:v>27</c:v>
                </c:pt>
                <c:pt idx="40">
                  <c:v>34</c:v>
                </c:pt>
                <c:pt idx="41">
                  <c:v>37</c:v>
                </c:pt>
                <c:pt idx="42">
                  <c:v>29</c:v>
                </c:pt>
                <c:pt idx="43">
                  <c:v>14</c:v>
                </c:pt>
                <c:pt idx="44">
                  <c:v>23</c:v>
                </c:pt>
                <c:pt idx="45">
                  <c:v>31</c:v>
                </c:pt>
                <c:pt idx="46">
                  <c:v>25</c:v>
                </c:pt>
                <c:pt idx="47">
                  <c:v>37</c:v>
                </c:pt>
                <c:pt idx="48">
                  <c:v>170</c:v>
                </c:pt>
                <c:pt idx="49">
                  <c:v>40</c:v>
                </c:pt>
                <c:pt idx="50">
                  <c:v>20</c:v>
                </c:pt>
                <c:pt idx="51">
                  <c:v>27</c:v>
                </c:pt>
                <c:pt idx="52">
                  <c:v>41</c:v>
                </c:pt>
                <c:pt idx="53">
                  <c:v>45</c:v>
                </c:pt>
                <c:pt idx="54">
                  <c:v>54</c:v>
                </c:pt>
                <c:pt idx="55">
                  <c:v>71</c:v>
                </c:pt>
                <c:pt idx="56">
                  <c:v>95</c:v>
                </c:pt>
                <c:pt idx="57">
                  <c:v>60</c:v>
                </c:pt>
                <c:pt idx="58">
                  <c:v>49</c:v>
                </c:pt>
                <c:pt idx="59">
                  <c:v>68</c:v>
                </c:pt>
                <c:pt idx="60">
                  <c:v>125</c:v>
                </c:pt>
                <c:pt idx="61">
                  <c:v>26</c:v>
                </c:pt>
              </c:numCache>
            </c:numRef>
          </c:xVal>
          <c:yVal>
            <c:numRef>
              <c:f>'count sony'!$K$2:$K$63</c:f>
              <c:numCache>
                <c:formatCode>General</c:formatCode>
                <c:ptCount val="62"/>
                <c:pt idx="0">
                  <c:v>17.719999000000001</c:v>
                </c:pt>
                <c:pt idx="1">
                  <c:v>17.719999000000001</c:v>
                </c:pt>
                <c:pt idx="2">
                  <c:v>17.43</c:v>
                </c:pt>
                <c:pt idx="3">
                  <c:v>17.48</c:v>
                </c:pt>
                <c:pt idx="4">
                  <c:v>17.719999000000001</c:v>
                </c:pt>
                <c:pt idx="5">
                  <c:v>18.360001</c:v>
                </c:pt>
                <c:pt idx="6">
                  <c:v>18.719999000000001</c:v>
                </c:pt>
                <c:pt idx="7">
                  <c:v>19.82</c:v>
                </c:pt>
                <c:pt idx="8">
                  <c:v>19.82</c:v>
                </c:pt>
                <c:pt idx="9">
                  <c:v>19.64</c:v>
                </c:pt>
                <c:pt idx="10">
                  <c:v>20.16</c:v>
                </c:pt>
                <c:pt idx="11">
                  <c:v>20.010000000000002</c:v>
                </c:pt>
                <c:pt idx="12">
                  <c:v>20.18</c:v>
                </c:pt>
                <c:pt idx="13">
                  <c:v>19.700001</c:v>
                </c:pt>
                <c:pt idx="14">
                  <c:v>19.620000999999998</c:v>
                </c:pt>
                <c:pt idx="15">
                  <c:v>19.62</c:v>
                </c:pt>
                <c:pt idx="16">
                  <c:v>20.45</c:v>
                </c:pt>
                <c:pt idx="17">
                  <c:v>20.5</c:v>
                </c:pt>
                <c:pt idx="18">
                  <c:v>20.709999</c:v>
                </c:pt>
                <c:pt idx="19">
                  <c:v>20.629999000000002</c:v>
                </c:pt>
                <c:pt idx="20">
                  <c:v>20.41</c:v>
                </c:pt>
                <c:pt idx="21">
                  <c:v>20.639999</c:v>
                </c:pt>
                <c:pt idx="22">
                  <c:v>20.639999</c:v>
                </c:pt>
                <c:pt idx="23">
                  <c:v>20.190000000000001</c:v>
                </c:pt>
                <c:pt idx="24">
                  <c:v>20.260000000000002</c:v>
                </c:pt>
                <c:pt idx="25">
                  <c:v>21.26</c:v>
                </c:pt>
                <c:pt idx="26">
                  <c:v>20.809999000000001</c:v>
                </c:pt>
                <c:pt idx="27">
                  <c:v>20.48</c:v>
                </c:pt>
                <c:pt idx="28">
                  <c:v>21.24</c:v>
                </c:pt>
                <c:pt idx="29">
                  <c:v>21.24</c:v>
                </c:pt>
                <c:pt idx="30">
                  <c:v>21.22</c:v>
                </c:pt>
                <c:pt idx="31">
                  <c:v>21.629999000000002</c:v>
                </c:pt>
                <c:pt idx="32">
                  <c:v>21.93</c:v>
                </c:pt>
                <c:pt idx="33">
                  <c:v>21.690000999999999</c:v>
                </c:pt>
                <c:pt idx="34">
                  <c:v>21.690000999999999</c:v>
                </c:pt>
                <c:pt idx="35">
                  <c:v>21.99</c:v>
                </c:pt>
                <c:pt idx="36">
                  <c:v>21.99</c:v>
                </c:pt>
                <c:pt idx="37">
                  <c:v>21.25</c:v>
                </c:pt>
                <c:pt idx="38">
                  <c:v>22.15</c:v>
                </c:pt>
                <c:pt idx="39">
                  <c:v>21.959999</c:v>
                </c:pt>
                <c:pt idx="40">
                  <c:v>21.950001</c:v>
                </c:pt>
                <c:pt idx="41">
                  <c:v>22.120000999999998</c:v>
                </c:pt>
                <c:pt idx="42">
                  <c:v>22.16</c:v>
                </c:pt>
                <c:pt idx="43">
                  <c:v>22.16</c:v>
                </c:pt>
                <c:pt idx="44">
                  <c:v>22.41</c:v>
                </c:pt>
                <c:pt idx="45">
                  <c:v>21.15</c:v>
                </c:pt>
                <c:pt idx="46">
                  <c:v>20.700001</c:v>
                </c:pt>
                <c:pt idx="47">
                  <c:v>20.790001</c:v>
                </c:pt>
                <c:pt idx="48">
                  <c:v>20.74</c:v>
                </c:pt>
                <c:pt idx="49">
                  <c:v>20.329999999999998</c:v>
                </c:pt>
                <c:pt idx="50">
                  <c:v>20.329999999999998</c:v>
                </c:pt>
                <c:pt idx="51">
                  <c:v>19.940000000000001</c:v>
                </c:pt>
                <c:pt idx="52">
                  <c:v>19.719999000000001</c:v>
                </c:pt>
                <c:pt idx="53">
                  <c:v>19.719999000000001</c:v>
                </c:pt>
                <c:pt idx="54">
                  <c:v>20.389999</c:v>
                </c:pt>
                <c:pt idx="55">
                  <c:v>21.139999</c:v>
                </c:pt>
                <c:pt idx="56">
                  <c:v>20.58</c:v>
                </c:pt>
                <c:pt idx="57">
                  <c:v>20.58</c:v>
                </c:pt>
                <c:pt idx="58">
                  <c:v>20.8</c:v>
                </c:pt>
                <c:pt idx="59">
                  <c:v>20.780000999999999</c:v>
                </c:pt>
                <c:pt idx="60">
                  <c:v>20.860001</c:v>
                </c:pt>
                <c:pt idx="61">
                  <c:v>21.32</c:v>
                </c:pt>
              </c:numCache>
            </c:numRef>
          </c:yVal>
          <c:smooth val="0"/>
        </c:ser>
        <c:dLbls>
          <c:showLegendKey val="0"/>
          <c:showVal val="0"/>
          <c:showCatName val="0"/>
          <c:showSerName val="0"/>
          <c:showPercent val="0"/>
          <c:showBubbleSize val="0"/>
        </c:dLbls>
        <c:axId val="140899840"/>
        <c:axId val="235266816"/>
      </c:scatterChart>
      <c:valAx>
        <c:axId val="140899840"/>
        <c:scaling>
          <c:orientation val="minMax"/>
        </c:scaling>
        <c:delete val="0"/>
        <c:axPos val="b"/>
        <c:majorGridlines/>
        <c:minorGridlines/>
        <c:title>
          <c:tx>
            <c:rich>
              <a:bodyPr/>
              <a:lstStyle/>
              <a:p>
                <a:pPr>
                  <a:defRPr/>
                </a:pPr>
                <a:r>
                  <a:rPr lang="en-US" sz="1400"/>
                  <a:t>No</a:t>
                </a:r>
                <a:r>
                  <a:rPr lang="en-US" sz="1400" baseline="0"/>
                  <a:t> of Cyber Security Articles</a:t>
                </a:r>
                <a:endParaRPr lang="en-US" sz="1400"/>
              </a:p>
            </c:rich>
          </c:tx>
          <c:overlay val="0"/>
        </c:title>
        <c:numFmt formatCode="General" sourceLinked="1"/>
        <c:majorTickMark val="out"/>
        <c:minorTickMark val="none"/>
        <c:tickLblPos val="nextTo"/>
        <c:crossAx val="235266816"/>
        <c:crosses val="autoZero"/>
        <c:crossBetween val="midCat"/>
      </c:valAx>
      <c:valAx>
        <c:axId val="235266816"/>
        <c:scaling>
          <c:orientation val="minMax"/>
        </c:scaling>
        <c:delete val="0"/>
        <c:axPos val="l"/>
        <c:majorGridlines/>
        <c:minorGridlines/>
        <c:title>
          <c:tx>
            <c:rich>
              <a:bodyPr rot="-5400000" vert="horz"/>
              <a:lstStyle/>
              <a:p>
                <a:pPr>
                  <a:defRPr/>
                </a:pPr>
                <a:r>
                  <a:rPr lang="en-US" sz="1400"/>
                  <a:t>Closing Stock PRice</a:t>
                </a:r>
              </a:p>
            </c:rich>
          </c:tx>
          <c:layout>
            <c:manualLayout>
              <c:xMode val="edge"/>
              <c:yMode val="edge"/>
              <c:x val="2.3749687177068844E-2"/>
              <c:y val="0.33609438457381657"/>
            </c:manualLayout>
          </c:layout>
          <c:overlay val="0"/>
        </c:title>
        <c:numFmt formatCode="General" sourceLinked="1"/>
        <c:majorTickMark val="out"/>
        <c:minorTickMark val="none"/>
        <c:tickLblPos val="nextTo"/>
        <c:crossAx val="1408998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yadav</dc:creator>
  <cp:lastModifiedBy>pradeep yadav</cp:lastModifiedBy>
  <cp:revision>1</cp:revision>
  <dcterms:created xsi:type="dcterms:W3CDTF">2015-12-09T08:30:00Z</dcterms:created>
  <dcterms:modified xsi:type="dcterms:W3CDTF">2015-12-09T10:26:00Z</dcterms:modified>
</cp:coreProperties>
</file>